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A21C6" w:rsidTr="00A02419">
        <w:trPr>
          <w:trHeight w:val="2516"/>
        </w:trPr>
        <w:tc>
          <w:tcPr>
            <w:tcW w:w="4513" w:type="dxa"/>
            <w:tcBorders>
              <w:bottom w:val="single" w:sz="4" w:space="0" w:color="000000"/>
            </w:tcBorders>
            <w:shd w:val="clear" w:color="auto" w:fill="auto"/>
          </w:tcPr>
          <w:p w:rsidR="008059DA" w:rsidRPr="00AA21C6" w:rsidRDefault="008059DA" w:rsidP="00A02419">
            <w:pPr>
              <w:snapToGrid w:val="0"/>
              <w:rPr>
                <w:lang w:val="es-ES"/>
              </w:rPr>
            </w:pPr>
          </w:p>
        </w:tc>
        <w:tc>
          <w:tcPr>
            <w:tcW w:w="4337" w:type="dxa"/>
            <w:tcBorders>
              <w:bottom w:val="single" w:sz="4" w:space="0" w:color="000000"/>
            </w:tcBorders>
            <w:shd w:val="clear" w:color="auto" w:fill="auto"/>
          </w:tcPr>
          <w:p w:rsidR="008059DA" w:rsidRPr="00AA21C6" w:rsidRDefault="008059DA" w:rsidP="00A02419">
            <w:pPr>
              <w:rPr>
                <w:b/>
                <w:sz w:val="40"/>
                <w:szCs w:val="40"/>
                <w:lang w:val="es-ES"/>
              </w:rPr>
            </w:pPr>
            <w:r w:rsidRPr="00AA21C6">
              <w:rPr>
                <w:noProof/>
                <w:lang w:eastAsia="en-US"/>
              </w:rPr>
              <w:drawing>
                <wp:inline distT="0" distB="0" distL="0" distR="0" wp14:anchorId="2CDB40FE" wp14:editId="72591AD3">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A21C6" w:rsidRDefault="008059DA" w:rsidP="00A02419">
            <w:pPr>
              <w:jc w:val="right"/>
              <w:rPr>
                <w:rFonts w:ascii="Arial Black" w:hAnsi="Arial Black" w:cs="Arial Black"/>
                <w:caps/>
                <w:sz w:val="15"/>
                <w:lang w:val="es-ES"/>
              </w:rPr>
            </w:pPr>
            <w:r w:rsidRPr="00AA21C6">
              <w:rPr>
                <w:b/>
                <w:sz w:val="40"/>
                <w:szCs w:val="40"/>
                <w:lang w:val="es-ES"/>
              </w:rPr>
              <w:t>S</w:t>
            </w:r>
          </w:p>
        </w:tc>
      </w:tr>
      <w:tr w:rsidR="008059DA" w:rsidRPr="00AA21C6" w:rsidTr="00A02419">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A21C6" w:rsidRDefault="008059DA" w:rsidP="00A02419">
            <w:pPr>
              <w:jc w:val="right"/>
              <w:rPr>
                <w:rFonts w:ascii="Arial Black" w:hAnsi="Arial Black" w:cs="Arial Black"/>
                <w:caps/>
                <w:sz w:val="15"/>
                <w:lang w:val="es-ES"/>
              </w:rPr>
            </w:pPr>
            <w:bookmarkStart w:id="0" w:name="Code"/>
            <w:bookmarkEnd w:id="0"/>
            <w:r w:rsidRPr="00AA21C6">
              <w:rPr>
                <w:rFonts w:ascii="Arial Black" w:hAnsi="Arial Black" w:cs="Arial Black"/>
                <w:caps/>
                <w:sz w:val="15"/>
                <w:lang w:val="es-ES"/>
              </w:rPr>
              <w:t>WIPO/GRTKF/IC/</w:t>
            </w:r>
            <w:r w:rsidR="00A433D2" w:rsidRPr="00AA21C6">
              <w:rPr>
                <w:rFonts w:ascii="Arial Black" w:hAnsi="Arial Black" w:cs="Arial Black"/>
                <w:caps/>
                <w:sz w:val="15"/>
                <w:lang w:val="es-ES"/>
              </w:rPr>
              <w:t>3</w:t>
            </w:r>
            <w:r w:rsidR="009B6F79">
              <w:rPr>
                <w:rFonts w:ascii="Arial Black" w:hAnsi="Arial Black" w:cs="Arial Black"/>
                <w:caps/>
                <w:sz w:val="15"/>
                <w:lang w:val="es-ES"/>
              </w:rPr>
              <w:t>2</w:t>
            </w:r>
            <w:r w:rsidRPr="00AA21C6">
              <w:rPr>
                <w:rFonts w:ascii="Arial Black" w:hAnsi="Arial Black" w:cs="Arial Black"/>
                <w:caps/>
                <w:sz w:val="15"/>
                <w:lang w:val="es-ES"/>
              </w:rPr>
              <w:t>/INF/7</w:t>
            </w:r>
          </w:p>
        </w:tc>
      </w:tr>
      <w:tr w:rsidR="008059DA" w:rsidRPr="00AA21C6" w:rsidTr="00A02419">
        <w:trPr>
          <w:trHeight w:hRule="exact" w:val="170"/>
        </w:trPr>
        <w:tc>
          <w:tcPr>
            <w:tcW w:w="9356" w:type="dxa"/>
            <w:gridSpan w:val="3"/>
            <w:shd w:val="clear" w:color="auto" w:fill="auto"/>
            <w:vAlign w:val="bottom"/>
          </w:tcPr>
          <w:p w:rsidR="008059DA" w:rsidRPr="00AA21C6" w:rsidRDefault="008059DA" w:rsidP="00A02419">
            <w:pPr>
              <w:jc w:val="right"/>
              <w:rPr>
                <w:rFonts w:ascii="Arial Black" w:hAnsi="Arial Black" w:cs="Arial Black"/>
                <w:caps/>
                <w:sz w:val="15"/>
                <w:lang w:val="es-ES"/>
              </w:rPr>
            </w:pPr>
            <w:r w:rsidRPr="00AA21C6">
              <w:rPr>
                <w:rFonts w:ascii="Arial Black" w:hAnsi="Arial Black" w:cs="Arial Black"/>
                <w:caps/>
                <w:sz w:val="15"/>
                <w:lang w:val="es-ES"/>
              </w:rPr>
              <w:t xml:space="preserve">ORIGINAL:  </w:t>
            </w:r>
            <w:bookmarkStart w:id="1" w:name="Original"/>
            <w:bookmarkEnd w:id="1"/>
            <w:r w:rsidRPr="00AA21C6">
              <w:rPr>
                <w:rFonts w:ascii="Arial Black" w:hAnsi="Arial Black" w:cs="Arial Black"/>
                <w:caps/>
                <w:sz w:val="15"/>
                <w:lang w:val="es-ES"/>
              </w:rPr>
              <w:t>INGLÉS</w:t>
            </w:r>
          </w:p>
        </w:tc>
      </w:tr>
      <w:tr w:rsidR="008059DA" w:rsidRPr="00AA21C6" w:rsidTr="00A02419">
        <w:trPr>
          <w:trHeight w:hRule="exact" w:val="198"/>
        </w:trPr>
        <w:tc>
          <w:tcPr>
            <w:tcW w:w="9356" w:type="dxa"/>
            <w:gridSpan w:val="3"/>
            <w:shd w:val="clear" w:color="auto" w:fill="auto"/>
            <w:vAlign w:val="bottom"/>
          </w:tcPr>
          <w:p w:rsidR="008059DA" w:rsidRPr="00AA21C6" w:rsidRDefault="008059DA" w:rsidP="009B6F79">
            <w:pPr>
              <w:jc w:val="right"/>
              <w:rPr>
                <w:lang w:val="es-ES"/>
              </w:rPr>
            </w:pPr>
            <w:r w:rsidRPr="00AA21C6">
              <w:rPr>
                <w:rFonts w:ascii="Arial Black" w:hAnsi="Arial Black" w:cs="Arial Black"/>
                <w:caps/>
                <w:sz w:val="15"/>
                <w:lang w:val="es-ES"/>
              </w:rPr>
              <w:t xml:space="preserve">FECHA:  </w:t>
            </w:r>
            <w:bookmarkStart w:id="2" w:name="Date"/>
            <w:bookmarkEnd w:id="2"/>
            <w:r w:rsidR="009B6F79">
              <w:rPr>
                <w:rFonts w:ascii="Arial Black" w:hAnsi="Arial Black" w:cs="Arial Black"/>
                <w:caps/>
                <w:sz w:val="15"/>
                <w:lang w:val="es-ES"/>
              </w:rPr>
              <w:t>4</w:t>
            </w:r>
            <w:r w:rsidRPr="00AA21C6">
              <w:rPr>
                <w:rFonts w:ascii="Arial Black" w:hAnsi="Arial Black" w:cs="Arial Black"/>
                <w:caps/>
                <w:sz w:val="15"/>
                <w:lang w:val="es-ES"/>
              </w:rPr>
              <w:t xml:space="preserve"> de</w:t>
            </w:r>
            <w:r w:rsidR="00A433D2" w:rsidRPr="00AA21C6">
              <w:rPr>
                <w:rFonts w:ascii="Arial Black" w:hAnsi="Arial Black" w:cs="Arial Black"/>
                <w:caps/>
                <w:sz w:val="15"/>
                <w:lang w:val="es-ES"/>
              </w:rPr>
              <w:t xml:space="preserve"> </w:t>
            </w:r>
            <w:r w:rsidR="009B6F79">
              <w:rPr>
                <w:rFonts w:ascii="Arial Black" w:hAnsi="Arial Black" w:cs="Arial Black"/>
                <w:caps/>
                <w:sz w:val="15"/>
                <w:lang w:val="es-ES"/>
              </w:rPr>
              <w:t xml:space="preserve">octubre </w:t>
            </w:r>
            <w:r w:rsidRPr="00AA21C6">
              <w:rPr>
                <w:rFonts w:ascii="Arial Black" w:hAnsi="Arial Black" w:cs="Arial Black"/>
                <w:caps/>
                <w:sz w:val="15"/>
                <w:lang w:val="es-ES"/>
              </w:rPr>
              <w:t>DE 201</w:t>
            </w:r>
            <w:r w:rsidR="00A433D2" w:rsidRPr="00AA21C6">
              <w:rPr>
                <w:rFonts w:ascii="Arial Black" w:hAnsi="Arial Black" w:cs="Arial Black"/>
                <w:caps/>
                <w:sz w:val="15"/>
                <w:lang w:val="es-ES"/>
              </w:rPr>
              <w:t>6</w:t>
            </w:r>
          </w:p>
        </w:tc>
      </w:tr>
    </w:tbl>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tabs>
          <w:tab w:val="left" w:pos="2140"/>
        </w:tabs>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b/>
          <w:sz w:val="28"/>
          <w:szCs w:val="28"/>
          <w:lang w:val="es-ES"/>
        </w:rPr>
      </w:pPr>
      <w:r w:rsidRPr="00AA21C6">
        <w:rPr>
          <w:b/>
          <w:sz w:val="28"/>
          <w:szCs w:val="28"/>
          <w:lang w:val="es-ES"/>
        </w:rPr>
        <w:t>Comité Intergubernamental sobre Propiedad Intelectual y Recursos</w:t>
      </w:r>
    </w:p>
    <w:p w:rsidR="008059DA" w:rsidRPr="00AA21C6" w:rsidRDefault="008059DA" w:rsidP="008059DA">
      <w:pPr>
        <w:rPr>
          <w:b/>
          <w:sz w:val="28"/>
          <w:szCs w:val="28"/>
          <w:lang w:val="es-ES"/>
        </w:rPr>
      </w:pPr>
      <w:r w:rsidRPr="00AA21C6">
        <w:rPr>
          <w:b/>
          <w:sz w:val="28"/>
          <w:szCs w:val="28"/>
          <w:lang w:val="es-ES"/>
        </w:rPr>
        <w:t>Genéticos, Conocimientos Tradicionales y Folclore</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A433D2" w:rsidP="008059DA">
      <w:pPr>
        <w:rPr>
          <w:b/>
          <w:sz w:val="24"/>
          <w:szCs w:val="24"/>
          <w:lang w:val="es-ES"/>
        </w:rPr>
      </w:pPr>
      <w:r w:rsidRPr="00AA21C6">
        <w:rPr>
          <w:b/>
          <w:sz w:val="24"/>
          <w:szCs w:val="24"/>
          <w:lang w:val="es-ES"/>
        </w:rPr>
        <w:t>Trigésim</w:t>
      </w:r>
      <w:r w:rsidR="008059DA" w:rsidRPr="00AA21C6">
        <w:rPr>
          <w:b/>
          <w:sz w:val="24"/>
          <w:szCs w:val="24"/>
          <w:lang w:val="es-ES"/>
        </w:rPr>
        <w:t xml:space="preserve">a </w:t>
      </w:r>
      <w:r w:rsidR="009B6F79">
        <w:rPr>
          <w:b/>
          <w:sz w:val="24"/>
          <w:szCs w:val="24"/>
          <w:lang w:val="es-ES"/>
        </w:rPr>
        <w:t>segunda</w:t>
      </w:r>
      <w:r w:rsidR="00A02419">
        <w:rPr>
          <w:b/>
          <w:sz w:val="24"/>
          <w:szCs w:val="24"/>
          <w:lang w:val="es-ES"/>
        </w:rPr>
        <w:t xml:space="preserve"> </w:t>
      </w:r>
      <w:r w:rsidR="008059DA" w:rsidRPr="00AA21C6">
        <w:rPr>
          <w:b/>
          <w:sz w:val="24"/>
          <w:szCs w:val="24"/>
          <w:lang w:val="es-ES"/>
        </w:rPr>
        <w:t>sesión</w:t>
      </w:r>
    </w:p>
    <w:p w:rsidR="008059DA" w:rsidRPr="00AA21C6" w:rsidRDefault="008059DA" w:rsidP="008059DA">
      <w:pPr>
        <w:rPr>
          <w:b/>
          <w:sz w:val="24"/>
          <w:szCs w:val="24"/>
          <w:lang w:val="es-ES"/>
        </w:rPr>
      </w:pPr>
      <w:r w:rsidRPr="00AA21C6">
        <w:rPr>
          <w:b/>
          <w:sz w:val="24"/>
          <w:szCs w:val="24"/>
          <w:lang w:val="es-ES"/>
        </w:rPr>
        <w:t xml:space="preserve">Ginebra, </w:t>
      </w:r>
      <w:r w:rsidR="009B6F79">
        <w:rPr>
          <w:b/>
          <w:sz w:val="24"/>
          <w:szCs w:val="24"/>
          <w:lang w:val="es-ES"/>
        </w:rPr>
        <w:t>28</w:t>
      </w:r>
      <w:r w:rsidR="00A433D2" w:rsidRPr="00AA21C6">
        <w:rPr>
          <w:b/>
          <w:sz w:val="24"/>
          <w:szCs w:val="24"/>
          <w:lang w:val="es-ES"/>
        </w:rPr>
        <w:t xml:space="preserve"> </w:t>
      </w:r>
      <w:r w:rsidR="009B6F79">
        <w:rPr>
          <w:b/>
          <w:sz w:val="24"/>
          <w:szCs w:val="24"/>
          <w:lang w:val="es-ES"/>
        </w:rPr>
        <w:t xml:space="preserve">de noviembre </w:t>
      </w:r>
      <w:r w:rsidR="00A02419">
        <w:rPr>
          <w:b/>
          <w:sz w:val="24"/>
          <w:szCs w:val="24"/>
          <w:lang w:val="es-ES"/>
        </w:rPr>
        <w:t xml:space="preserve">a </w:t>
      </w:r>
      <w:r w:rsidR="009B6F79">
        <w:rPr>
          <w:b/>
          <w:sz w:val="24"/>
          <w:szCs w:val="24"/>
          <w:lang w:val="es-ES"/>
        </w:rPr>
        <w:t xml:space="preserve">2 </w:t>
      </w:r>
      <w:r w:rsidR="00A433D2" w:rsidRPr="00AA21C6">
        <w:rPr>
          <w:b/>
          <w:sz w:val="24"/>
          <w:szCs w:val="24"/>
          <w:lang w:val="es-ES"/>
        </w:rPr>
        <w:t xml:space="preserve">de </w:t>
      </w:r>
      <w:r w:rsidR="009B6F79">
        <w:rPr>
          <w:b/>
          <w:sz w:val="24"/>
          <w:szCs w:val="24"/>
          <w:lang w:val="es-ES"/>
        </w:rPr>
        <w:t xml:space="preserve">diciembre </w:t>
      </w:r>
      <w:r w:rsidRPr="00AA21C6">
        <w:rPr>
          <w:b/>
          <w:sz w:val="24"/>
          <w:szCs w:val="24"/>
          <w:lang w:val="es-ES"/>
        </w:rPr>
        <w:t>de 2016</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caps/>
          <w:sz w:val="24"/>
          <w:lang w:val="es-ES"/>
        </w:rPr>
      </w:pPr>
      <w:bookmarkStart w:id="3" w:name="TitleOfDoc"/>
      <w:bookmarkEnd w:id="3"/>
      <w:r w:rsidRPr="00AA21C6">
        <w:rPr>
          <w:caps/>
          <w:sz w:val="24"/>
          <w:lang w:val="es-ES"/>
        </w:rPr>
        <w:t>GLOSARIO DE LOS TÉRMINOS MÁS IMPORTANTES RELACIONADOS CON LA PROPIEDAD INTELECTUAL Y LOS RECURSOS GENÉTICOS, LOS CONOCIMIENTOS TRADICIONALES Y LAS EXPRESIONES CULTURALES TRADICIONALES</w:t>
      </w:r>
    </w:p>
    <w:p w:rsidR="008059DA" w:rsidRPr="00AA21C6" w:rsidRDefault="008059DA" w:rsidP="008059DA">
      <w:pPr>
        <w:rPr>
          <w:caps/>
          <w:sz w:val="24"/>
          <w:lang w:val="es-ES"/>
        </w:rPr>
      </w:pPr>
    </w:p>
    <w:p w:rsidR="008059DA" w:rsidRPr="00AA21C6" w:rsidRDefault="008059DA" w:rsidP="008059DA">
      <w:pPr>
        <w:rPr>
          <w:i/>
          <w:lang w:val="es-ES"/>
        </w:rPr>
      </w:pPr>
      <w:bookmarkStart w:id="4" w:name="Prepared"/>
      <w:bookmarkEnd w:id="4"/>
      <w:r w:rsidRPr="00AA21C6">
        <w:rPr>
          <w:i/>
          <w:lang w:val="es-ES"/>
        </w:rPr>
        <w:t>Documento preparado por la Secretaría</w:t>
      </w: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b/>
          <w:lang w:val="es-ES"/>
        </w:rPr>
      </w:pPr>
      <w:r w:rsidRPr="00AA21C6">
        <w:rPr>
          <w:b/>
          <w:lang w:val="es-ES"/>
        </w:rPr>
        <w:t>INTRODUCCIÓN</w:t>
      </w:r>
    </w:p>
    <w:p w:rsidR="008059DA" w:rsidRPr="00AA21C6" w:rsidRDefault="008059DA" w:rsidP="008059DA">
      <w:pPr>
        <w:rPr>
          <w:lang w:val="es-ES"/>
        </w:rPr>
      </w:pPr>
    </w:p>
    <w:p w:rsidR="008059DA" w:rsidRDefault="008059DA" w:rsidP="008059DA">
      <w:pPr>
        <w:numPr>
          <w:ilvl w:val="0"/>
          <w:numId w:val="5"/>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312D18" w:rsidRDefault="00312D18" w:rsidP="00312D18">
      <w:pPr>
        <w:rPr>
          <w:szCs w:val="22"/>
          <w:lang w:val="es-ES"/>
        </w:rPr>
      </w:pPr>
    </w:p>
    <w:p w:rsidR="00312D18" w:rsidRPr="00AA21C6" w:rsidRDefault="00312D18" w:rsidP="00AD5604">
      <w:pPr>
        <w:numPr>
          <w:ilvl w:val="0"/>
          <w:numId w:val="5"/>
        </w:numPr>
        <w:rPr>
          <w:szCs w:val="22"/>
          <w:lang w:val="es-ES"/>
        </w:rPr>
      </w:pPr>
      <w:r>
        <w:rPr>
          <w:szCs w:val="22"/>
          <w:lang w:val="es-ES"/>
        </w:rPr>
        <w:t xml:space="preserve">En su decimonovena sesión, celebrada del 18 al 22 de julio de 2011, el CIG </w:t>
      </w:r>
      <w:r w:rsidR="003C6BDC">
        <w:rPr>
          <w:szCs w:val="22"/>
          <w:lang w:val="es-ES"/>
        </w:rPr>
        <w:t>“</w:t>
      </w:r>
      <w:r w:rsidR="00AD5604" w:rsidRPr="00AD5604">
        <w:rPr>
          <w:szCs w:val="22"/>
          <w:lang w:val="es-ES"/>
        </w:rPr>
        <w:t xml:space="preserve">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w:t>
      </w:r>
      <w:r w:rsidR="00AD5604">
        <w:rPr>
          <w:szCs w:val="22"/>
          <w:lang w:val="es-ES"/>
        </w:rPr>
        <w:t>la siguiente sesión del Comité.</w:t>
      </w:r>
      <w:r w:rsidR="003C6BDC">
        <w:rPr>
          <w:szCs w:val="22"/>
          <w:lang w:val="es-ES"/>
        </w:rPr>
        <w:t>”</w:t>
      </w:r>
      <w:r w:rsidR="003C6BDC">
        <w:rPr>
          <w:rStyle w:val="FootnoteReference"/>
          <w:szCs w:val="22"/>
          <w:lang w:val="es-ES"/>
        </w:rPr>
        <w:footnoteReference w:id="3"/>
      </w:r>
    </w:p>
    <w:p w:rsidR="008059DA" w:rsidRPr="00AA21C6" w:rsidRDefault="008059DA" w:rsidP="008059DA">
      <w:pPr>
        <w:rPr>
          <w:szCs w:val="22"/>
          <w:lang w:val="es-ES"/>
        </w:rPr>
      </w:pPr>
    </w:p>
    <w:p w:rsidR="008059DA" w:rsidRPr="00AA21C6" w:rsidRDefault="00A433D2" w:rsidP="008059DA">
      <w:pPr>
        <w:numPr>
          <w:ilvl w:val="0"/>
          <w:numId w:val="5"/>
        </w:numPr>
        <w:rPr>
          <w:szCs w:val="22"/>
          <w:lang w:val="es-ES"/>
        </w:rPr>
      </w:pPr>
      <w:r w:rsidRPr="00AA21C6">
        <w:rPr>
          <w:lang w:val="es-ES"/>
        </w:rPr>
        <w:lastRenderedPageBreak/>
        <w:t>D</w:t>
      </w:r>
      <w:r w:rsidR="00312D18">
        <w:rPr>
          <w:lang w:val="es-ES"/>
        </w:rPr>
        <w:t>e conformidad con esa decisión y d</w:t>
      </w:r>
      <w:r w:rsidRPr="00AA21C6">
        <w:rPr>
          <w:lang w:val="es-ES"/>
        </w:rPr>
        <w:t>ado que varios de los términos contenidos en dichos glosarios guardaban relación con los tres temas, la Secretaría consolidó los</w:t>
      </w:r>
      <w:r w:rsidR="00AA21C6">
        <w:rPr>
          <w:lang w:val="es-ES"/>
        </w:rPr>
        <w:t xml:space="preserve"> t</w:t>
      </w:r>
      <w:r w:rsidRPr="00AA21C6">
        <w:rPr>
          <w:lang w:val="es-ES"/>
        </w:rPr>
        <w:t xml:space="preserve">res glosarios en uno solo y </w:t>
      </w:r>
      <w:r w:rsidR="003C6BDC">
        <w:rPr>
          <w:lang w:val="es-ES"/>
        </w:rPr>
        <w:t xml:space="preserve">actualizó algunas de las definiciones incluidas en él.  El glosario consolidado se ha puesto </w:t>
      </w:r>
      <w:r w:rsidRPr="00AA21C6">
        <w:rPr>
          <w:lang w:val="es-ES"/>
        </w:rPr>
        <w:t xml:space="preserve">a disposición </w:t>
      </w:r>
      <w:r w:rsidR="003C6BDC" w:rsidRPr="00AA21C6">
        <w:rPr>
          <w:lang w:val="es-ES"/>
        </w:rPr>
        <w:t>como document</w:t>
      </w:r>
      <w:r w:rsidR="003C6BDC">
        <w:rPr>
          <w:lang w:val="es-ES"/>
        </w:rPr>
        <w:t>o</w:t>
      </w:r>
      <w:r w:rsidR="003C6BDC" w:rsidRPr="00AA21C6">
        <w:rPr>
          <w:lang w:val="es-ES"/>
        </w:rPr>
        <w:t xml:space="preserve"> de información </w:t>
      </w:r>
      <w:r w:rsidR="003C6BDC">
        <w:rPr>
          <w:lang w:val="es-ES"/>
        </w:rPr>
        <w:t>para</w:t>
      </w:r>
      <w:r w:rsidRPr="00AA21C6">
        <w:rPr>
          <w:lang w:val="es-ES"/>
        </w:rPr>
        <w:t xml:space="preserve"> las sesiones </w:t>
      </w:r>
      <w:r w:rsidR="003C6BDC">
        <w:rPr>
          <w:lang w:val="es-ES"/>
        </w:rPr>
        <w:t xml:space="preserve">anteriores </w:t>
      </w:r>
      <w:r w:rsidRPr="00AA21C6">
        <w:rPr>
          <w:lang w:val="es-ES"/>
        </w:rPr>
        <w:t>de</w:t>
      </w:r>
      <w:r w:rsidR="003C6BDC">
        <w:rPr>
          <w:lang w:val="es-ES"/>
        </w:rPr>
        <w:t>l</w:t>
      </w:r>
      <w:r w:rsidRPr="00AA21C6">
        <w:rPr>
          <w:lang w:val="es-ES"/>
        </w:rPr>
        <w:t xml:space="preserve"> CIG.  El </w:t>
      </w:r>
      <w:r w:rsidR="003C6BDC">
        <w:rPr>
          <w:lang w:val="es-ES"/>
        </w:rPr>
        <w:t xml:space="preserve">mismo </w:t>
      </w:r>
      <w:r w:rsidRPr="00AA21C6">
        <w:rPr>
          <w:lang w:val="es-ES"/>
        </w:rPr>
        <w:t>gl</w:t>
      </w:r>
      <w:r w:rsidR="00AA21C6">
        <w:rPr>
          <w:lang w:val="es-ES"/>
        </w:rPr>
        <w:t>o</w:t>
      </w:r>
      <w:r w:rsidRPr="00AA21C6">
        <w:rPr>
          <w:lang w:val="es-ES"/>
        </w:rPr>
        <w:t>sario figura en el Anexo del presente documento</w:t>
      </w:r>
      <w:r w:rsidR="003C6BDC">
        <w:rPr>
          <w:szCs w:val="22"/>
          <w:lang w:val="es-ES"/>
        </w:rPr>
        <w:t>.</w:t>
      </w:r>
    </w:p>
    <w:p w:rsidR="008059DA" w:rsidRPr="00AA21C6" w:rsidRDefault="008059DA" w:rsidP="008059DA">
      <w:pPr>
        <w:rPr>
          <w:szCs w:val="22"/>
          <w:lang w:val="es-ES"/>
        </w:rPr>
      </w:pPr>
    </w:p>
    <w:p w:rsidR="008059DA" w:rsidRPr="0003210E" w:rsidRDefault="008059DA" w:rsidP="008059DA">
      <w:pPr>
        <w:numPr>
          <w:ilvl w:val="0"/>
          <w:numId w:val="5"/>
        </w:numPr>
        <w:rPr>
          <w:szCs w:val="22"/>
          <w:lang w:val="es-ES"/>
        </w:rPr>
      </w:pPr>
      <w:r w:rsidRPr="0003210E">
        <w:rPr>
          <w:lang w:val="es-ES"/>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8059DA" w:rsidRPr="00AA21C6" w:rsidRDefault="008059DA" w:rsidP="008059DA">
      <w:pPr>
        <w:rPr>
          <w:szCs w:val="22"/>
          <w:lang w:val="es-ES"/>
        </w:rPr>
      </w:pPr>
    </w:p>
    <w:p w:rsidR="008059DA" w:rsidRPr="00AA21C6" w:rsidRDefault="008059DA" w:rsidP="008059DA">
      <w:pPr>
        <w:numPr>
          <w:ilvl w:val="0"/>
          <w:numId w:val="5"/>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8059DA" w:rsidRPr="00AA21C6" w:rsidRDefault="008059DA" w:rsidP="008059DA">
      <w:pPr>
        <w:rPr>
          <w:szCs w:val="22"/>
          <w:u w:val="single"/>
          <w:lang w:val="es-ES"/>
        </w:rPr>
      </w:pPr>
    </w:p>
    <w:p w:rsidR="008059DA" w:rsidRPr="00AA21C6" w:rsidRDefault="00EB595F" w:rsidP="008059DA">
      <w:pPr>
        <w:pStyle w:val="Endofdocument-Annex"/>
        <w:rPr>
          <w:i/>
          <w:lang w:val="es-ES"/>
        </w:rPr>
      </w:pPr>
      <w:r w:rsidRPr="00EB595F">
        <w:rPr>
          <w:i/>
          <w:lang w:val="es-ES"/>
        </w:rPr>
        <w:t>6</w:t>
      </w:r>
      <w:r w:rsidR="008059DA" w:rsidRPr="00EB595F">
        <w:rPr>
          <w:i/>
          <w:lang w:val="es-ES"/>
        </w:rPr>
        <w:t>.</w:t>
      </w:r>
      <w:r w:rsidR="008059DA" w:rsidRPr="00AA21C6">
        <w:rPr>
          <w:lang w:val="es-ES"/>
        </w:rPr>
        <w:tab/>
      </w:r>
      <w:r w:rsidR="008059DA" w:rsidRPr="00AA21C6">
        <w:rPr>
          <w:i/>
          <w:lang w:val="es-ES"/>
        </w:rPr>
        <w:t>Se invita al CIG a tomar nota del presente documento y de su Anexo.</w:t>
      </w: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lang w:val="es-ES"/>
        </w:rPr>
      </w:pPr>
      <w:r w:rsidRPr="00AA21C6">
        <w:rPr>
          <w:lang w:val="es-ES"/>
        </w:rPr>
        <w:t>[Sigue el Anexo]</w:t>
      </w:r>
    </w:p>
    <w:p w:rsidR="008059DA" w:rsidRPr="00AA21C6" w:rsidRDefault="008059DA" w:rsidP="008059DA">
      <w:pPr>
        <w:pStyle w:val="Endofdocument-Annex"/>
        <w:rPr>
          <w:lang w:val="es-ES"/>
        </w:rPr>
      </w:pPr>
    </w:p>
    <w:p w:rsidR="008059DA" w:rsidRPr="00AA21C6" w:rsidRDefault="008059DA" w:rsidP="008059DA">
      <w:pPr>
        <w:pStyle w:val="Endofdocument-Annex"/>
        <w:rPr>
          <w:lang w:val="es-ES"/>
        </w:rPr>
        <w:sectPr w:rsidR="008059DA" w:rsidRPr="00AA21C6" w:rsidSect="00A02419">
          <w:headerReference w:type="default" r:id="rId10"/>
          <w:pgSz w:w="11907" w:h="16840" w:code="9"/>
          <w:pgMar w:top="567" w:right="640" w:bottom="840" w:left="1418" w:header="510" w:footer="1021" w:gutter="0"/>
          <w:cols w:space="720"/>
          <w:titlePg/>
        </w:sectPr>
      </w:pPr>
    </w:p>
    <w:p w:rsidR="008059DA" w:rsidRPr="00AA21C6" w:rsidRDefault="008059DA" w:rsidP="008059DA">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8059DA" w:rsidRPr="00AA21C6" w:rsidRDefault="008059DA" w:rsidP="008059DA">
      <w:pPr>
        <w:rPr>
          <w:szCs w:val="22"/>
          <w:lang w:val="es-ES"/>
        </w:rPr>
      </w:pPr>
    </w:p>
    <w:p w:rsidR="008059DA" w:rsidRPr="00AA21C6" w:rsidRDefault="008059DA" w:rsidP="008059DA">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4"/>
        <w:t>*</w:t>
      </w:r>
    </w:p>
    <w:p w:rsidR="008059DA" w:rsidRPr="00AA21C6" w:rsidRDefault="008059DA" w:rsidP="008059DA">
      <w:pPr>
        <w:pStyle w:val="ONUMFS"/>
        <w:numPr>
          <w:ilvl w:val="0"/>
          <w:numId w:val="0"/>
        </w:numPr>
        <w:rPr>
          <w:szCs w:val="22"/>
          <w:lang w:val="es-ES"/>
        </w:rPr>
      </w:pPr>
      <w:r w:rsidRPr="00AA21C6">
        <w:rPr>
          <w:szCs w:val="22"/>
          <w:lang w:val="es-ES"/>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8059DA" w:rsidRPr="00AA21C6" w:rsidRDefault="008059DA" w:rsidP="008059DA">
      <w:pPr>
        <w:pStyle w:val="ONUMFS"/>
        <w:numPr>
          <w:ilvl w:val="0"/>
          <w:numId w:val="0"/>
        </w:numPr>
        <w:rPr>
          <w:szCs w:val="22"/>
          <w:lang w:val="es-ES"/>
        </w:rPr>
      </w:pPr>
      <w:r w:rsidRPr="00AA21C6">
        <w:rPr>
          <w:szCs w:val="22"/>
          <w:lang w:val="es-ES"/>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8059DA" w:rsidRPr="00AA21C6" w:rsidRDefault="008059DA" w:rsidP="008059DA">
      <w:pPr>
        <w:pStyle w:val="ONUMFS"/>
        <w:numPr>
          <w:ilvl w:val="0"/>
          <w:numId w:val="0"/>
        </w:numPr>
        <w:rPr>
          <w:szCs w:val="22"/>
          <w:lang w:val="es-ES"/>
        </w:rPr>
      </w:pPr>
      <w:r w:rsidRPr="00AA21C6">
        <w:rPr>
          <w:szCs w:val="22"/>
          <w:lang w:val="es-ES"/>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8059DA" w:rsidRPr="00AA21C6" w:rsidRDefault="008059DA" w:rsidP="008059DA">
      <w:pPr>
        <w:pStyle w:val="ONUMFS"/>
        <w:numPr>
          <w:ilvl w:val="0"/>
          <w:numId w:val="0"/>
        </w:numPr>
        <w:rPr>
          <w:szCs w:val="22"/>
          <w:lang w:val="es-ES"/>
        </w:rPr>
      </w:pPr>
      <w:r w:rsidRPr="00AA21C6">
        <w:rPr>
          <w:szCs w:val="22"/>
          <w:lang w:val="es-ES"/>
        </w:rPr>
        <w:t>Los beneficios pueden ser monetarios y no monetarios, incluidos pero sin limitarse a aquellos indicados en el Anexo al Protocolo de Nagoya.</w:t>
      </w:r>
      <w:r w:rsidRPr="00AA21C6">
        <w:rPr>
          <w:rStyle w:val="FootnoteReference"/>
          <w:szCs w:val="22"/>
          <w:lang w:val="es-ES"/>
        </w:rPr>
        <w:footnoteReference w:id="5"/>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6"/>
      </w:r>
    </w:p>
    <w:p w:rsidR="008059DA" w:rsidRPr="00AA21C6" w:rsidRDefault="008059DA" w:rsidP="008059DA">
      <w:pPr>
        <w:pStyle w:val="ONUMFS"/>
        <w:numPr>
          <w:ilvl w:val="0"/>
          <w:numId w:val="0"/>
        </w:numPr>
        <w:rPr>
          <w:b/>
          <w:bCs/>
          <w:szCs w:val="22"/>
          <w:lang w:val="es-ES"/>
        </w:rPr>
      </w:pPr>
      <w:r w:rsidRPr="00AA21C6">
        <w:rPr>
          <w:b/>
          <w:bCs/>
          <w:szCs w:val="22"/>
          <w:lang w:val="es-ES"/>
        </w:rPr>
        <w:t>Adaptación</w:t>
      </w:r>
    </w:p>
    <w:p w:rsidR="008059DA" w:rsidRPr="00AA21C6" w:rsidRDefault="008059DA" w:rsidP="008059DA">
      <w:pPr>
        <w:pStyle w:val="ONUMFS"/>
        <w:numPr>
          <w:ilvl w:val="0"/>
          <w:numId w:val="0"/>
        </w:numPr>
        <w:rPr>
          <w:szCs w:val="22"/>
          <w:lang w:val="es-ES"/>
        </w:rPr>
      </w:pPr>
      <w:bookmarkStart w:id="5" w:name="_Ref289433821"/>
      <w:bookmarkEnd w:id="5"/>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AA21C6">
        <w:rPr>
          <w:szCs w:val="22"/>
          <w:lang w:val="es-ES"/>
        </w:rPr>
        <w:lastRenderedPageBreak/>
        <w:t>fusionados.</w:t>
      </w:r>
      <w:r w:rsidRPr="00AA21C6">
        <w:rPr>
          <w:rStyle w:val="FootnoteReference"/>
          <w:szCs w:val="22"/>
          <w:lang w:val="es-ES"/>
        </w:rPr>
        <w:footnoteReference w:id="7"/>
      </w:r>
      <w:r w:rsidRPr="00AA21C6">
        <w:rPr>
          <w:szCs w:val="22"/>
          <w:lang w:val="es-ES"/>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  Según el </w:t>
      </w:r>
      <w:r w:rsidRPr="00AA21C6">
        <w:rPr>
          <w:i/>
          <w:iCs/>
          <w:szCs w:val="22"/>
          <w:lang w:val="es-ES"/>
        </w:rPr>
        <w:t>Diccionario de la Lengua Española</w:t>
      </w:r>
      <w:r w:rsidRPr="00AA21C6">
        <w:rPr>
          <w:szCs w:val="22"/>
          <w:lang w:val="es-ES"/>
        </w:rPr>
        <w:t xml:space="preserve"> de la Real Academia Española y también el </w:t>
      </w:r>
      <w:r w:rsidRPr="00AA21C6">
        <w:rPr>
          <w:i/>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8"/>
      </w:r>
    </w:p>
    <w:p w:rsidR="008059DA" w:rsidRPr="00AA21C6" w:rsidRDefault="008059DA" w:rsidP="008059DA">
      <w:pPr>
        <w:pStyle w:val="ONUMFS"/>
        <w:numPr>
          <w:ilvl w:val="0"/>
          <w:numId w:val="0"/>
        </w:numPr>
        <w:rPr>
          <w:b/>
          <w:szCs w:val="22"/>
          <w:lang w:val="es-ES"/>
        </w:rPr>
      </w:pPr>
      <w:r w:rsidRPr="00AA21C6">
        <w:rPr>
          <w:b/>
          <w:szCs w:val="22"/>
          <w:lang w:val="es-ES"/>
        </w:rPr>
        <w:t>Aprobación y participación</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9"/>
      </w:r>
    </w:p>
    <w:p w:rsidR="008059DA" w:rsidRPr="00AA21C6" w:rsidRDefault="008059DA" w:rsidP="008059DA">
      <w:pPr>
        <w:pStyle w:val="ONUMFS"/>
        <w:numPr>
          <w:ilvl w:val="0"/>
          <w:numId w:val="0"/>
        </w:numPr>
        <w:rPr>
          <w:b/>
          <w:caps/>
          <w:szCs w:val="22"/>
          <w:lang w:val="es-ES"/>
        </w:rPr>
      </w:pPr>
      <w:r w:rsidRPr="00AA21C6">
        <w:rPr>
          <w:b/>
          <w:szCs w:val="22"/>
          <w:lang w:val="es-ES"/>
        </w:rPr>
        <w:t>Conocimientos tradicionales conexos</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1.2.a) de la “Contribución de los países de ideas afines a los objetivos y principios sobre la protección de los recursos genéticos y </w:t>
      </w:r>
      <w:r w:rsidRPr="00AA21C6">
        <w:rPr>
          <w:snapToGrid w:val="0"/>
          <w:szCs w:val="22"/>
          <w:lang w:val="es-ES"/>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8059DA" w:rsidRPr="00AA21C6" w:rsidRDefault="008059DA" w:rsidP="008059DA">
      <w:pPr>
        <w:pStyle w:val="ONUMFS"/>
        <w:numPr>
          <w:ilvl w:val="0"/>
          <w:numId w:val="0"/>
        </w:numPr>
        <w:rPr>
          <w:b/>
          <w:szCs w:val="22"/>
          <w:lang w:val="es-ES"/>
        </w:rPr>
      </w:pPr>
      <w:r w:rsidRPr="00AA21C6">
        <w:rPr>
          <w:b/>
          <w:szCs w:val="22"/>
          <w:lang w:val="es-ES"/>
        </w:rPr>
        <w:t>Beneficiarios</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10"/>
      </w:r>
    </w:p>
    <w:p w:rsidR="008059DA" w:rsidRPr="00AA21C6" w:rsidRDefault="008059DA" w:rsidP="008059DA">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8059DA" w:rsidRPr="00AA21C6" w:rsidRDefault="008059DA" w:rsidP="008059DA">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8059DA" w:rsidRPr="00AA21C6" w:rsidRDefault="008059DA" w:rsidP="008059DA">
      <w:pPr>
        <w:pStyle w:val="ONUMFS"/>
        <w:keepNext/>
        <w:keepLines/>
        <w:numPr>
          <w:ilvl w:val="0"/>
          <w:numId w:val="0"/>
        </w:numPr>
        <w:rPr>
          <w:b/>
          <w:szCs w:val="22"/>
          <w:lang w:val="es-ES"/>
        </w:rPr>
      </w:pPr>
      <w:r w:rsidRPr="00AA21C6">
        <w:rPr>
          <w:b/>
          <w:snapToGrid w:val="0"/>
          <w:szCs w:val="22"/>
          <w:lang w:val="es-ES"/>
        </w:rPr>
        <w:lastRenderedPageBreak/>
        <w:t>Diversidad biológica</w:t>
      </w:r>
    </w:p>
    <w:p w:rsidR="008059DA" w:rsidRPr="00AA21C6" w:rsidRDefault="008059DA" w:rsidP="008059DA">
      <w:pPr>
        <w:pStyle w:val="ONUMFS"/>
        <w:keepNext/>
        <w:keepLines/>
        <w:numPr>
          <w:ilvl w:val="0"/>
          <w:numId w:val="0"/>
        </w:numPr>
        <w:rPr>
          <w:snapToGrid w:val="0"/>
          <w:szCs w:val="22"/>
          <w:lang w:val="es-ES"/>
        </w:rPr>
      </w:pPr>
      <w:r w:rsidRPr="00AA21C6">
        <w:rPr>
          <w:szCs w:val="22"/>
          <w:lang w:val="es-ES"/>
        </w:rPr>
        <w:t xml:space="preserve">En el </w:t>
      </w:r>
      <w:r w:rsidRPr="00AA21C6">
        <w:rPr>
          <w:snapToGrid w:val="0"/>
          <w:szCs w:val="22"/>
          <w:lang w:val="es-ES"/>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8059DA" w:rsidRPr="00AA21C6" w:rsidRDefault="008059DA" w:rsidP="008059DA">
      <w:pPr>
        <w:pStyle w:val="ONUMFS"/>
        <w:numPr>
          <w:ilvl w:val="0"/>
          <w:numId w:val="0"/>
        </w:numPr>
        <w:rPr>
          <w:b/>
          <w:szCs w:val="22"/>
          <w:lang w:val="es-ES"/>
        </w:rPr>
      </w:pPr>
      <w:r w:rsidRPr="00AA21C6">
        <w:rPr>
          <w:b/>
          <w:bCs/>
          <w:szCs w:val="22"/>
          <w:lang w:val="es-ES"/>
        </w:rPr>
        <w:t>Materia biológica</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“toda materia que contenga información genética y sea autorreproducible o reproducible en un sistema biológico”.</w:t>
      </w:r>
      <w:r w:rsidRPr="00AA21C6">
        <w:rPr>
          <w:rStyle w:val="FootnoteReference"/>
          <w:szCs w:val="22"/>
          <w:lang w:val="es-ES"/>
        </w:rPr>
        <w:footnoteReference w:id="11"/>
      </w:r>
      <w:r w:rsidRPr="00AA21C6">
        <w:rPr>
          <w:szCs w:val="22"/>
          <w:lang w:val="es-ES"/>
        </w:rPr>
        <w:t xml:space="preserve">  Con arreglo al Código de Reglamentos Federales estadounidense, debería incluirse, con respecto a este término, “material capaz de autorreproducirse directa o indirectamente”.</w:t>
      </w:r>
      <w:r w:rsidRPr="00AA21C6">
        <w:rPr>
          <w:rStyle w:val="FootnoteReference"/>
          <w:szCs w:val="22"/>
          <w:lang w:val="es-ES"/>
        </w:rPr>
        <w:footnoteReference w:id="12"/>
      </w:r>
      <w:r w:rsidRPr="00AA21C6">
        <w:rPr>
          <w:szCs w:val="22"/>
          <w:lang w:val="es-ES"/>
        </w:rPr>
        <w:t xml:space="preserve">  En el </w:t>
      </w:r>
      <w:r w:rsidRPr="00AA21C6">
        <w:rPr>
          <w:snapToGrid w:val="0"/>
          <w:szCs w:val="22"/>
          <w:lang w:val="es-ES"/>
        </w:rPr>
        <w:t xml:space="preserve">Convenio sobre la Diversidad Biológica (1992) </w:t>
      </w:r>
      <w:r w:rsidRPr="00AA21C6">
        <w:rPr>
          <w:szCs w:val="22"/>
          <w:lang w:val="es-ES"/>
        </w:rPr>
        <w:t>se utilizan los términos “recursos biológicos”, “material genético” y “recursos genéticos”.</w:t>
      </w:r>
    </w:p>
    <w:p w:rsidR="008059DA" w:rsidRPr="00AA21C6" w:rsidRDefault="008059DA" w:rsidP="008059DA">
      <w:pPr>
        <w:pStyle w:val="ONUMFS"/>
        <w:numPr>
          <w:ilvl w:val="0"/>
          <w:numId w:val="0"/>
        </w:numPr>
        <w:rPr>
          <w:b/>
          <w:szCs w:val="22"/>
          <w:lang w:val="es-ES"/>
        </w:rPr>
      </w:pPr>
      <w:r w:rsidRPr="00AA21C6">
        <w:rPr>
          <w:b/>
          <w:bCs/>
          <w:szCs w:val="22"/>
          <w:lang w:val="es-ES"/>
        </w:rPr>
        <w:t>Recursos biológicos</w:t>
      </w:r>
    </w:p>
    <w:p w:rsidR="008059DA" w:rsidRPr="00AA21C6" w:rsidRDefault="008059DA" w:rsidP="008059DA">
      <w:pPr>
        <w:pStyle w:val="ONUMFS"/>
        <w:numPr>
          <w:ilvl w:val="0"/>
          <w:numId w:val="0"/>
        </w:numPr>
        <w:rPr>
          <w:szCs w:val="22"/>
          <w:lang w:val="es-ES"/>
        </w:rPr>
      </w:pPr>
      <w:r w:rsidRPr="00AA21C6">
        <w:rPr>
          <w:szCs w:val="22"/>
          <w:lang w:val="es-ES"/>
        </w:rPr>
        <w:t xml:space="preserve">Según la definición del artículo 2 del </w:t>
      </w:r>
      <w:r w:rsidRPr="00AA21C6">
        <w:rPr>
          <w:snapToGrid w:val="0"/>
          <w:szCs w:val="22"/>
          <w:lang w:val="es-ES"/>
        </w:rPr>
        <w:t>Convenio sobre la Diversidad Biológica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059DA" w:rsidRPr="00AA21C6" w:rsidRDefault="008059DA" w:rsidP="008059DA">
      <w:pPr>
        <w:pStyle w:val="ONUMFS"/>
        <w:numPr>
          <w:ilvl w:val="0"/>
          <w:numId w:val="0"/>
        </w:numPr>
        <w:rPr>
          <w:b/>
          <w:bCs/>
          <w:szCs w:val="22"/>
          <w:lang w:val="es-ES"/>
        </w:rPr>
      </w:pPr>
      <w:r w:rsidRPr="00AA21C6">
        <w:rPr>
          <w:b/>
          <w:bCs/>
          <w:szCs w:val="22"/>
          <w:lang w:val="es-ES"/>
        </w:rPr>
        <w:t>Invenciones biotecnológicas</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3"/>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4"/>
      </w:r>
      <w:r w:rsidRPr="00AA21C6">
        <w:rPr>
          <w:szCs w:val="22"/>
          <w:lang w:val="es-ES"/>
        </w:rPr>
        <w:t xml:space="preserve"> </w:t>
      </w:r>
    </w:p>
    <w:p w:rsidR="008059DA" w:rsidRPr="00AA21C6" w:rsidRDefault="008059DA" w:rsidP="008059DA">
      <w:pPr>
        <w:pStyle w:val="ONUMFS"/>
        <w:numPr>
          <w:ilvl w:val="0"/>
          <w:numId w:val="0"/>
        </w:numPr>
        <w:rPr>
          <w:b/>
          <w:bCs/>
          <w:szCs w:val="22"/>
          <w:lang w:val="es-ES"/>
        </w:rPr>
      </w:pPr>
      <w:r w:rsidRPr="00AA21C6">
        <w:rPr>
          <w:b/>
          <w:bCs/>
          <w:szCs w:val="22"/>
          <w:lang w:val="es-ES"/>
        </w:rPr>
        <w:t>Biotecnología</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w:t>
      </w:r>
      <w:r w:rsidRPr="00AA21C6">
        <w:rPr>
          <w:rStyle w:val="Emphasis"/>
          <w:szCs w:val="22"/>
          <w:lang w:val="es-ES"/>
        </w:rPr>
        <w:t xml:space="preserve">biotecnología se entiende toda aplicación tecnológica que utilice sistemas biológicos y organismos vivos o sus derivados para la creación o modificación de productos o procesos para usos específicos”.  En el artículo 2 del </w:t>
      </w:r>
      <w:r w:rsidRPr="00AA21C6">
        <w:rPr>
          <w:szCs w:val="22"/>
          <w:lang w:val="es-ES"/>
        </w:rPr>
        <w:t>Protocolo de Nagoya sobre Acceso a los Recursos Genéticos y Participación Justa y Equitativa en los Beneficios que se Deriven de su Utilización (2010) se utiliza la misma definición.</w:t>
      </w:r>
    </w:p>
    <w:p w:rsidR="008059DA" w:rsidRPr="00AA21C6" w:rsidRDefault="008059DA" w:rsidP="008059DA">
      <w:pPr>
        <w:pStyle w:val="ONUMFS"/>
        <w:keepNext/>
        <w:keepLines/>
        <w:numPr>
          <w:ilvl w:val="0"/>
          <w:numId w:val="0"/>
        </w:numPr>
        <w:rPr>
          <w:i/>
          <w:szCs w:val="22"/>
          <w:lang w:val="es-ES"/>
        </w:rPr>
      </w:pPr>
      <w:r w:rsidRPr="00AA21C6">
        <w:rPr>
          <w:rStyle w:val="Emphasis"/>
          <w:szCs w:val="22"/>
          <w:lang w:val="es-ES"/>
        </w:rPr>
        <w:lastRenderedPageBreak/>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AA21C6">
        <w:rPr>
          <w:szCs w:val="22"/>
          <w:lang w:val="es-ES"/>
        </w:rPr>
        <w:t>”.</w:t>
      </w:r>
      <w:r w:rsidRPr="00AA21C6">
        <w:rPr>
          <w:rStyle w:val="FootnoteReference"/>
          <w:szCs w:val="22"/>
          <w:lang w:val="es-ES"/>
        </w:rPr>
        <w:footnoteReference w:id="15"/>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059DA" w:rsidRPr="00AA21C6" w:rsidRDefault="008059DA" w:rsidP="008059DA">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6"/>
      </w:r>
    </w:p>
    <w:p w:rsidR="008059DA" w:rsidRPr="00AA21C6" w:rsidRDefault="008059DA" w:rsidP="008059DA">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8059DA" w:rsidRPr="00AA21C6" w:rsidRDefault="008059DA" w:rsidP="008059DA">
      <w:pPr>
        <w:pStyle w:val="ONUMFS"/>
        <w:numPr>
          <w:ilvl w:val="0"/>
          <w:numId w:val="0"/>
        </w:numPr>
        <w:rPr>
          <w:szCs w:val="22"/>
          <w:lang w:val="es-ES"/>
        </w:rPr>
      </w:pPr>
      <w:r w:rsidRPr="00AA21C6">
        <w:rPr>
          <w:szCs w:val="22"/>
          <w:lang w:val="es-ES"/>
        </w:rPr>
        <w:t>Las Directrices de Bonn sobre el Acceso a los Recursos Genéticos y la Participación Justa y Equitativa en los Beneficios Provenientes de su Utilización 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7"/>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8"/>
      </w:r>
    </w:p>
    <w:p w:rsidR="008059DA" w:rsidRPr="00AA21C6" w:rsidRDefault="008059DA" w:rsidP="008059DA">
      <w:pPr>
        <w:pStyle w:val="ONUMFS"/>
        <w:numPr>
          <w:ilvl w:val="0"/>
          <w:numId w:val="0"/>
        </w:numPr>
        <w:rPr>
          <w:b/>
          <w:szCs w:val="22"/>
          <w:lang w:val="es-ES"/>
        </w:rPr>
      </w:pPr>
      <w:r w:rsidRPr="00AA21C6">
        <w:rPr>
          <w:b/>
          <w:bCs/>
          <w:szCs w:val="22"/>
          <w:lang w:val="es-ES"/>
        </w:rPr>
        <w:t xml:space="preserve">Mecanismo de facilitación del Convenio sobre la Diversidad Biológica </w:t>
      </w:r>
    </w:p>
    <w:p w:rsidR="008059DA" w:rsidRPr="00AA21C6" w:rsidRDefault="008059DA" w:rsidP="008059DA">
      <w:pPr>
        <w:pStyle w:val="ONUMFS"/>
        <w:numPr>
          <w:ilvl w:val="0"/>
          <w:numId w:val="0"/>
        </w:numPr>
        <w:rPr>
          <w:szCs w:val="22"/>
          <w:lang w:val="es-ES"/>
        </w:rPr>
      </w:pPr>
      <w:r w:rsidRPr="00AA21C6">
        <w:rPr>
          <w:szCs w:val="22"/>
          <w:lang w:val="es-ES"/>
        </w:rPr>
        <w:t>Según el glosario que se utiliza en el Programa de Naciones Unidas para el Medio Ambiente, (PNUMA), el mecanismo de facilitación es un mecanismo que simplifica el intercambio de información o de transacciones entre diversas partes.</w:t>
      </w:r>
      <w:r w:rsidRPr="00AA21C6">
        <w:rPr>
          <w:rStyle w:val="FootnoteReference"/>
          <w:szCs w:val="22"/>
          <w:lang w:val="es-ES"/>
        </w:rPr>
        <w:footnoteReference w:id="19"/>
      </w:r>
      <w:r w:rsidRPr="00AA21C6">
        <w:rPr>
          <w:szCs w:val="22"/>
          <w:lang w:val="es-ES"/>
        </w:rPr>
        <w:t xml:space="preserve">  El mecanismo de facilitación del </w:t>
      </w:r>
      <w:r w:rsidRPr="00AA21C6">
        <w:rPr>
          <w:snapToGrid w:val="0"/>
          <w:szCs w:val="22"/>
          <w:lang w:val="es-ES"/>
        </w:rPr>
        <w:t>Convenio sobre la Diversidad Biológica</w:t>
      </w:r>
      <w:r w:rsidRPr="00AA21C6">
        <w:rPr>
          <w:i/>
          <w:snapToGrid w:val="0"/>
          <w:szCs w:val="22"/>
          <w:lang w:val="es-ES"/>
        </w:rPr>
        <w:t xml:space="preserve"> </w:t>
      </w:r>
      <w:r w:rsidRPr="00AA21C6">
        <w:rPr>
          <w:snapToGrid w:val="0"/>
          <w:szCs w:val="22"/>
          <w:lang w:val="es-ES"/>
        </w:rPr>
        <w:t>(1992) se estableció</w:t>
      </w:r>
      <w:r w:rsidRPr="00AA21C6">
        <w:rPr>
          <w:szCs w:val="22"/>
          <w:lang w:val="es-ES"/>
        </w:rPr>
        <w:t xml:space="preserve"> en virtud del artículo 18.3 del CDB.  Su finalidad es contribuir a la aplicación del Convenio mediante el fomento y la facilitación de la cooperación técnica y científica entre las partes, otros gobiernos y sectores interesados.</w:t>
      </w:r>
      <w:r w:rsidRPr="00AA21C6">
        <w:rPr>
          <w:rStyle w:val="FootnoteReference"/>
          <w:szCs w:val="22"/>
          <w:lang w:val="es-ES"/>
        </w:rPr>
        <w:footnoteReference w:id="20"/>
      </w:r>
    </w:p>
    <w:p w:rsidR="008059DA" w:rsidRPr="00AA21C6" w:rsidRDefault="008059DA" w:rsidP="008059DA">
      <w:pPr>
        <w:pStyle w:val="ONUMFS"/>
        <w:keepNext/>
        <w:keepLines/>
        <w:numPr>
          <w:ilvl w:val="0"/>
          <w:numId w:val="0"/>
        </w:numPr>
        <w:rPr>
          <w:b/>
          <w:szCs w:val="22"/>
          <w:lang w:val="es-ES"/>
        </w:rPr>
      </w:pPr>
      <w:r w:rsidRPr="00AA21C6">
        <w:rPr>
          <w:b/>
          <w:bCs/>
          <w:szCs w:val="22"/>
          <w:lang w:val="es-ES"/>
        </w:rPr>
        <w:lastRenderedPageBreak/>
        <w:t>Conocimientos tradicionales codificados</w:t>
      </w:r>
    </w:p>
    <w:p w:rsidR="008059DA" w:rsidRPr="00AA21C6" w:rsidRDefault="008059DA" w:rsidP="008059DA">
      <w:pPr>
        <w:pStyle w:val="ONUMFS"/>
        <w:keepNext/>
        <w:keepLine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21"/>
      </w:r>
    </w:p>
    <w:p w:rsidR="008059DA" w:rsidRPr="00AA21C6" w:rsidRDefault="008059DA" w:rsidP="008059DA">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AA21C6">
        <w:rPr>
          <w:i/>
          <w:iCs/>
          <w:szCs w:val="22"/>
          <w:lang w:val="es-ES"/>
        </w:rPr>
        <w:t xml:space="preserve">codificados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2"/>
      </w:r>
      <w:r w:rsidRPr="00AA21C6">
        <w:rPr>
          <w:szCs w:val="22"/>
          <w:lang w:val="es-ES"/>
        </w:rPr>
        <w:t xml:space="preserve"> o la medicina tradicional china divulgada en antiguos textos médicos chinos</w:t>
      </w:r>
      <w:r w:rsidRPr="00AA21C6">
        <w:rPr>
          <w:rStyle w:val="FootnoteReference"/>
          <w:szCs w:val="22"/>
          <w:lang w:val="es-ES"/>
        </w:rPr>
        <w:footnoteReference w:id="23"/>
      </w:r>
      <w:r w:rsidRPr="00AA21C6">
        <w:rPr>
          <w:szCs w:val="22"/>
          <w:lang w:val="es-ES"/>
        </w:rPr>
        <w:t xml:space="preserve"> y b) conocimientos de medicina tradicional </w:t>
      </w:r>
      <w:r w:rsidRPr="00AA21C6">
        <w:rPr>
          <w:i/>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AA21C6">
        <w:rPr>
          <w:rStyle w:val="FootnoteReference"/>
          <w:szCs w:val="22"/>
          <w:lang w:val="es-ES"/>
        </w:rPr>
        <w:footnoteReference w:id="24"/>
      </w:r>
    </w:p>
    <w:p w:rsidR="008059DA" w:rsidRPr="00AA21C6" w:rsidRDefault="008059DA" w:rsidP="008059DA">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5"/>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059DA" w:rsidRPr="00AA21C6" w:rsidRDefault="008059DA" w:rsidP="008059DA">
      <w:pPr>
        <w:pStyle w:val="ONUMFS"/>
        <w:numPr>
          <w:ilvl w:val="0"/>
          <w:numId w:val="0"/>
        </w:numPr>
        <w:rPr>
          <w:b/>
          <w:szCs w:val="22"/>
          <w:lang w:val="es-ES"/>
        </w:rPr>
      </w:pPr>
      <w:r w:rsidRPr="00AA21C6">
        <w:rPr>
          <w:b/>
          <w:bCs/>
          <w:szCs w:val="22"/>
          <w:lang w:val="es-ES"/>
        </w:rPr>
        <w:t>Consulta</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es “parecer o dictamen que por escrito o de palabra se pide o se da acerca de algo” y, a su vez, en el </w:t>
      </w:r>
      <w:r w:rsidRPr="00AA21C6">
        <w:rPr>
          <w:i/>
          <w:iCs/>
          <w:szCs w:val="22"/>
          <w:lang w:val="es-ES"/>
        </w:rPr>
        <w:t>Diccionario de uso del español</w:t>
      </w:r>
      <w:r w:rsidRPr="00AA21C6">
        <w:rPr>
          <w:szCs w:val="22"/>
          <w:lang w:val="es-ES"/>
        </w:rPr>
        <w:t xml:space="preserve"> de María Moliner “consultar” quiere decir “preguntar su opinión a otra u otras personas y tratar con ellas cierto asunto”.</w:t>
      </w:r>
    </w:p>
    <w:p w:rsidR="008059DA" w:rsidRPr="00AA21C6" w:rsidRDefault="008059DA" w:rsidP="008059DA">
      <w:pPr>
        <w:pStyle w:val="ONUMFS"/>
        <w:numPr>
          <w:ilvl w:val="0"/>
          <w:numId w:val="0"/>
        </w:numPr>
        <w:rPr>
          <w:szCs w:val="22"/>
          <w:lang w:val="es-ES"/>
        </w:rPr>
      </w:pPr>
      <w:r w:rsidRPr="00AA21C6">
        <w:rPr>
          <w:szCs w:val="22"/>
          <w:lang w:val="es-ES"/>
        </w:rPr>
        <w:t xml:space="preserve">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w:t>
      </w:r>
      <w:r w:rsidRPr="00AA21C6">
        <w:rPr>
          <w:szCs w:val="22"/>
          <w:lang w:val="es-ES"/>
        </w:rPr>
        <w:lastRenderedPageBreak/>
        <w:t>del consentimiento, sino también a la persona encargada de dar ese consentimiento, y a su vez, ésta podrá conocer debidamente lo que pretenda autorizar.</w:t>
      </w:r>
      <w:r w:rsidRPr="00AA21C6">
        <w:rPr>
          <w:rStyle w:val="FootnoteReference"/>
          <w:szCs w:val="22"/>
          <w:lang w:val="es-ES"/>
        </w:rPr>
        <w:footnoteReference w:id="26"/>
      </w:r>
    </w:p>
    <w:p w:rsidR="008059DA" w:rsidRPr="00AA21C6" w:rsidRDefault="008059DA" w:rsidP="008059DA">
      <w:pPr>
        <w:pStyle w:val="ONUMFS"/>
        <w:numPr>
          <w:ilvl w:val="0"/>
          <w:numId w:val="0"/>
        </w:numPr>
        <w:rPr>
          <w:szCs w:val="22"/>
          <w:lang w:val="es-ES"/>
        </w:rPr>
      </w:pPr>
      <w:r w:rsidRPr="00AA21C6">
        <w:rPr>
          <w:szCs w:val="22"/>
          <w:lang w:val="es-ES"/>
        </w:rPr>
        <w:t>En el Convenio Nº 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059DA" w:rsidRPr="00AA21C6" w:rsidRDefault="008059DA" w:rsidP="008059DA">
      <w:pPr>
        <w:pStyle w:val="ONUMFS"/>
        <w:numPr>
          <w:ilvl w:val="0"/>
          <w:numId w:val="0"/>
        </w:numPr>
        <w:rPr>
          <w:b/>
          <w:szCs w:val="22"/>
          <w:lang w:val="es-ES"/>
        </w:rPr>
      </w:pPr>
      <w:r w:rsidRPr="00AA21C6">
        <w:rPr>
          <w:b/>
          <w:szCs w:val="22"/>
          <w:lang w:val="es-ES"/>
        </w:rPr>
        <w:t>Convenio sobre la Diversidad Biológica (CDB)</w:t>
      </w:r>
    </w:p>
    <w:p w:rsidR="008059DA" w:rsidRPr="00AA21C6" w:rsidRDefault="008059DA" w:rsidP="008059DA">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8059DA" w:rsidRPr="00AA21C6" w:rsidRDefault="008059DA" w:rsidP="008059DA">
      <w:pPr>
        <w:pStyle w:val="ONUMFS"/>
        <w:numPr>
          <w:ilvl w:val="0"/>
          <w:numId w:val="0"/>
        </w:numPr>
        <w:rPr>
          <w:b/>
          <w:szCs w:val="22"/>
          <w:lang w:val="es-ES"/>
        </w:rPr>
      </w:pPr>
      <w:r w:rsidRPr="00AA21C6">
        <w:rPr>
          <w:b/>
          <w:bCs/>
          <w:szCs w:val="22"/>
          <w:lang w:val="es-ES"/>
        </w:rPr>
        <w:t>País de origen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País que aporta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8059DA" w:rsidRPr="00AA21C6" w:rsidRDefault="008059DA" w:rsidP="008059DA">
      <w:pPr>
        <w:pStyle w:val="ONUMFS"/>
        <w:numPr>
          <w:ilvl w:val="0"/>
          <w:numId w:val="0"/>
        </w:numPr>
        <w:rPr>
          <w:b/>
          <w:szCs w:val="22"/>
          <w:lang w:val="es-ES"/>
        </w:rPr>
      </w:pPr>
      <w:r w:rsidRPr="00AA21C6">
        <w:rPr>
          <w:b/>
          <w:bCs/>
          <w:szCs w:val="22"/>
          <w:lang w:val="es-ES"/>
        </w:rPr>
        <w:t>Comunidad cultural</w:t>
      </w:r>
    </w:p>
    <w:p w:rsidR="008059DA" w:rsidRPr="00AA21C6" w:rsidRDefault="008059DA" w:rsidP="008059DA">
      <w:pPr>
        <w:pStyle w:val="ONUMFS"/>
        <w:numPr>
          <w:ilvl w:val="0"/>
          <w:numId w:val="0"/>
        </w:numPr>
        <w:rPr>
          <w:szCs w:val="22"/>
          <w:lang w:val="es-ES"/>
        </w:rPr>
      </w:pPr>
      <w:bookmarkStart w:id="6" w:name="_Ref289689074"/>
      <w:bookmarkEnd w:id="6"/>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7"/>
      </w:r>
    </w:p>
    <w:p w:rsidR="008059DA" w:rsidRPr="00AA21C6" w:rsidRDefault="008059DA" w:rsidP="008059DA">
      <w:pPr>
        <w:pStyle w:val="ONUMFS"/>
        <w:numPr>
          <w:ilvl w:val="0"/>
          <w:numId w:val="0"/>
        </w:numPr>
        <w:rPr>
          <w:b/>
          <w:bCs/>
          <w:szCs w:val="22"/>
          <w:lang w:val="es-ES"/>
        </w:rPr>
      </w:pPr>
      <w:r w:rsidRPr="00AA21C6">
        <w:rPr>
          <w:b/>
          <w:bCs/>
          <w:szCs w:val="22"/>
          <w:lang w:val="es-ES"/>
        </w:rPr>
        <w:t>Diversidad cultural</w:t>
      </w:r>
    </w:p>
    <w:p w:rsidR="008059DA" w:rsidRPr="00AA21C6" w:rsidRDefault="008059DA" w:rsidP="008059DA">
      <w:pPr>
        <w:pStyle w:val="ONUMFS"/>
        <w:numPr>
          <w:ilvl w:val="0"/>
          <w:numId w:val="0"/>
        </w:numPr>
        <w:rPr>
          <w:szCs w:val="22"/>
          <w:lang w:val="es-ES"/>
        </w:rPr>
      </w:pPr>
      <w:r w:rsidRPr="00AA21C6">
        <w:rPr>
          <w:szCs w:val="22"/>
          <w:lang w:val="es-ES"/>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8"/>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lastRenderedPageBreak/>
        <w:t>Expresiones culturales</w:t>
      </w:r>
    </w:p>
    <w:p w:rsidR="008059DA" w:rsidRPr="00AA21C6" w:rsidRDefault="008059DA" w:rsidP="008059DA">
      <w:pPr>
        <w:pStyle w:val="ONUMFS"/>
        <w:keepNext/>
        <w:keepLines/>
        <w:numPr>
          <w:ilvl w:val="0"/>
          <w:numId w:val="0"/>
        </w:numPr>
        <w:rPr>
          <w:szCs w:val="22"/>
          <w:lang w:val="es-ES"/>
        </w:rPr>
      </w:pPr>
      <w:r w:rsidRPr="00AA21C6">
        <w:rPr>
          <w:szCs w:val="22"/>
          <w:lang w:val="es-ES"/>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AA21C6">
        <w:rPr>
          <w:rStyle w:val="FootnoteReference"/>
          <w:szCs w:val="22"/>
          <w:lang w:val="es-ES"/>
        </w:rPr>
        <w:footnoteReference w:id="29"/>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w:t>
      </w:r>
    </w:p>
    <w:p w:rsidR="008059DA" w:rsidRPr="00AA21C6" w:rsidRDefault="008059DA" w:rsidP="008059DA">
      <w:pPr>
        <w:pStyle w:val="ONUMFS"/>
        <w:numPr>
          <w:ilvl w:val="0"/>
          <w:numId w:val="0"/>
        </w:numPr>
        <w:rPr>
          <w:szCs w:val="22"/>
          <w:lang w:val="es-ES"/>
        </w:rPr>
      </w:pPr>
      <w:r w:rsidRPr="00AA21C6">
        <w:rPr>
          <w:szCs w:val="22"/>
          <w:lang w:val="es-ES"/>
        </w:rPr>
        <w:t>Según el artículo 1 de la Convención de la UNESCO sobre la Protección del Patrimonio Mundial Cultural y Natural (1972), el “patrimonio cultural” comprende lo siguiente:</w:t>
      </w:r>
    </w:p>
    <w:p w:rsidR="008059DA" w:rsidRPr="00AA21C6" w:rsidRDefault="008059DA" w:rsidP="008059DA">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8059DA" w:rsidRPr="00AA21C6" w:rsidRDefault="008059DA" w:rsidP="008059DA">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8059DA" w:rsidRPr="00AA21C6" w:rsidRDefault="008059DA" w:rsidP="008059DA">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8059DA" w:rsidRPr="00AA21C6" w:rsidRDefault="008059DA" w:rsidP="008059DA">
      <w:pPr>
        <w:pStyle w:val="ONUMFS"/>
        <w:numPr>
          <w:ilvl w:val="0"/>
          <w:numId w:val="0"/>
        </w:numPr>
        <w:rPr>
          <w:b/>
          <w:bCs/>
          <w:szCs w:val="22"/>
          <w:lang w:val="es-ES"/>
        </w:rPr>
      </w:pPr>
      <w:r w:rsidRPr="00AA21C6">
        <w:rPr>
          <w:b/>
          <w:bCs/>
          <w:szCs w:val="22"/>
          <w:lang w:val="es-ES"/>
        </w:rPr>
        <w:t>Identidad cultural</w:t>
      </w:r>
    </w:p>
    <w:p w:rsidR="008059DA" w:rsidRPr="00AA21C6" w:rsidRDefault="008059DA" w:rsidP="008059DA">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30"/>
      </w:r>
      <w:r w:rsidRPr="00AA21C6">
        <w:rPr>
          <w:szCs w:val="22"/>
          <w:lang w:val="es-ES"/>
        </w:rPr>
        <w:t xml:space="preserve">  En el Convenio Nº 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31"/>
      </w:r>
    </w:p>
    <w:p w:rsidR="008059DA" w:rsidRPr="00AA21C6" w:rsidRDefault="008059DA" w:rsidP="008059DA">
      <w:pPr>
        <w:pStyle w:val="ONUMFS"/>
        <w:numPr>
          <w:ilvl w:val="0"/>
          <w:numId w:val="0"/>
        </w:numPr>
        <w:rPr>
          <w:b/>
          <w:bCs/>
          <w:szCs w:val="22"/>
          <w:lang w:val="es-ES"/>
        </w:rPr>
      </w:pPr>
      <w:r w:rsidRPr="00AA21C6">
        <w:rPr>
          <w:b/>
          <w:bCs/>
          <w:szCs w:val="22"/>
          <w:lang w:val="es-ES"/>
        </w:rPr>
        <w:t>Bienes culturales</w:t>
      </w:r>
    </w:p>
    <w:p w:rsidR="008059DA" w:rsidRPr="00AA21C6" w:rsidRDefault="008059DA" w:rsidP="008059DA">
      <w:pPr>
        <w:pStyle w:val="ONUMFS"/>
        <w:numPr>
          <w:ilvl w:val="0"/>
          <w:numId w:val="0"/>
        </w:numPr>
        <w:rPr>
          <w:szCs w:val="22"/>
          <w:lang w:val="es-ES"/>
        </w:rPr>
      </w:pPr>
      <w:r w:rsidRPr="00AA21C6">
        <w:rPr>
          <w:szCs w:val="22"/>
          <w:lang w:val="es-ES"/>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w:t>
      </w:r>
      <w:r w:rsidRPr="00AA21C6">
        <w:rPr>
          <w:szCs w:val="22"/>
          <w:lang w:val="es-ES"/>
        </w:rPr>
        <w:lastRenderedPageBreak/>
        <w:t>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8059DA" w:rsidRPr="00AA21C6" w:rsidRDefault="008059DA" w:rsidP="008059DA">
      <w:pPr>
        <w:pStyle w:val="ONUMFS"/>
        <w:numPr>
          <w:ilvl w:val="0"/>
          <w:numId w:val="0"/>
        </w:numPr>
        <w:rPr>
          <w:b/>
          <w:bCs/>
          <w:szCs w:val="22"/>
          <w:lang w:val="es-ES"/>
        </w:rPr>
      </w:pPr>
      <w:r w:rsidRPr="00AA21C6">
        <w:rPr>
          <w:b/>
          <w:bCs/>
          <w:szCs w:val="22"/>
          <w:lang w:val="es-ES"/>
        </w:rPr>
        <w:t>Custodio</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término “custodio” como “cuidador, guardián, vigilante, depositario”.  A su vez, en el </w:t>
      </w:r>
      <w:r w:rsidRPr="00AA21C6">
        <w:rPr>
          <w:i/>
          <w:iCs/>
          <w:szCs w:val="22"/>
          <w:lang w:val="es-ES"/>
        </w:rPr>
        <w:t>Diccionario de la lengua española</w:t>
      </w:r>
      <w:r w:rsidRPr="00AA21C6">
        <w:rPr>
          <w:szCs w:val="22"/>
          <w:lang w:val="es-ES"/>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AA21C6">
        <w:rPr>
          <w:szCs w:val="22"/>
          <w:lang w:val="es-ES"/>
        </w:rPr>
        <w:t>.</w:t>
      </w:r>
      <w:bookmarkEnd w:id="7"/>
    </w:p>
    <w:p w:rsidR="008059DA" w:rsidRPr="00AA21C6" w:rsidRDefault="008059DA" w:rsidP="008059DA">
      <w:pPr>
        <w:pStyle w:val="ONUMFS"/>
        <w:numPr>
          <w:ilvl w:val="0"/>
          <w:numId w:val="0"/>
        </w:numPr>
        <w:rPr>
          <w:b/>
          <w:bCs/>
          <w:szCs w:val="22"/>
          <w:lang w:val="es-ES"/>
        </w:rPr>
      </w:pPr>
      <w:r w:rsidRPr="00AA21C6">
        <w:rPr>
          <w:b/>
          <w:bCs/>
          <w:szCs w:val="22"/>
          <w:lang w:val="es-ES"/>
        </w:rPr>
        <w:t>Contexto consuetudinario</w:t>
      </w:r>
    </w:p>
    <w:p w:rsidR="008059DA" w:rsidRPr="00AA21C6" w:rsidRDefault="008059DA" w:rsidP="008059DA">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2"/>
      </w:r>
    </w:p>
    <w:p w:rsidR="008059DA" w:rsidRPr="00AA21C6" w:rsidRDefault="008059DA" w:rsidP="008059DA">
      <w:pPr>
        <w:pStyle w:val="ONUMFS"/>
        <w:numPr>
          <w:ilvl w:val="0"/>
          <w:numId w:val="0"/>
        </w:numPr>
        <w:rPr>
          <w:b/>
          <w:bCs/>
          <w:szCs w:val="22"/>
          <w:lang w:val="es-ES"/>
        </w:rPr>
      </w:pPr>
      <w:r w:rsidRPr="00AA21C6">
        <w:rPr>
          <w:b/>
          <w:bCs/>
          <w:szCs w:val="22"/>
          <w:lang w:val="es-ES"/>
        </w:rPr>
        <w:t>Derecho y protocolos consuetudinarios</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3"/>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8059DA" w:rsidRPr="00AA21C6" w:rsidRDefault="008059DA" w:rsidP="008059DA">
      <w:pPr>
        <w:pStyle w:val="ONUMFS"/>
        <w:keepLines/>
        <w:numPr>
          <w:ilvl w:val="0"/>
          <w:numId w:val="0"/>
        </w:numPr>
        <w:rPr>
          <w:szCs w:val="22"/>
          <w:lang w:val="es-ES"/>
        </w:rPr>
      </w:pPr>
      <w:r w:rsidRPr="00AA21C6">
        <w:rPr>
          <w:szCs w:val="22"/>
          <w:lang w:val="es-ES"/>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4"/>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5"/>
      </w:r>
    </w:p>
    <w:p w:rsidR="008059DA" w:rsidRPr="00AA21C6" w:rsidRDefault="008059DA" w:rsidP="008059DA">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8059DA" w:rsidRPr="00AA21C6" w:rsidRDefault="008059DA" w:rsidP="008059DA">
      <w:pPr>
        <w:pStyle w:val="ONUMFS"/>
        <w:numPr>
          <w:ilvl w:val="0"/>
          <w:numId w:val="0"/>
        </w:numPr>
        <w:rPr>
          <w:b/>
          <w:bCs/>
          <w:szCs w:val="22"/>
          <w:lang w:val="es-ES"/>
        </w:rPr>
      </w:pPr>
      <w:r w:rsidRPr="00AA21C6">
        <w:rPr>
          <w:b/>
          <w:bCs/>
          <w:szCs w:val="22"/>
          <w:lang w:val="es-ES"/>
        </w:rPr>
        <w:t>Prácticas consuetudinarias</w:t>
      </w:r>
    </w:p>
    <w:p w:rsidR="008059DA" w:rsidRPr="00AA21C6" w:rsidRDefault="008059DA" w:rsidP="008059DA">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6"/>
      </w:r>
    </w:p>
    <w:p w:rsidR="008059DA" w:rsidRPr="00AA21C6" w:rsidRDefault="008059DA" w:rsidP="008059DA">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8059DA" w:rsidRPr="00AA21C6" w:rsidRDefault="008059DA" w:rsidP="008059DA">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7"/>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w:t>
      </w:r>
      <w:r w:rsidRPr="00AA21C6">
        <w:rPr>
          <w:szCs w:val="22"/>
          <w:lang w:val="es-ES"/>
        </w:rPr>
        <w:lastRenderedPageBreak/>
        <w:t>acceso a los recursos genéticos y participación en los beneficios que se derivan de su utilización.</w:t>
      </w:r>
      <w:r w:rsidRPr="00AA21C6">
        <w:rPr>
          <w:rStyle w:val="FootnoteReference"/>
          <w:szCs w:val="22"/>
          <w:lang w:val="es-ES"/>
        </w:rPr>
        <w:footnoteReference w:id="38"/>
      </w:r>
    </w:p>
    <w:p w:rsidR="008059DA" w:rsidRPr="00AA21C6" w:rsidRDefault="008059DA" w:rsidP="008059DA">
      <w:pPr>
        <w:pStyle w:val="ONUMFS"/>
        <w:keepNext/>
        <w:numPr>
          <w:ilvl w:val="0"/>
          <w:numId w:val="0"/>
        </w:numPr>
        <w:rPr>
          <w:b/>
          <w:bCs/>
          <w:szCs w:val="22"/>
          <w:lang w:val="es-ES"/>
        </w:rPr>
      </w:pPr>
      <w:r w:rsidRPr="00AA21C6">
        <w:rPr>
          <w:b/>
          <w:bCs/>
          <w:szCs w:val="22"/>
          <w:lang w:val="es-ES"/>
        </w:rPr>
        <w:t>Derivado</w:t>
      </w:r>
    </w:p>
    <w:p w:rsidR="008059DA" w:rsidRPr="00AA21C6" w:rsidRDefault="008059DA" w:rsidP="008059DA">
      <w:pPr>
        <w:pStyle w:val="ONUMFS"/>
        <w:keepNext/>
        <w:numPr>
          <w:ilvl w:val="0"/>
          <w:numId w:val="0"/>
        </w:numPr>
        <w:rPr>
          <w:szCs w:val="22"/>
          <w:lang w:val="es-ES"/>
        </w:rPr>
      </w:pPr>
      <w:r w:rsidRPr="00AA21C6">
        <w:rPr>
          <w:szCs w:val="22"/>
          <w:lang w:val="es-ES"/>
        </w:rPr>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szCs w:val="22"/>
          <w:lang w:val="es-ES"/>
        </w:rPr>
      </w:pPr>
      <w:r w:rsidRPr="00AA21C6">
        <w:rPr>
          <w:szCs w:val="22"/>
          <w:lang w:val="es-ES"/>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b/>
          <w:bCs/>
          <w:szCs w:val="22"/>
          <w:lang w:val="es-ES"/>
        </w:rPr>
      </w:pPr>
      <w:r w:rsidRPr="00AA21C6">
        <w:rPr>
          <w:b/>
          <w:bCs/>
          <w:szCs w:val="22"/>
          <w:lang w:val="es-ES"/>
        </w:rPr>
        <w:t>Obra derivada</w:t>
      </w:r>
    </w:p>
    <w:p w:rsidR="008059DA" w:rsidRPr="00AA21C6" w:rsidRDefault="008059DA" w:rsidP="008059DA">
      <w:pPr>
        <w:pStyle w:val="ONUMFS"/>
        <w:numPr>
          <w:ilvl w:val="0"/>
          <w:numId w:val="0"/>
        </w:numPr>
        <w:rPr>
          <w:szCs w:val="22"/>
          <w:lang w:val="es-ES"/>
        </w:rPr>
      </w:pPr>
      <w:bookmarkStart w:id="8" w:name="_Ref289432997"/>
      <w:bookmarkEnd w:id="8"/>
      <w:r w:rsidRPr="00AA21C6">
        <w:rPr>
          <w:szCs w:val="22"/>
          <w:lang w:val="es-ES"/>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AA21C6">
        <w:rPr>
          <w:rStyle w:val="FootnoteReference"/>
          <w:szCs w:val="22"/>
          <w:lang w:val="es-ES"/>
        </w:rPr>
        <w:footnoteReference w:id="39"/>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AA21C6">
        <w:rPr>
          <w:rStyle w:val="FootnoteReference"/>
          <w:szCs w:val="22"/>
          <w:lang w:val="es-ES"/>
        </w:rPr>
        <w:footnoteReference w:id="40"/>
      </w:r>
    </w:p>
    <w:p w:rsidR="008059DA" w:rsidRPr="00AA21C6" w:rsidRDefault="008059DA" w:rsidP="008059DA">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41"/>
      </w:r>
      <w:r w:rsidRPr="00AA21C6">
        <w:rPr>
          <w:szCs w:val="22"/>
          <w:lang w:val="es-ES"/>
        </w:rPr>
        <w:t xml:space="preserve">  El Convenio de Berna otorga a las obras que son fruto de labores de compilación o de colección idéntica protección que a las demás obras derivadas.</w:t>
      </w:r>
      <w:r w:rsidRPr="00AA21C6">
        <w:rPr>
          <w:rStyle w:val="FootnoteReference"/>
          <w:szCs w:val="22"/>
          <w:lang w:val="es-ES"/>
        </w:rPr>
        <w:footnoteReference w:id="42"/>
      </w:r>
    </w:p>
    <w:p w:rsidR="008059DA" w:rsidRPr="00AA21C6" w:rsidRDefault="008059DA" w:rsidP="008059DA">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8059DA" w:rsidRPr="00AA21C6" w:rsidRDefault="008059DA" w:rsidP="008059DA">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w:t>
      </w:r>
      <w:r w:rsidRPr="00AA21C6">
        <w:rPr>
          <w:szCs w:val="22"/>
          <w:lang w:val="es-ES"/>
        </w:rPr>
        <w:lastRenderedPageBreak/>
        <w:t xml:space="preserve">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3"/>
      </w:r>
    </w:p>
    <w:p w:rsidR="008059DA" w:rsidRPr="00AA21C6" w:rsidRDefault="008059DA" w:rsidP="008059DA">
      <w:pPr>
        <w:pStyle w:val="ONUMFS"/>
        <w:keepNext/>
        <w:numPr>
          <w:ilvl w:val="0"/>
          <w:numId w:val="0"/>
        </w:numPr>
        <w:rPr>
          <w:b/>
          <w:szCs w:val="22"/>
          <w:lang w:val="es-ES"/>
        </w:rPr>
      </w:pPr>
      <w:r w:rsidRPr="00AA21C6">
        <w:rPr>
          <w:b/>
          <w:szCs w:val="22"/>
          <w:lang w:val="es-ES"/>
        </w:rPr>
        <w:t>Atentado a (la obra) (art. 6</w:t>
      </w:r>
      <w:r w:rsidRPr="00AA21C6">
        <w:rPr>
          <w:b/>
          <w:i/>
          <w:iCs/>
          <w:szCs w:val="22"/>
          <w:lang w:val="es-ES"/>
        </w:rPr>
        <w:t>bis</w:t>
      </w:r>
      <w:r w:rsidRPr="00AA21C6">
        <w:rPr>
          <w:b/>
          <w:szCs w:val="22"/>
          <w:lang w:val="es-ES"/>
        </w:rPr>
        <w:t xml:space="preserve"> del Convenio de Berna)</w:t>
      </w:r>
    </w:p>
    <w:p w:rsidR="008059DA" w:rsidRPr="00AA21C6" w:rsidRDefault="008059DA" w:rsidP="008059DA">
      <w:pPr>
        <w:pStyle w:val="ONUMFS"/>
        <w:keepNext/>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4"/>
      </w:r>
    </w:p>
    <w:p w:rsidR="008059DA" w:rsidRPr="00AA21C6" w:rsidRDefault="008059DA" w:rsidP="008059DA">
      <w:pPr>
        <w:pStyle w:val="ONUMFS"/>
        <w:numPr>
          <w:ilvl w:val="0"/>
          <w:numId w:val="0"/>
        </w:numPr>
        <w:rPr>
          <w:b/>
          <w:szCs w:val="22"/>
          <w:lang w:val="es-ES"/>
        </w:rPr>
      </w:pPr>
      <w:r w:rsidRPr="00AA21C6">
        <w:rPr>
          <w:b/>
          <w:szCs w:val="22"/>
          <w:lang w:val="es-ES"/>
        </w:rPr>
        <w:t>Conocimientos tradicionales divulgados</w:t>
      </w:r>
    </w:p>
    <w:p w:rsidR="008059DA" w:rsidRPr="00AA21C6" w:rsidRDefault="008059DA" w:rsidP="008059DA">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5"/>
      </w:r>
    </w:p>
    <w:p w:rsidR="008059DA" w:rsidRPr="00AA21C6" w:rsidRDefault="008059DA" w:rsidP="008059DA">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8059DA" w:rsidRPr="00AA21C6" w:rsidRDefault="008059DA" w:rsidP="008059DA">
      <w:pPr>
        <w:pStyle w:val="ONUMFS"/>
        <w:numPr>
          <w:ilvl w:val="0"/>
          <w:numId w:val="0"/>
        </w:numPr>
        <w:rPr>
          <w:b/>
          <w:szCs w:val="22"/>
          <w:lang w:val="es-ES"/>
        </w:rPr>
      </w:pPr>
      <w:r w:rsidRPr="00AA21C6">
        <w:rPr>
          <w:b/>
          <w:szCs w:val="22"/>
          <w:lang w:val="es-ES"/>
        </w:rPr>
        <w:t>Divulgación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6"/>
      </w:r>
      <w:r w:rsidRPr="00AA21C6">
        <w:rPr>
          <w:szCs w:val="22"/>
          <w:lang w:val="es-ES"/>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AA21C6">
        <w:rPr>
          <w:rStyle w:val="FootnoteReference"/>
          <w:szCs w:val="22"/>
          <w:lang w:val="es-ES"/>
        </w:rPr>
        <w:footnoteReference w:id="47"/>
      </w:r>
      <w:r w:rsidRPr="00AA21C6">
        <w:rPr>
          <w:szCs w:val="22"/>
          <w:lang w:val="es-ES"/>
        </w:rPr>
        <w:t xml:space="preserve">  En virtud de determinadas legislaciones nacionales, el “derecho de divulgación” constituye un derecho moral.</w:t>
      </w:r>
    </w:p>
    <w:p w:rsidR="008059DA" w:rsidRPr="00AA21C6" w:rsidRDefault="008059DA" w:rsidP="008059DA">
      <w:pPr>
        <w:pStyle w:val="ONUMFS"/>
        <w:numPr>
          <w:ilvl w:val="0"/>
          <w:numId w:val="0"/>
        </w:numPr>
        <w:rPr>
          <w:b/>
          <w:szCs w:val="22"/>
          <w:lang w:val="es-ES"/>
        </w:rPr>
      </w:pPr>
      <w:r w:rsidRPr="00AA21C6">
        <w:rPr>
          <w:b/>
          <w:szCs w:val="22"/>
          <w:lang w:val="es-ES"/>
        </w:rPr>
        <w:t>Requisitos de divulgación</w:t>
      </w:r>
    </w:p>
    <w:p w:rsidR="008059DA" w:rsidRPr="00AA21C6" w:rsidRDefault="008059DA" w:rsidP="008059DA">
      <w:pPr>
        <w:pStyle w:val="ONUMFS"/>
        <w:numPr>
          <w:ilvl w:val="0"/>
          <w:numId w:val="0"/>
        </w:numPr>
        <w:rPr>
          <w:szCs w:val="22"/>
          <w:lang w:val="es-ES"/>
        </w:rPr>
      </w:pPr>
      <w:r w:rsidRPr="00AA21C6">
        <w:rPr>
          <w:szCs w:val="22"/>
          <w:lang w:val="es-ES"/>
        </w:rPr>
        <w:t>La divulgación forma parte de la base fundamental del Derecho de patentes.</w:t>
      </w:r>
      <w:bookmarkStart w:id="9" w:name="sdfootnote19anc"/>
      <w:r w:rsidRPr="00AA21C6">
        <w:rPr>
          <w:rStyle w:val="FootnoteReference"/>
          <w:szCs w:val="22"/>
          <w:lang w:val="es-ES"/>
        </w:rPr>
        <w:footnoteReference w:id="48"/>
      </w:r>
      <w:bookmarkEnd w:id="9"/>
      <w:r w:rsidRPr="00AA21C6">
        <w:rPr>
          <w:szCs w:val="22"/>
          <w:lang w:val="es-ES"/>
        </w:rPr>
        <w:t xml:space="preserve">  El Derecho de patentes impone una obligación general a los solicitantes de patentes, como se establece en el artículo 5 del Tratado de Cooperación en materia de Patentes:  “[…] divulgar la invención de </w:t>
      </w:r>
      <w:r w:rsidRPr="00AA21C6">
        <w:rPr>
          <w:szCs w:val="22"/>
          <w:lang w:val="es-ES"/>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9"/>
      </w:r>
    </w:p>
    <w:p w:rsidR="008059DA" w:rsidRPr="00AA21C6" w:rsidRDefault="008059DA" w:rsidP="008059DA">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50"/>
      </w:r>
    </w:p>
    <w:p w:rsidR="008059DA" w:rsidRPr="00AA21C6" w:rsidRDefault="008059DA" w:rsidP="008059DA">
      <w:pPr>
        <w:pStyle w:val="ONUMFS"/>
        <w:numPr>
          <w:ilvl w:val="0"/>
          <w:numId w:val="0"/>
        </w:numPr>
        <w:rPr>
          <w:szCs w:val="22"/>
          <w:lang w:val="es-ES"/>
        </w:rPr>
      </w:pPr>
      <w:r w:rsidRPr="00AA21C6">
        <w:rPr>
          <w:szCs w:val="22"/>
          <w:lang w:val="es-ES"/>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AA21C6">
        <w:rPr>
          <w:rStyle w:val="FootnoteReference"/>
          <w:szCs w:val="22"/>
          <w:lang w:val="es-ES"/>
        </w:rPr>
        <w:footnoteReference w:id="51"/>
      </w:r>
    </w:p>
    <w:p w:rsidR="008059DA" w:rsidRPr="00AA21C6" w:rsidRDefault="008059DA" w:rsidP="008059DA">
      <w:pPr>
        <w:pStyle w:val="ONUMFS"/>
        <w:numPr>
          <w:ilvl w:val="0"/>
          <w:numId w:val="0"/>
        </w:numPr>
        <w:rPr>
          <w:szCs w:val="22"/>
          <w:lang w:val="es-ES"/>
        </w:rPr>
      </w:pPr>
      <w:r w:rsidRPr="00AA21C6">
        <w:rPr>
          <w:szCs w:val="22"/>
          <w:lang w:val="es-ES"/>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AA21C6">
        <w:rPr>
          <w:rStyle w:val="FootnoteReference"/>
          <w:szCs w:val="22"/>
          <w:lang w:val="es-ES"/>
        </w:rPr>
        <w:footnoteReference w:id="52"/>
      </w:r>
      <w:r w:rsidRPr="00AA21C6">
        <w:rPr>
          <w:szCs w:val="22"/>
          <w:lang w:val="es-ES"/>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AA21C6">
        <w:rPr>
          <w:rStyle w:val="FootnoteReference"/>
          <w:szCs w:val="22"/>
          <w:lang w:val="es-ES"/>
        </w:rPr>
        <w:footnoteReference w:id="53"/>
      </w:r>
      <w:r w:rsidRPr="00AA21C6">
        <w:rPr>
          <w:szCs w:val="22"/>
          <w:lang w:val="es-ES"/>
        </w:rPr>
        <w:t xml:space="preserve">  La propuesta del Grupo Africano, basada en las propuestas de Suiza y la Unión Europea, comprende también la introducción de un certificado </w:t>
      </w:r>
      <w:r w:rsidRPr="00AA21C6">
        <w:rPr>
          <w:szCs w:val="22"/>
          <w:lang w:val="es-ES"/>
        </w:rPr>
        <w:lastRenderedPageBreak/>
        <w:t>de cumplimiento reconocido a escala internacional, como estipula el Protocolo de Nagoya de Acceso a los Recursos Genético y Participación Justa y Equitativa en los Beneficios que se Deriven de su Utilización (2010).</w:t>
      </w:r>
      <w:r w:rsidRPr="00AA21C6">
        <w:rPr>
          <w:rStyle w:val="FootnoteReference"/>
          <w:szCs w:val="22"/>
          <w:lang w:val="es-ES"/>
        </w:rPr>
        <w:footnoteReference w:id="54"/>
      </w:r>
      <w:r w:rsidRPr="00AA21C6">
        <w:rPr>
          <w:szCs w:val="22"/>
          <w:lang w:val="es-ES"/>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AA21C6">
        <w:rPr>
          <w:rStyle w:val="FootnoteReference"/>
          <w:szCs w:val="22"/>
          <w:lang w:val="es-ES"/>
        </w:rPr>
        <w:footnoteReference w:id="55"/>
      </w:r>
    </w:p>
    <w:p w:rsidR="008059DA" w:rsidRPr="00AA21C6" w:rsidRDefault="008059DA" w:rsidP="008059DA">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56"/>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Acuerdo sobre los ADPIC de la OMC, propuesto por algunos países.</w:t>
      </w:r>
      <w:r w:rsidRPr="00AA21C6">
        <w:rPr>
          <w:rStyle w:val="FootnoteReference"/>
          <w:szCs w:val="22"/>
          <w:lang w:val="es-ES"/>
        </w:rPr>
        <w:footnoteReference w:id="57"/>
      </w:r>
    </w:p>
    <w:p w:rsidR="008059DA" w:rsidRPr="00AA21C6" w:rsidRDefault="008059DA" w:rsidP="008059DA">
      <w:pPr>
        <w:pStyle w:val="ONUMFS"/>
        <w:numPr>
          <w:ilvl w:val="0"/>
          <w:numId w:val="0"/>
        </w:numPr>
        <w:rPr>
          <w:b/>
          <w:szCs w:val="22"/>
          <w:lang w:val="es-ES"/>
        </w:rPr>
      </w:pPr>
      <w:r w:rsidRPr="00AA21C6">
        <w:rPr>
          <w:b/>
          <w:szCs w:val="22"/>
          <w:lang w:val="es-ES"/>
        </w:rPr>
        <w:t>Catalogación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AA21C6">
        <w:rPr>
          <w:rStyle w:val="FootnoteReference"/>
          <w:szCs w:val="22"/>
          <w:lang w:val="es-ES"/>
        </w:rPr>
        <w:footnoteReference w:id="58"/>
      </w:r>
    </w:p>
    <w:p w:rsidR="008059DA" w:rsidRPr="00AA21C6" w:rsidRDefault="008059DA" w:rsidP="008059DA">
      <w:pPr>
        <w:pStyle w:val="ONUMFS"/>
        <w:numPr>
          <w:ilvl w:val="0"/>
          <w:numId w:val="0"/>
        </w:numPr>
        <w:rPr>
          <w:b/>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9"/>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8059DA" w:rsidRPr="00AA21C6" w:rsidRDefault="008059DA" w:rsidP="008059DA">
      <w:pPr>
        <w:pStyle w:val="ONUMFS"/>
        <w:numPr>
          <w:ilvl w:val="0"/>
          <w:numId w:val="0"/>
        </w:numPr>
        <w:rPr>
          <w:b/>
          <w:szCs w:val="22"/>
          <w:lang w:val="es-ES"/>
        </w:rPr>
      </w:pPr>
      <w:r w:rsidRPr="00AA21C6">
        <w:rPr>
          <w:b/>
          <w:szCs w:val="22"/>
          <w:lang w:val="es-ES"/>
        </w:rPr>
        <w:t>Remuneración equitativa</w:t>
      </w:r>
    </w:p>
    <w:p w:rsidR="008059DA" w:rsidRPr="00AA21C6" w:rsidRDefault="008059DA" w:rsidP="008059DA">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60"/>
      </w:r>
      <w:r w:rsidRPr="00AA21C6">
        <w:rPr>
          <w:szCs w:val="22"/>
          <w:lang w:val="es-ES"/>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8059DA" w:rsidRPr="00AA21C6" w:rsidRDefault="008059DA" w:rsidP="008059DA">
      <w:pPr>
        <w:pStyle w:val="ONUMFS"/>
        <w:numPr>
          <w:ilvl w:val="0"/>
          <w:numId w:val="0"/>
        </w:numPr>
        <w:rPr>
          <w:b/>
          <w:szCs w:val="22"/>
          <w:lang w:val="es-ES"/>
        </w:rPr>
      </w:pPr>
      <w:r w:rsidRPr="00AA21C6">
        <w:rPr>
          <w:b/>
          <w:szCs w:val="22"/>
          <w:lang w:val="es-ES"/>
        </w:rPr>
        <w:lastRenderedPageBreak/>
        <w:t>Excepciones</w:t>
      </w:r>
    </w:p>
    <w:p w:rsidR="008059DA" w:rsidRPr="00AA21C6" w:rsidRDefault="008059DA" w:rsidP="008059DA">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61"/>
      </w:r>
      <w:r w:rsidRPr="00AA21C6">
        <w:rPr>
          <w:szCs w:val="22"/>
          <w:lang w:val="es-ES"/>
        </w:rPr>
        <w:t xml:space="preserve">  En el Convenio de Berna para la Protección de las Obras Literarias y Artísticas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62"/>
      </w:r>
    </w:p>
    <w:p w:rsidR="008059DA" w:rsidRPr="00AA21C6" w:rsidRDefault="008059DA" w:rsidP="008059DA">
      <w:pPr>
        <w:pStyle w:val="ONUMFS"/>
        <w:numPr>
          <w:ilvl w:val="0"/>
          <w:numId w:val="0"/>
        </w:numPr>
        <w:rPr>
          <w:b/>
          <w:szCs w:val="22"/>
          <w:lang w:val="es-ES"/>
        </w:rPr>
      </w:pPr>
      <w:r w:rsidRPr="00AA21C6">
        <w:rPr>
          <w:b/>
          <w:szCs w:val="22"/>
          <w:lang w:val="es-ES"/>
        </w:rPr>
        <w:t>Expresión corporal</w:t>
      </w:r>
    </w:p>
    <w:p w:rsidR="008059DA" w:rsidRPr="00AA21C6" w:rsidRDefault="008059DA" w:rsidP="008059DA">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63"/>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64"/>
      </w:r>
    </w:p>
    <w:p w:rsidR="008059DA" w:rsidRPr="00AA21C6" w:rsidRDefault="008059DA" w:rsidP="008059DA">
      <w:pPr>
        <w:pStyle w:val="ONUMFS"/>
        <w:numPr>
          <w:ilvl w:val="0"/>
          <w:numId w:val="0"/>
        </w:numPr>
        <w:rPr>
          <w:b/>
          <w:szCs w:val="22"/>
          <w:lang w:val="es-ES"/>
        </w:rPr>
      </w:pPr>
      <w:r w:rsidRPr="00AA21C6">
        <w:rPr>
          <w:b/>
          <w:szCs w:val="22"/>
          <w:lang w:val="es-ES"/>
        </w:rPr>
        <w:t>Expresiones del folclore</w:t>
      </w:r>
    </w:p>
    <w:p w:rsidR="008059DA" w:rsidRPr="00AA21C6" w:rsidRDefault="008059DA" w:rsidP="008059DA">
      <w:pPr>
        <w:pStyle w:val="ONUMFS"/>
        <w:numPr>
          <w:ilvl w:val="0"/>
          <w:numId w:val="0"/>
        </w:numPr>
        <w:rPr>
          <w:szCs w:val="22"/>
          <w:lang w:val="es-ES"/>
        </w:rPr>
      </w:pPr>
      <w:r w:rsidRPr="00AA21C6">
        <w:rPr>
          <w:szCs w:val="22"/>
          <w:lang w:val="es-ES"/>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10" w:name="sdfootnote40anc"/>
      <w:r w:rsidRPr="00AA21C6">
        <w:rPr>
          <w:szCs w:val="22"/>
          <w:lang w:val="es-ES"/>
        </w:rPr>
        <w:t>ngibles</w:t>
      </w:r>
      <w:bookmarkEnd w:id="10"/>
      <w:r w:rsidRPr="00AA21C6">
        <w:rPr>
          <w:szCs w:val="22"/>
          <w:lang w:val="es-ES"/>
        </w:rPr>
        <w:t>.</w:t>
      </w:r>
      <w:r w:rsidRPr="00AA21C6">
        <w:rPr>
          <w:rStyle w:val="FootnoteReference"/>
          <w:szCs w:val="22"/>
          <w:lang w:val="es-ES"/>
        </w:rPr>
        <w:footnoteReference w:id="65"/>
      </w:r>
    </w:p>
    <w:p w:rsidR="008059DA" w:rsidRPr="00AA21C6" w:rsidRDefault="008059DA" w:rsidP="008059DA">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8059DA" w:rsidRPr="00AA21C6" w:rsidRDefault="008059DA" w:rsidP="008059DA">
      <w:pPr>
        <w:pStyle w:val="ONUMFS"/>
        <w:numPr>
          <w:ilvl w:val="0"/>
          <w:numId w:val="0"/>
        </w:numPr>
        <w:rPr>
          <w:b/>
          <w:szCs w:val="22"/>
          <w:lang w:val="es-ES"/>
        </w:rPr>
      </w:pPr>
      <w:r w:rsidRPr="00AA21C6">
        <w:rPr>
          <w:b/>
          <w:i/>
          <w:iCs/>
          <w:szCs w:val="22"/>
          <w:lang w:val="es-ES"/>
        </w:rPr>
        <w:t>Ex-situ</w:t>
      </w:r>
    </w:p>
    <w:p w:rsidR="008059DA" w:rsidRPr="00AA21C6" w:rsidRDefault="008059DA" w:rsidP="008059DA">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del artículo 2 del Convenio sobre la Diversidad Biológica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8059DA" w:rsidRPr="00AA21C6" w:rsidRDefault="008059DA" w:rsidP="006960BC">
      <w:pPr>
        <w:pStyle w:val="ONUMFS"/>
        <w:keepNext/>
        <w:numPr>
          <w:ilvl w:val="0"/>
          <w:numId w:val="0"/>
        </w:numPr>
        <w:rPr>
          <w:b/>
          <w:bCs/>
          <w:szCs w:val="22"/>
          <w:lang w:val="es-ES"/>
        </w:rPr>
      </w:pPr>
      <w:r w:rsidRPr="00AA21C6">
        <w:rPr>
          <w:b/>
          <w:bCs/>
          <w:szCs w:val="22"/>
          <w:lang w:val="es-ES"/>
        </w:rPr>
        <w:lastRenderedPageBreak/>
        <w:t>Uso leal</w:t>
      </w:r>
    </w:p>
    <w:p w:rsidR="008059DA" w:rsidRPr="00AA21C6" w:rsidRDefault="008059DA" w:rsidP="006960BC">
      <w:pPr>
        <w:pStyle w:val="ONUMFS"/>
        <w:keepNext/>
        <w:numPr>
          <w:ilvl w:val="0"/>
          <w:numId w:val="0"/>
        </w:numPr>
        <w:rPr>
          <w:b/>
          <w:szCs w:val="22"/>
          <w:lang w:val="es-ES"/>
        </w:rPr>
      </w:pPr>
      <w:r w:rsidRPr="00AA21C6">
        <w:rPr>
          <w:szCs w:val="22"/>
          <w:lang w:val="es-ES"/>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66"/>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t>Derechos del agricultor</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9.1 del Tratado Internacional sobre los Recursos Fitogenéticos para la Alimentación y la Agricultura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En el artículo 2 del Código Internacional de Conducta para la Recolección y Transferencia de Germoplasma,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Fijación</w:t>
      </w:r>
    </w:p>
    <w:p w:rsidR="008059DA" w:rsidRPr="00AA21C6" w:rsidRDefault="008059DA" w:rsidP="008059DA">
      <w:pPr>
        <w:pStyle w:val="ONUMFS"/>
        <w:numPr>
          <w:ilvl w:val="0"/>
          <w:numId w:val="0"/>
        </w:numPr>
        <w:rPr>
          <w:szCs w:val="22"/>
          <w:lang w:val="es-ES"/>
        </w:rPr>
      </w:pPr>
      <w:bookmarkStart w:id="11" w:name="_Ref289444051"/>
      <w:bookmarkEnd w:id="11"/>
      <w:r w:rsidRPr="00AA21C6">
        <w:rPr>
          <w:szCs w:val="22"/>
          <w:lang w:val="es-ES"/>
        </w:rPr>
        <w:t xml:space="preserve">El </w:t>
      </w:r>
      <w:r w:rsidRPr="00AA21C6">
        <w:rPr>
          <w:i/>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67"/>
      </w:r>
      <w:r w:rsidRPr="00AA21C6">
        <w:rPr>
          <w:szCs w:val="22"/>
          <w:lang w:val="es-ES"/>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AA21C6">
        <w:rPr>
          <w:rStyle w:val="FootnoteReference"/>
          <w:szCs w:val="22"/>
          <w:lang w:val="es-ES"/>
        </w:rPr>
        <w:footnoteReference w:id="68"/>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9"/>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70"/>
      </w:r>
    </w:p>
    <w:p w:rsidR="008059DA" w:rsidRPr="00AA21C6" w:rsidRDefault="008059DA" w:rsidP="008059DA">
      <w:pPr>
        <w:pStyle w:val="ONUMFS"/>
        <w:numPr>
          <w:ilvl w:val="0"/>
          <w:numId w:val="0"/>
        </w:numPr>
        <w:rPr>
          <w:b/>
          <w:bCs/>
          <w:szCs w:val="22"/>
          <w:lang w:val="es-ES"/>
        </w:rPr>
      </w:pPr>
      <w:r w:rsidRPr="00AA21C6">
        <w:rPr>
          <w:b/>
          <w:bCs/>
          <w:szCs w:val="22"/>
          <w:lang w:val="es-ES"/>
        </w:rPr>
        <w:lastRenderedPageBreak/>
        <w:t>Folclore</w:t>
      </w:r>
    </w:p>
    <w:p w:rsidR="008059DA" w:rsidRPr="00AA21C6" w:rsidRDefault="008059DA" w:rsidP="008059DA">
      <w:pPr>
        <w:pStyle w:val="ONUMFS"/>
        <w:numPr>
          <w:ilvl w:val="0"/>
          <w:numId w:val="0"/>
        </w:numPr>
        <w:rPr>
          <w:szCs w:val="22"/>
          <w:lang w:val="es-ES"/>
        </w:rPr>
      </w:pPr>
      <w:r w:rsidRPr="00AA21C6">
        <w:rPr>
          <w:szCs w:val="22"/>
          <w:lang w:val="es-ES"/>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8059DA" w:rsidRPr="00AA21C6" w:rsidRDefault="008059DA" w:rsidP="008059DA">
      <w:pPr>
        <w:pStyle w:val="ONUMFS"/>
        <w:numPr>
          <w:ilvl w:val="0"/>
          <w:numId w:val="0"/>
        </w:numPr>
        <w:rPr>
          <w:szCs w:val="22"/>
          <w:lang w:val="es-ES"/>
        </w:rPr>
      </w:pPr>
      <w:r w:rsidRPr="00AA21C6">
        <w:rPr>
          <w:szCs w:val="22"/>
          <w:lang w:val="es-ES"/>
        </w:rPr>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 y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71"/>
      </w:r>
    </w:p>
    <w:p w:rsidR="008059DA" w:rsidRPr="00AA21C6" w:rsidRDefault="008059DA" w:rsidP="008059DA">
      <w:pPr>
        <w:pStyle w:val="ONUMFS"/>
        <w:numPr>
          <w:ilvl w:val="0"/>
          <w:numId w:val="0"/>
        </w:numPr>
        <w:rPr>
          <w:b/>
          <w:bCs/>
          <w:szCs w:val="22"/>
          <w:lang w:val="es-ES"/>
        </w:rPr>
      </w:pPr>
      <w:r w:rsidRPr="00AA21C6">
        <w:rPr>
          <w:b/>
          <w:bCs/>
          <w:szCs w:val="22"/>
          <w:lang w:val="es-ES"/>
        </w:rPr>
        <w:t>Formalidades</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“formalidades” se entiende “cada uno de los requisitos para ejecutar algo”.  El </w:t>
      </w:r>
      <w:r w:rsidRPr="00AA21C6">
        <w:rPr>
          <w:i/>
          <w:iCs/>
          <w:szCs w:val="22"/>
          <w:lang w:val="es-ES"/>
        </w:rPr>
        <w:t>Diccionario de uso del español</w:t>
      </w:r>
      <w:r w:rsidRPr="00AA21C6">
        <w:rPr>
          <w:szCs w:val="22"/>
          <w:lang w:val="es-ES"/>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72"/>
      </w:r>
      <w:r w:rsidRPr="00AA21C6">
        <w:rPr>
          <w:szCs w:val="22"/>
          <w:lang w:val="es-ES"/>
        </w:rPr>
        <w:t xml:space="preserve">  En el Convenio de Berna para la Protección de las Obras Literarias y Artísticas (1971), el Acuerdo sobre los ADPIC, el Tratado de la OMPI sobre Derecho de Autor y el Tratado de la OMPI sobre </w:t>
      </w:r>
      <w:r w:rsidRPr="00AA21C6">
        <w:rPr>
          <w:szCs w:val="22"/>
          <w:lang w:val="es-ES"/>
        </w:rPr>
        <w:lastRenderedPageBreak/>
        <w:t>Interpretación o Ejecución y Fonogramas, “el goce y el ejercicio de estos derechos no estarán subordinados a ninguna formalidad”.</w:t>
      </w:r>
      <w:r w:rsidRPr="00AA21C6">
        <w:rPr>
          <w:rStyle w:val="FootnoteReference"/>
          <w:szCs w:val="22"/>
          <w:lang w:val="es-ES"/>
        </w:rPr>
        <w:footnoteReference w:id="73"/>
      </w:r>
    </w:p>
    <w:p w:rsidR="008059DA" w:rsidRPr="00AA21C6" w:rsidRDefault="008059DA" w:rsidP="008059DA">
      <w:pPr>
        <w:pStyle w:val="ONUMFS"/>
        <w:numPr>
          <w:ilvl w:val="0"/>
          <w:numId w:val="0"/>
        </w:numPr>
        <w:rPr>
          <w:b/>
          <w:bCs/>
          <w:szCs w:val="22"/>
          <w:lang w:val="es-ES"/>
        </w:rPr>
      </w:pPr>
      <w:r w:rsidRPr="00AA21C6">
        <w:rPr>
          <w:b/>
          <w:bCs/>
          <w:szCs w:val="22"/>
          <w:lang w:val="es-ES"/>
        </w:rPr>
        <w:t>Material genético</w:t>
      </w:r>
    </w:p>
    <w:p w:rsidR="008059DA" w:rsidRPr="00AA21C6" w:rsidRDefault="008059DA" w:rsidP="008059DA">
      <w:pPr>
        <w:pStyle w:val="ONUMFS"/>
        <w:numPr>
          <w:ilvl w:val="0"/>
          <w:numId w:val="0"/>
        </w:numPr>
        <w:rPr>
          <w:b/>
          <w:szCs w:val="22"/>
          <w:lang w:val="es-ES"/>
        </w:rPr>
      </w:pPr>
      <w:r w:rsidRPr="00AA21C6">
        <w:rPr>
          <w:szCs w:val="22"/>
          <w:lang w:val="es-ES"/>
        </w:rPr>
        <w:t>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74"/>
      </w:r>
    </w:p>
    <w:p w:rsidR="008059DA" w:rsidRPr="00AA21C6" w:rsidRDefault="008059DA" w:rsidP="008059DA">
      <w:pPr>
        <w:pStyle w:val="ONUMFS"/>
        <w:numPr>
          <w:ilvl w:val="0"/>
          <w:numId w:val="0"/>
        </w:numPr>
        <w:rPr>
          <w:b/>
          <w:bCs/>
          <w:szCs w:val="22"/>
          <w:lang w:val="es-ES"/>
        </w:rPr>
      </w:pPr>
      <w:r w:rsidRPr="00AA21C6">
        <w:rPr>
          <w:b/>
          <w:bCs/>
          <w:szCs w:val="22"/>
          <w:lang w:val="es-ES"/>
        </w:rPr>
        <w:t>Recursos genéticos</w:t>
      </w:r>
    </w:p>
    <w:p w:rsidR="008059DA" w:rsidRPr="00AA21C6" w:rsidRDefault="008059DA" w:rsidP="008059DA">
      <w:pPr>
        <w:pStyle w:val="ONUMFS"/>
        <w:numPr>
          <w:ilvl w:val="0"/>
          <w:numId w:val="0"/>
        </w:numPr>
        <w:rPr>
          <w:szCs w:val="22"/>
          <w:lang w:val="es-ES"/>
        </w:rPr>
      </w:pPr>
      <w:r w:rsidRPr="00AA21C6">
        <w:rPr>
          <w:szCs w:val="22"/>
          <w:lang w:val="es-ES"/>
        </w:rPr>
        <w:t>En el artículo 2 del Convenio sobre la Diversidad Biológica (1992) se define “</w:t>
      </w:r>
      <w:r w:rsidRPr="00AA21C6">
        <w:rPr>
          <w:iCs/>
          <w:szCs w:val="22"/>
          <w:lang w:val="es-ES"/>
        </w:rPr>
        <w:t>recursos genéticos”</w:t>
      </w:r>
      <w:r w:rsidRPr="00AA21C6">
        <w:rPr>
          <w:szCs w:val="22"/>
          <w:lang w:val="es-ES"/>
        </w:rPr>
        <w:t xml:space="preserve"> como “todo material genético de valor real o potencial”.</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8059DA" w:rsidRPr="00AA21C6" w:rsidRDefault="008059DA" w:rsidP="008059DA">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8059DA" w:rsidRPr="00AA21C6" w:rsidRDefault="008059DA" w:rsidP="008059DA">
      <w:pPr>
        <w:pStyle w:val="ONUMFS"/>
        <w:numPr>
          <w:ilvl w:val="0"/>
          <w:numId w:val="0"/>
        </w:numPr>
        <w:rPr>
          <w:i/>
          <w:szCs w:val="22"/>
          <w:lang w:val="es-ES"/>
        </w:rPr>
      </w:pPr>
      <w:r w:rsidRPr="00AA21C6">
        <w:rPr>
          <w:rStyle w:val="Emphasis"/>
          <w:szCs w:val="22"/>
          <w:lang w:val="es-ES"/>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2 del Código Internacional de Conducta para la Recolección y Transferencia de Germoplasma Vegetal de la FAO, el término se define como “material de reproducción o de propagación vegetativa de las plantas”.</w:t>
      </w:r>
    </w:p>
    <w:p w:rsidR="008059DA" w:rsidRPr="00AA21C6" w:rsidRDefault="008059DA" w:rsidP="008059DA">
      <w:pPr>
        <w:pStyle w:val="ONUMFS"/>
        <w:numPr>
          <w:ilvl w:val="0"/>
          <w:numId w:val="0"/>
        </w:numPr>
        <w:rPr>
          <w:szCs w:val="22"/>
          <w:lang w:val="es-ES"/>
        </w:rPr>
      </w:pPr>
      <w:r w:rsidRPr="00AA21C6">
        <w:rPr>
          <w:szCs w:val="22"/>
          <w:lang w:val="es-ES"/>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8059DA" w:rsidRPr="00AA21C6" w:rsidRDefault="008059DA" w:rsidP="008059DA">
      <w:pPr>
        <w:pStyle w:val="ONUMFS"/>
        <w:numPr>
          <w:ilvl w:val="0"/>
          <w:numId w:val="0"/>
        </w:numPr>
        <w:rPr>
          <w:szCs w:val="22"/>
          <w:lang w:val="es-ES"/>
        </w:rPr>
      </w:pPr>
      <w:r w:rsidRPr="00AA21C6">
        <w:rPr>
          <w:rStyle w:val="Emphasis"/>
          <w:szCs w:val="22"/>
          <w:lang w:val="es-ES"/>
        </w:rPr>
        <w:lastRenderedPageBreak/>
        <w:t>En otros instrumentos jurídicos sobre P.I. no se utiliza el término, sino que se habla de “materia biológica”.  En la Directiva de la Unión Europea sobre la protección jurídica de las invenciones biotecnológicas, se define como</w:t>
      </w:r>
      <w:r w:rsidRPr="00AA21C6">
        <w:rPr>
          <w:iCs/>
          <w:szCs w:val="22"/>
          <w:lang w:val="es-ES"/>
        </w:rPr>
        <w:t xml:space="preserve"> </w:t>
      </w:r>
      <w:r w:rsidRPr="00AA21C6">
        <w:rPr>
          <w:szCs w:val="22"/>
          <w:lang w:val="es-ES"/>
        </w:rPr>
        <w:t>“materia que contenga información genética autorreproducible o reproducible en un sistema biológico”.</w:t>
      </w:r>
    </w:p>
    <w:p w:rsidR="008059DA" w:rsidRPr="00AA21C6" w:rsidRDefault="008059DA" w:rsidP="008059DA">
      <w:pPr>
        <w:pStyle w:val="ONUMFS"/>
        <w:numPr>
          <w:ilvl w:val="0"/>
          <w:numId w:val="0"/>
        </w:numPr>
        <w:rPr>
          <w:szCs w:val="22"/>
          <w:lang w:val="es-ES"/>
        </w:rPr>
      </w:pPr>
      <w:r w:rsidRPr="00AA21C6">
        <w:rPr>
          <w:szCs w:val="22"/>
          <w:lang w:val="es-ES"/>
        </w:rPr>
        <w:t>Con arreglo al Código de Reglamentos Federales estadounidense, la definición del término “materia biológica” comprenderá “toda materia capaz de autorreproducirse directa o indirectamente”.</w:t>
      </w:r>
    </w:p>
    <w:p w:rsidR="008059DA" w:rsidRPr="00AA21C6" w:rsidRDefault="008059DA" w:rsidP="008059DA">
      <w:pPr>
        <w:pStyle w:val="ONUMFS"/>
        <w:numPr>
          <w:ilvl w:val="0"/>
          <w:numId w:val="0"/>
        </w:numPr>
        <w:rPr>
          <w:b/>
          <w:szCs w:val="22"/>
          <w:lang w:val="es-ES"/>
        </w:rPr>
      </w:pPr>
      <w:r w:rsidRPr="00AA21C6">
        <w:rPr>
          <w:szCs w:val="22"/>
          <w:lang w:val="es-ES"/>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8059DA" w:rsidRPr="00AA21C6" w:rsidRDefault="008059DA" w:rsidP="008059DA">
      <w:pPr>
        <w:pStyle w:val="ONUMFS"/>
        <w:keepNext/>
        <w:numPr>
          <w:ilvl w:val="0"/>
          <w:numId w:val="0"/>
        </w:numPr>
        <w:rPr>
          <w:b/>
          <w:bCs/>
          <w:szCs w:val="22"/>
          <w:lang w:val="es-ES"/>
        </w:rPr>
      </w:pPr>
      <w:r w:rsidRPr="00AA21C6">
        <w:rPr>
          <w:b/>
          <w:bCs/>
          <w:szCs w:val="22"/>
          <w:lang w:val="es-ES"/>
        </w:rPr>
        <w:t>Patrimonio (de los pueblos indígenas)</w:t>
      </w:r>
    </w:p>
    <w:p w:rsidR="008059DA" w:rsidRPr="00AA21C6" w:rsidRDefault="008059DA" w:rsidP="008059DA">
      <w:pPr>
        <w:pStyle w:val="ONUMFS"/>
        <w:keepNext/>
        <w:numPr>
          <w:ilvl w:val="0"/>
          <w:numId w:val="0"/>
        </w:numPr>
        <w:rPr>
          <w:szCs w:val="22"/>
          <w:lang w:val="es-ES"/>
        </w:rPr>
      </w:pPr>
      <w:r w:rsidRPr="00AA21C6">
        <w:rPr>
          <w:szCs w:val="22"/>
          <w:lang w:val="es-ES"/>
        </w:rPr>
        <w:t>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Sra. Erica-Irene Daes.  Las definiciones se recogen en los párrafos 12, 13 y 14 de las Directrices.</w:t>
      </w:r>
    </w:p>
    <w:p w:rsidR="008059DA" w:rsidRPr="00AA21C6" w:rsidRDefault="008059DA" w:rsidP="008059DA">
      <w:pPr>
        <w:pStyle w:val="ONUMFS"/>
        <w:numPr>
          <w:ilvl w:val="0"/>
          <w:numId w:val="0"/>
        </w:numPr>
        <w:rPr>
          <w:b/>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w:t>
      </w:r>
      <w:r w:rsidRPr="00AA21C6">
        <w:rPr>
          <w:szCs w:val="22"/>
          <w:lang w:val="es-ES"/>
        </w:rPr>
        <w:lastRenderedPageBreak/>
        <w:t>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75"/>
      </w:r>
    </w:p>
    <w:p w:rsidR="008059DA" w:rsidRPr="00AA21C6" w:rsidRDefault="008059DA" w:rsidP="008059DA">
      <w:pPr>
        <w:pStyle w:val="ONUMFS"/>
        <w:numPr>
          <w:ilvl w:val="0"/>
          <w:numId w:val="0"/>
        </w:numPr>
        <w:rPr>
          <w:b/>
          <w:bCs/>
          <w:szCs w:val="22"/>
          <w:lang w:val="es-ES"/>
        </w:rPr>
      </w:pPr>
      <w:r w:rsidRPr="00AA21C6">
        <w:rPr>
          <w:b/>
          <w:bCs/>
          <w:szCs w:val="22"/>
          <w:lang w:val="es-ES"/>
        </w:rPr>
        <w:t>Comunidades indígenas y locales</w:t>
      </w:r>
    </w:p>
    <w:p w:rsidR="008059DA" w:rsidRPr="00AA21C6" w:rsidRDefault="008059DA" w:rsidP="008059DA">
      <w:pPr>
        <w:pStyle w:val="ONUMFS"/>
        <w:numPr>
          <w:ilvl w:val="0"/>
          <w:numId w:val="0"/>
        </w:numPr>
        <w:rPr>
          <w:szCs w:val="22"/>
          <w:lang w:val="es-ES"/>
        </w:rPr>
      </w:pPr>
      <w:r w:rsidRPr="00AA21C6">
        <w:rPr>
          <w:szCs w:val="22"/>
          <w:lang w:val="es-ES"/>
        </w:rPr>
        <w:t>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En el 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6"/>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7"/>
      </w:r>
    </w:p>
    <w:p w:rsidR="008059DA" w:rsidRPr="00AA21C6" w:rsidRDefault="008059DA" w:rsidP="008059DA">
      <w:pPr>
        <w:pStyle w:val="ONUMFS"/>
        <w:numPr>
          <w:ilvl w:val="0"/>
          <w:numId w:val="0"/>
        </w:numPr>
        <w:rPr>
          <w:szCs w:val="22"/>
          <w:lang w:val="es-ES"/>
        </w:rPr>
      </w:pPr>
      <w:r w:rsidRPr="00AA21C6">
        <w:rPr>
          <w:szCs w:val="22"/>
          <w:lang w:val="es-ES"/>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8059DA" w:rsidRPr="00AA21C6" w:rsidRDefault="008059DA" w:rsidP="008059DA">
      <w:pPr>
        <w:pStyle w:val="ONUMFS"/>
        <w:numPr>
          <w:ilvl w:val="0"/>
          <w:numId w:val="0"/>
        </w:numPr>
        <w:rPr>
          <w:szCs w:val="22"/>
          <w:lang w:val="es-ES"/>
        </w:rPr>
      </w:pPr>
      <w:r w:rsidRPr="00AA21C6">
        <w:rPr>
          <w:szCs w:val="22"/>
          <w:lang w:val="es-ES"/>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 xml:space="preserve">ada Parte Contratante […] en particular, según proceda:  […] c) promoverá o apoyará, cuando proceda, los esfuerzos de los </w:t>
      </w:r>
      <w:r w:rsidRPr="00AA21C6">
        <w:rPr>
          <w:iCs/>
          <w:szCs w:val="22"/>
          <w:lang w:val="es-ES"/>
        </w:rPr>
        <w:lastRenderedPageBreak/>
        <w:t>agricultores y de las comunidades locales encaminados a la ordenación y conservación en las fincas de sus recursos fitogenéticos para la alimentación y la agricultura […]</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utiliza una terminología diferente:  la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Conocimientos indígenas</w:t>
      </w:r>
    </w:p>
    <w:p w:rsidR="008059DA" w:rsidRPr="00AA21C6" w:rsidRDefault="008059DA" w:rsidP="008059DA">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8"/>
      </w:r>
    </w:p>
    <w:p w:rsidR="008059DA" w:rsidRPr="00AA21C6" w:rsidRDefault="008059DA" w:rsidP="008059DA">
      <w:pPr>
        <w:pStyle w:val="ONUMFS"/>
        <w:numPr>
          <w:ilvl w:val="0"/>
          <w:numId w:val="0"/>
        </w:numPr>
        <w:rPr>
          <w:b/>
          <w:bCs/>
          <w:szCs w:val="22"/>
          <w:lang w:val="es-ES"/>
        </w:rPr>
      </w:pPr>
      <w:r w:rsidRPr="00AA21C6">
        <w:rPr>
          <w:b/>
          <w:bCs/>
          <w:szCs w:val="22"/>
          <w:lang w:val="es-ES"/>
        </w:rPr>
        <w:t>Pueblos indígenas</w:t>
      </w:r>
    </w:p>
    <w:p w:rsidR="008059DA" w:rsidRPr="00AA21C6" w:rsidRDefault="008059DA" w:rsidP="008059DA">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8059DA" w:rsidRPr="00AA21C6" w:rsidRDefault="008059DA" w:rsidP="008059DA">
      <w:pPr>
        <w:pStyle w:val="ONUMFS"/>
        <w:numPr>
          <w:ilvl w:val="0"/>
          <w:numId w:val="0"/>
        </w:numPr>
        <w:rPr>
          <w:szCs w:val="22"/>
          <w:lang w:val="es-ES"/>
        </w:rPr>
      </w:pPr>
      <w:r w:rsidRPr="00AA21C6">
        <w:rPr>
          <w:szCs w:val="22"/>
          <w:lang w:val="es-ES"/>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8059DA" w:rsidRPr="00AA21C6" w:rsidRDefault="008059DA" w:rsidP="008059DA">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 xml:space="preserve">teniendo una continuidad histórica con las sociedades anteriores a la invasión y precoloniales que se desarrollaron en sus territorios, </w:t>
      </w:r>
      <w:r w:rsidRPr="00AA21C6">
        <w:rPr>
          <w:iCs/>
          <w:szCs w:val="22"/>
          <w:lang w:val="es-ES"/>
        </w:rPr>
        <w:lastRenderedPageBreak/>
        <w:t>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8059DA" w:rsidRPr="00AA21C6" w:rsidRDefault="008059DA" w:rsidP="008059DA">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8059DA" w:rsidRPr="00AA21C6" w:rsidRDefault="008059DA" w:rsidP="008059DA">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9"/>
      </w:r>
    </w:p>
    <w:p w:rsidR="008059DA" w:rsidRPr="00AA21C6" w:rsidRDefault="008059DA" w:rsidP="008059DA">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80"/>
      </w:r>
    </w:p>
    <w:p w:rsidR="008059DA" w:rsidRPr="00AA21C6" w:rsidRDefault="008059DA" w:rsidP="008059DA">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81"/>
      </w:r>
    </w:p>
    <w:p w:rsidR="008059DA" w:rsidRPr="00AA21C6" w:rsidRDefault="008059DA" w:rsidP="008059DA">
      <w:pPr>
        <w:pStyle w:val="ONUMFS"/>
        <w:numPr>
          <w:ilvl w:val="0"/>
          <w:numId w:val="0"/>
        </w:numPr>
        <w:rPr>
          <w:szCs w:val="22"/>
          <w:lang w:val="es-ES"/>
        </w:rPr>
      </w:pPr>
      <w:r w:rsidRPr="00AA21C6">
        <w:rPr>
          <w:szCs w:val="22"/>
          <w:lang w:val="es-ES"/>
        </w:rPr>
        <w:lastRenderedPageBreak/>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82"/>
      </w:r>
      <w:r w:rsidRPr="00AA21C6">
        <w:rPr>
          <w:szCs w:val="22"/>
          <w:lang w:val="es-ES"/>
        </w:rPr>
        <w:t xml:space="preserve"> y a los fines de la presente política, el IFAD utilizará una definición de “pueblos indígenas” basada en los siguiente criterios: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83"/>
      </w:r>
    </w:p>
    <w:p w:rsidR="008059DA" w:rsidRPr="00AA21C6" w:rsidRDefault="008059DA" w:rsidP="008059DA">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84"/>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8059DA" w:rsidRPr="00AA21C6" w:rsidRDefault="008059DA" w:rsidP="008059DA">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xml:space="preserve">.  En el Diccionario Oxford se define dicho término </w:t>
      </w:r>
      <w:r w:rsidRPr="00AA21C6">
        <w:rPr>
          <w:szCs w:val="22"/>
          <w:lang w:val="es-ES"/>
        </w:rPr>
        <w:lastRenderedPageBreak/>
        <w:t>también como pueblo que vivía u ocupaba un país antes de la llegada de los colonos europeos […] y también como nombre característico del pueblo indígena de Australia.</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el pueblo aborigen del Canadá incluye los pueblos indígena, inuit y mestizo del Canadá.</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AA21C6">
        <w:rPr>
          <w:iCs/>
          <w:szCs w:val="22"/>
          <w:lang w:val="es-ES"/>
        </w:rPr>
        <w:t>entidades políticas y culturales orgánicas que proceden del pueblo original de América del Norte</w:t>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85"/>
      </w:r>
    </w:p>
    <w:p w:rsidR="008059DA" w:rsidRPr="00AA21C6" w:rsidRDefault="008059DA" w:rsidP="008059DA">
      <w:pPr>
        <w:pStyle w:val="ONUMFS"/>
        <w:keepNext/>
        <w:numPr>
          <w:ilvl w:val="0"/>
          <w:numId w:val="0"/>
        </w:numPr>
        <w:rPr>
          <w:b/>
          <w:szCs w:val="22"/>
          <w:lang w:val="es-ES"/>
        </w:rPr>
      </w:pPr>
      <w:r w:rsidRPr="00AA21C6">
        <w:rPr>
          <w:b/>
          <w:bCs/>
          <w:szCs w:val="22"/>
          <w:lang w:val="es-ES"/>
        </w:rPr>
        <w:t>Infracción</w:t>
      </w:r>
    </w:p>
    <w:p w:rsidR="008059DA" w:rsidRPr="00AA21C6" w:rsidRDefault="008059DA" w:rsidP="008059DA">
      <w:pPr>
        <w:pStyle w:val="ONUMFS"/>
        <w:keepNext/>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6"/>
      </w:r>
    </w:p>
    <w:p w:rsidR="008059DA" w:rsidRPr="00AA21C6" w:rsidRDefault="008059DA" w:rsidP="008059DA">
      <w:pPr>
        <w:pStyle w:val="ONUMFS"/>
        <w:numPr>
          <w:ilvl w:val="0"/>
          <w:numId w:val="0"/>
        </w:numPr>
        <w:rPr>
          <w:b/>
          <w:i/>
          <w:szCs w:val="22"/>
          <w:lang w:val="es-ES"/>
        </w:rPr>
      </w:pPr>
      <w:r w:rsidRPr="00AA21C6">
        <w:rPr>
          <w:b/>
          <w:i/>
          <w:szCs w:val="22"/>
          <w:lang w:val="es-ES"/>
        </w:rPr>
        <w:t>In-situ</w:t>
      </w:r>
    </w:p>
    <w:p w:rsidR="008059DA" w:rsidRPr="00AA21C6" w:rsidRDefault="008059DA" w:rsidP="008059DA">
      <w:pPr>
        <w:pStyle w:val="ONUMFS"/>
        <w:numPr>
          <w:ilvl w:val="0"/>
          <w:numId w:val="0"/>
        </w:numPr>
        <w:rPr>
          <w:szCs w:val="22"/>
          <w:lang w:val="es-ES"/>
        </w:rPr>
      </w:pPr>
      <w:r w:rsidRPr="00AA21C6">
        <w:rPr>
          <w:szCs w:val="22"/>
          <w:lang w:val="es-ES"/>
        </w:rPr>
        <w:t>Según el 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 inmaterial</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“inmaterial” significa “no material”;  el </w:t>
      </w:r>
      <w:r w:rsidRPr="00AA21C6">
        <w:rPr>
          <w:i/>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AA21C6">
        <w:rPr>
          <w:i/>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8059DA" w:rsidRPr="00AA21C6" w:rsidRDefault="008059DA" w:rsidP="008059DA">
      <w:pPr>
        <w:pStyle w:val="ONUMFS"/>
        <w:numPr>
          <w:ilvl w:val="0"/>
          <w:numId w:val="0"/>
        </w:numPr>
        <w:rPr>
          <w:szCs w:val="22"/>
          <w:lang w:val="es-ES"/>
        </w:rPr>
      </w:pPr>
      <w:r w:rsidRPr="00AA21C6">
        <w:rPr>
          <w:szCs w:val="22"/>
          <w:lang w:val="es-ES"/>
        </w:rPr>
        <w:t xml:space="preserve">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w:t>
      </w:r>
      <w:r w:rsidRPr="00AA21C6">
        <w:rPr>
          <w:szCs w:val="22"/>
          <w:lang w:val="es-ES"/>
        </w:rPr>
        <w:lastRenderedPageBreak/>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8059DA" w:rsidRPr="00AA21C6" w:rsidRDefault="008059DA" w:rsidP="008059DA">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8059DA" w:rsidRPr="00AA21C6" w:rsidRDefault="008059DA" w:rsidP="008059DA">
      <w:pPr>
        <w:pStyle w:val="ONUMFS"/>
        <w:numPr>
          <w:ilvl w:val="0"/>
          <w:numId w:val="0"/>
        </w:numPr>
        <w:rPr>
          <w:b/>
          <w:szCs w:val="22"/>
          <w:lang w:val="es-ES"/>
        </w:rPr>
      </w:pPr>
      <w:r w:rsidRPr="00AA21C6">
        <w:rPr>
          <w:b/>
          <w:bCs/>
          <w:szCs w:val="22"/>
          <w:lang w:val="es-ES"/>
        </w:rPr>
        <w:t>Integridad [derecho de] [de la obra]</w:t>
      </w:r>
    </w:p>
    <w:p w:rsidR="008059DA" w:rsidRPr="00AA21C6" w:rsidRDefault="008059DA" w:rsidP="008059DA">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7"/>
      </w:r>
      <w:r w:rsidRPr="00AA21C6">
        <w:rPr>
          <w:szCs w:val="22"/>
          <w:lang w:val="es-ES"/>
        </w:rPr>
        <w:t xml:space="preserve">  En la revisión de Bruselas del Convenio de Berna (1949),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8059DA" w:rsidRPr="00AA21C6" w:rsidRDefault="008059DA" w:rsidP="008059DA">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AA21C6">
        <w:rPr>
          <w:rStyle w:val="FootnoteReference"/>
          <w:szCs w:val="22"/>
          <w:lang w:val="es-ES"/>
        </w:rPr>
        <w:footnoteReference w:id="88"/>
      </w:r>
      <w:r w:rsidRPr="00AA21C6">
        <w:rPr>
          <w:szCs w:val="22"/>
          <w:lang w:val="es-ES"/>
        </w:rPr>
        <w:t xml:space="preserve">  </w:t>
      </w:r>
      <w:bookmarkEnd w:id="12"/>
    </w:p>
    <w:p w:rsidR="008059DA" w:rsidRPr="00AA21C6" w:rsidRDefault="008059DA" w:rsidP="008059DA">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9"/>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90"/>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91"/>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8059DA" w:rsidRPr="00AA21C6" w:rsidRDefault="008059DA" w:rsidP="008059DA">
      <w:pPr>
        <w:pStyle w:val="ONUMFS"/>
        <w:numPr>
          <w:ilvl w:val="0"/>
          <w:numId w:val="0"/>
        </w:numPr>
        <w:rPr>
          <w:szCs w:val="22"/>
          <w:lang w:val="es-ES"/>
        </w:rPr>
      </w:pPr>
      <w:r w:rsidRPr="00AA21C6">
        <w:rPr>
          <w:szCs w:val="22"/>
          <w:lang w:val="es-ES"/>
        </w:rPr>
        <w:lastRenderedPageBreak/>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92"/>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93"/>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94"/>
      </w:r>
    </w:p>
    <w:p w:rsidR="008059DA" w:rsidRPr="00AA21C6" w:rsidRDefault="008059DA" w:rsidP="008059DA">
      <w:pPr>
        <w:pStyle w:val="ONUMFS"/>
        <w:numPr>
          <w:ilvl w:val="0"/>
          <w:numId w:val="0"/>
        </w:numPr>
        <w:rPr>
          <w:b/>
          <w:szCs w:val="22"/>
          <w:lang w:val="es-ES"/>
        </w:rPr>
      </w:pPr>
      <w:r w:rsidRPr="00AA21C6">
        <w:rPr>
          <w:b/>
          <w:szCs w:val="22"/>
          <w:lang w:val="es-ES"/>
        </w:rPr>
        <w:t>Clasificación Internacional de Patentes (CIP)</w:t>
      </w:r>
    </w:p>
    <w:p w:rsidR="008059DA" w:rsidRPr="00AA21C6" w:rsidRDefault="008059DA" w:rsidP="008059DA">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95"/>
      </w:r>
    </w:p>
    <w:p w:rsidR="008059DA" w:rsidRPr="00AA21C6" w:rsidRDefault="008059DA" w:rsidP="008059DA">
      <w:pPr>
        <w:pStyle w:val="ONUMFS"/>
        <w:numPr>
          <w:ilvl w:val="0"/>
          <w:numId w:val="0"/>
        </w:numPr>
        <w:rPr>
          <w:b/>
          <w:szCs w:val="22"/>
          <w:lang w:val="es-ES"/>
        </w:rPr>
      </w:pPr>
      <w:r w:rsidRPr="00AA21C6">
        <w:rPr>
          <w:szCs w:val="22"/>
          <w:lang w:val="es-ES"/>
        </w:rPr>
        <w:t>La CIP fue establecida a raíz de la adopción, en 1971, del Arreglo de Estrasburgo relativo a la Clasificación Internacional de Patentes.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Actividad inventiva</w:t>
      </w:r>
    </w:p>
    <w:p w:rsidR="008059DA" w:rsidRPr="00AA21C6" w:rsidRDefault="008059DA" w:rsidP="008059DA">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6"/>
      </w:r>
    </w:p>
    <w:p w:rsidR="008059DA" w:rsidRPr="00AA21C6" w:rsidRDefault="008059DA" w:rsidP="008059DA">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8059DA" w:rsidRPr="00AA21C6" w:rsidRDefault="008059DA" w:rsidP="008059DA">
      <w:pPr>
        <w:pStyle w:val="ONUMFS"/>
        <w:numPr>
          <w:ilvl w:val="0"/>
          <w:numId w:val="0"/>
        </w:numPr>
        <w:rPr>
          <w:b/>
          <w:szCs w:val="22"/>
          <w:lang w:val="es-ES"/>
        </w:rPr>
      </w:pPr>
      <w:r w:rsidRPr="00AA21C6">
        <w:rPr>
          <w:szCs w:val="22"/>
          <w:lang w:val="es-ES"/>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8059DA" w:rsidRPr="00AA21C6" w:rsidRDefault="008059DA" w:rsidP="008059DA">
      <w:pPr>
        <w:pStyle w:val="ONUMFS"/>
        <w:numPr>
          <w:ilvl w:val="0"/>
          <w:numId w:val="0"/>
        </w:numPr>
        <w:rPr>
          <w:b/>
          <w:szCs w:val="22"/>
          <w:lang w:val="es-ES"/>
        </w:rPr>
      </w:pPr>
      <w:r w:rsidRPr="00AA21C6">
        <w:rPr>
          <w:b/>
          <w:szCs w:val="22"/>
          <w:lang w:val="es-ES"/>
        </w:rPr>
        <w:t>Acuerdos de licencia</w:t>
      </w:r>
    </w:p>
    <w:p w:rsidR="008059DA" w:rsidRPr="00AA21C6" w:rsidRDefault="008059DA" w:rsidP="008059DA">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7"/>
      </w:r>
    </w:p>
    <w:p w:rsidR="008059DA" w:rsidRPr="00AA21C6" w:rsidRDefault="008059DA" w:rsidP="008059DA">
      <w:pPr>
        <w:pStyle w:val="ONUMFS"/>
        <w:numPr>
          <w:ilvl w:val="0"/>
          <w:numId w:val="0"/>
        </w:numPr>
        <w:rPr>
          <w:b/>
          <w:szCs w:val="22"/>
          <w:lang w:val="es-ES"/>
        </w:rPr>
      </w:pPr>
      <w:r w:rsidRPr="00AA21C6">
        <w:rPr>
          <w:b/>
          <w:szCs w:val="22"/>
          <w:lang w:val="es-ES"/>
        </w:rPr>
        <w:t>Limitación</w:t>
      </w:r>
    </w:p>
    <w:p w:rsidR="008059DA" w:rsidRPr="00AA21C6" w:rsidRDefault="008059DA" w:rsidP="008059DA">
      <w:pPr>
        <w:pStyle w:val="ONUMFS"/>
        <w:numPr>
          <w:ilvl w:val="0"/>
          <w:numId w:val="0"/>
        </w:numPr>
        <w:rPr>
          <w:szCs w:val="22"/>
          <w:lang w:val="es-ES"/>
        </w:rPr>
      </w:pPr>
      <w:r w:rsidRPr="00AA21C6">
        <w:rPr>
          <w:szCs w:val="22"/>
          <w:lang w:val="es-ES"/>
        </w:rPr>
        <w:t>La Real Academia Española explica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8"/>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9"/>
      </w:r>
    </w:p>
    <w:p w:rsidR="008059DA" w:rsidRPr="00AA21C6" w:rsidRDefault="008059DA" w:rsidP="008059DA">
      <w:pPr>
        <w:pStyle w:val="ONUMFS"/>
        <w:numPr>
          <w:ilvl w:val="0"/>
          <w:numId w:val="0"/>
        </w:numPr>
        <w:rPr>
          <w:b/>
          <w:szCs w:val="22"/>
          <w:lang w:val="es-ES"/>
        </w:rPr>
      </w:pPr>
      <w:r w:rsidRPr="00AA21C6">
        <w:rPr>
          <w:szCs w:val="22"/>
          <w:lang w:val="es-ES"/>
        </w:rPr>
        <w:t>En el Convenio de Berna para la Protección de las Obras Literarias y Artísticas (1971) se fijan los supuestos en que quedan limitados los derechos del autor y, en consecuencia, es posible hacer uso libremente de la obra.</w:t>
      </w:r>
      <w:r w:rsidRPr="00AA21C6">
        <w:rPr>
          <w:rStyle w:val="FootnoteReference"/>
          <w:szCs w:val="22"/>
          <w:lang w:val="es-ES"/>
        </w:rPr>
        <w:footnoteReference w:id="100"/>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101"/>
      </w:r>
      <w:r w:rsidRPr="00AA21C6">
        <w:rPr>
          <w:szCs w:val="22"/>
          <w:lang w:val="es-ES"/>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AA21C6">
        <w:rPr>
          <w:rStyle w:val="FootnoteReference"/>
          <w:szCs w:val="22"/>
          <w:lang w:val="es-ES"/>
        </w:rPr>
        <w:footnoteReference w:id="102"/>
      </w:r>
    </w:p>
    <w:p w:rsidR="008059DA" w:rsidRPr="00AA21C6" w:rsidRDefault="008059DA" w:rsidP="008059DA">
      <w:pPr>
        <w:pStyle w:val="ONUMFS"/>
        <w:keepNext/>
        <w:numPr>
          <w:ilvl w:val="0"/>
          <w:numId w:val="0"/>
        </w:numPr>
        <w:rPr>
          <w:b/>
          <w:szCs w:val="22"/>
          <w:lang w:val="es-ES"/>
        </w:rPr>
      </w:pPr>
      <w:r w:rsidRPr="00AA21C6">
        <w:rPr>
          <w:b/>
          <w:szCs w:val="22"/>
          <w:lang w:val="es-ES"/>
        </w:rPr>
        <w:t>Acuerdos de transferencia de material</w:t>
      </w:r>
    </w:p>
    <w:p w:rsidR="008059DA" w:rsidRPr="00AA21C6" w:rsidRDefault="008059DA" w:rsidP="008059DA">
      <w:pPr>
        <w:pStyle w:val="ONUMFS"/>
        <w:keepNext/>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103"/>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4"/>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5"/>
      </w:r>
      <w:r w:rsidRPr="00AA21C6">
        <w:rPr>
          <w:szCs w:val="22"/>
          <w:lang w:val="es-ES"/>
        </w:rPr>
        <w:t xml:space="preserve">  En el Apéndice I de las Directrices de Bonn se hacen sugerencias con respecto a los acuerdos de transferencia de materiales.</w:t>
      </w:r>
    </w:p>
    <w:p w:rsidR="008059DA" w:rsidRPr="00AA21C6" w:rsidRDefault="008059DA" w:rsidP="008059DA">
      <w:pPr>
        <w:pStyle w:val="ONUMFS"/>
        <w:numPr>
          <w:ilvl w:val="0"/>
          <w:numId w:val="0"/>
        </w:numPr>
        <w:rPr>
          <w:b/>
          <w:szCs w:val="22"/>
          <w:lang w:val="es-ES"/>
        </w:rPr>
      </w:pPr>
      <w:r w:rsidRPr="00AA21C6">
        <w:rPr>
          <w:b/>
          <w:szCs w:val="22"/>
          <w:lang w:val="es-ES"/>
        </w:rPr>
        <w:t>Documentación mínima del PCT</w:t>
      </w:r>
    </w:p>
    <w:p w:rsidR="008059DA" w:rsidRPr="00AA21C6" w:rsidRDefault="008059DA" w:rsidP="008059DA">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w:t>
      </w:r>
      <w:r w:rsidRPr="00AA21C6">
        <w:rPr>
          <w:szCs w:val="22"/>
          <w:lang w:val="es-ES"/>
        </w:rPr>
        <w:lastRenderedPageBreak/>
        <w:t>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6"/>
      </w:r>
    </w:p>
    <w:p w:rsidR="008059DA" w:rsidRPr="00AA21C6" w:rsidRDefault="008059DA" w:rsidP="008059DA">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7"/>
      </w:r>
    </w:p>
    <w:p w:rsidR="008059DA" w:rsidRPr="00AA21C6" w:rsidRDefault="008059DA" w:rsidP="008059DA">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8"/>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8059DA" w:rsidRPr="00AA21C6" w:rsidRDefault="008059DA" w:rsidP="008059DA">
      <w:pPr>
        <w:pStyle w:val="ONUMFS"/>
        <w:numPr>
          <w:ilvl w:val="0"/>
          <w:numId w:val="0"/>
        </w:numPr>
        <w:rPr>
          <w:b/>
          <w:szCs w:val="22"/>
          <w:lang w:val="es-ES"/>
        </w:rPr>
      </w:pPr>
      <w:r w:rsidRPr="00AA21C6">
        <w:rPr>
          <w:b/>
          <w:szCs w:val="22"/>
          <w:lang w:val="es-ES"/>
        </w:rPr>
        <w:t>Minoría</w:t>
      </w:r>
    </w:p>
    <w:p w:rsidR="008059DA" w:rsidRPr="00AA21C6" w:rsidRDefault="008059DA" w:rsidP="008059DA">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9"/>
      </w:r>
    </w:p>
    <w:p w:rsidR="008059DA" w:rsidRPr="00AA21C6" w:rsidRDefault="008059DA" w:rsidP="008059DA">
      <w:pPr>
        <w:pStyle w:val="ONUMFS"/>
        <w:keepNext/>
        <w:keepLines/>
        <w:numPr>
          <w:ilvl w:val="0"/>
          <w:numId w:val="0"/>
        </w:numPr>
        <w:rPr>
          <w:szCs w:val="22"/>
          <w:lang w:val="es-ES"/>
        </w:rPr>
      </w:pPr>
      <w:r w:rsidRPr="00AA21C6">
        <w:rPr>
          <w:szCs w:val="22"/>
          <w:lang w:val="es-ES"/>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10"/>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11"/>
      </w:r>
    </w:p>
    <w:p w:rsidR="008059DA" w:rsidRPr="00AA21C6" w:rsidRDefault="008059DA" w:rsidP="008059DA">
      <w:pPr>
        <w:pStyle w:val="ONUMFS"/>
        <w:numPr>
          <w:ilvl w:val="0"/>
          <w:numId w:val="0"/>
        </w:numPr>
        <w:rPr>
          <w:b/>
          <w:szCs w:val="22"/>
          <w:lang w:val="es-ES"/>
        </w:rPr>
      </w:pPr>
      <w:r w:rsidRPr="00AA21C6">
        <w:rPr>
          <w:szCs w:val="22"/>
          <w:lang w:val="es-ES"/>
        </w:rPr>
        <w:t>El “Pacto Internacional</w:t>
      </w:r>
      <w:r w:rsidRPr="00AA21C6">
        <w:rPr>
          <w:rStyle w:val="FootnoteReference"/>
          <w:szCs w:val="22"/>
          <w:lang w:val="es-ES"/>
        </w:rPr>
        <w:footnoteReference w:id="112"/>
      </w:r>
      <w:r w:rsidRPr="00AA21C6">
        <w:rPr>
          <w:szCs w:val="22"/>
          <w:lang w:val="es-ES"/>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8059DA" w:rsidRPr="00AA21C6" w:rsidRDefault="008059DA" w:rsidP="008059DA">
      <w:pPr>
        <w:pStyle w:val="ONUMFS"/>
        <w:numPr>
          <w:ilvl w:val="0"/>
          <w:numId w:val="0"/>
        </w:numPr>
        <w:rPr>
          <w:b/>
          <w:szCs w:val="22"/>
          <w:lang w:val="es-ES"/>
        </w:rPr>
      </w:pPr>
      <w:r w:rsidRPr="00AA21C6">
        <w:rPr>
          <w:b/>
          <w:szCs w:val="22"/>
          <w:lang w:val="es-ES"/>
        </w:rPr>
        <w:lastRenderedPageBreak/>
        <w:t>Apropiación indebida</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8059DA" w:rsidRPr="00AA21C6" w:rsidRDefault="008059DA" w:rsidP="008059DA">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8059DA" w:rsidRPr="00AA21C6" w:rsidRDefault="008059DA" w:rsidP="008059DA">
      <w:pPr>
        <w:pStyle w:val="ONUMFS"/>
        <w:numPr>
          <w:ilvl w:val="0"/>
          <w:numId w:val="0"/>
        </w:numPr>
        <w:rPr>
          <w:b/>
          <w:szCs w:val="22"/>
          <w:lang w:val="es-ES"/>
        </w:rPr>
      </w:pPr>
      <w:r w:rsidRPr="00AA21C6">
        <w:rPr>
          <w:szCs w:val="22"/>
          <w:lang w:val="es-ES"/>
        </w:rPr>
        <w:t>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13"/>
      </w:r>
    </w:p>
    <w:p w:rsidR="008059DA" w:rsidRPr="00AA21C6" w:rsidRDefault="008059DA" w:rsidP="008059DA">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4"/>
      </w:r>
    </w:p>
    <w:p w:rsidR="008059DA" w:rsidRPr="00AA21C6" w:rsidRDefault="008059DA" w:rsidP="008059DA">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AA21C6">
        <w:rPr>
          <w:i/>
          <w:iCs/>
          <w:szCs w:val="22"/>
          <w:lang w:val="es-ES"/>
        </w:rPr>
        <w:t>utilización de una patente para ampliar indebidamente el monopolio concedido para dar cabida a productos no patentados o para infringir leyes antimonopolio</w:t>
      </w:r>
      <w:r w:rsidRPr="00AA21C6">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w:t>
      </w:r>
      <w:r w:rsidRPr="00AA21C6">
        <w:rPr>
          <w:szCs w:val="22"/>
          <w:lang w:val="es-ES"/>
        </w:rPr>
        <w:lastRenderedPageBreak/>
        <w:t>puede entenderse una utilización indebida o excesiva o todo acto que modifique la finalidad o función inherente de algo.</w:t>
      </w:r>
    </w:p>
    <w:p w:rsidR="008059DA" w:rsidRPr="00AA21C6" w:rsidRDefault="008059DA" w:rsidP="008059DA">
      <w:pPr>
        <w:pStyle w:val="ONUMFS"/>
        <w:numPr>
          <w:ilvl w:val="0"/>
          <w:numId w:val="0"/>
        </w:numPr>
        <w:rPr>
          <w:b/>
          <w:szCs w:val="22"/>
          <w:lang w:val="es-ES"/>
        </w:rPr>
      </w:pPr>
      <w:r w:rsidRPr="00AA21C6">
        <w:rPr>
          <w:b/>
          <w:szCs w:val="22"/>
          <w:lang w:val="es-ES"/>
        </w:rPr>
        <w:t>Modificación</w:t>
      </w:r>
    </w:p>
    <w:p w:rsidR="008059DA" w:rsidRPr="00AA21C6" w:rsidRDefault="008059DA" w:rsidP="008059DA">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8059DA" w:rsidRPr="00AA21C6" w:rsidRDefault="008059DA" w:rsidP="008059DA">
      <w:pPr>
        <w:pStyle w:val="ONUMFS"/>
        <w:numPr>
          <w:ilvl w:val="0"/>
          <w:numId w:val="0"/>
        </w:numPr>
        <w:rPr>
          <w:b/>
          <w:szCs w:val="22"/>
          <w:lang w:val="es-ES"/>
        </w:rPr>
      </w:pPr>
      <w:r w:rsidRPr="00AA21C6">
        <w:rPr>
          <w:b/>
          <w:szCs w:val="22"/>
          <w:lang w:val="es-ES"/>
        </w:rPr>
        <w:t>Expresión musical</w:t>
      </w:r>
    </w:p>
    <w:p w:rsidR="008059DA" w:rsidRPr="00AA21C6" w:rsidRDefault="008059DA" w:rsidP="008059DA">
      <w:pPr>
        <w:pStyle w:val="ONUMFS"/>
        <w:numPr>
          <w:ilvl w:val="0"/>
          <w:numId w:val="0"/>
        </w:numPr>
        <w:rPr>
          <w:b/>
          <w:szCs w:val="22"/>
          <w:lang w:val="es-ES"/>
        </w:rPr>
      </w:pPr>
      <w:r w:rsidRPr="00AA21C6">
        <w:rPr>
          <w:szCs w:val="22"/>
          <w:lang w:val="es-ES"/>
        </w:rPr>
        <w:t>Son expresiones mediante sonidos musicales.</w:t>
      </w:r>
      <w:r w:rsidRPr="00AA21C6">
        <w:rPr>
          <w:rStyle w:val="FootnoteReference"/>
          <w:szCs w:val="22"/>
          <w:lang w:val="es-ES"/>
        </w:rPr>
        <w:footnoteReference w:id="115"/>
      </w:r>
    </w:p>
    <w:p w:rsidR="008059DA" w:rsidRPr="00AA21C6" w:rsidRDefault="008059DA" w:rsidP="008059DA">
      <w:pPr>
        <w:pStyle w:val="ONUMFS"/>
        <w:numPr>
          <w:ilvl w:val="0"/>
          <w:numId w:val="0"/>
        </w:numPr>
        <w:rPr>
          <w:b/>
          <w:szCs w:val="22"/>
          <w:lang w:val="es-ES"/>
        </w:rPr>
      </w:pPr>
      <w:r w:rsidRPr="00AA21C6">
        <w:rPr>
          <w:b/>
          <w:szCs w:val="22"/>
          <w:lang w:val="es-ES"/>
        </w:rPr>
        <w:t>Mutilación</w:t>
      </w:r>
    </w:p>
    <w:p w:rsidR="008059DA" w:rsidRPr="00AA21C6" w:rsidRDefault="008059DA" w:rsidP="008059DA">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Convenio de Berna).</w:t>
      </w:r>
    </w:p>
    <w:p w:rsidR="008059DA" w:rsidRPr="00AA21C6" w:rsidRDefault="008059DA" w:rsidP="008059DA">
      <w:pPr>
        <w:pStyle w:val="ONUMFS"/>
        <w:numPr>
          <w:ilvl w:val="0"/>
          <w:numId w:val="0"/>
        </w:numPr>
        <w:rPr>
          <w:b/>
          <w:bCs/>
          <w:szCs w:val="22"/>
          <w:lang w:val="es-ES"/>
        </w:rPr>
      </w:pPr>
      <w:r w:rsidRPr="00AA21C6">
        <w:rPr>
          <w:b/>
          <w:bCs/>
          <w:szCs w:val="22"/>
          <w:lang w:val="es-ES"/>
        </w:rPr>
        <w:t>Respeto mutuo</w:t>
      </w:r>
    </w:p>
    <w:p w:rsidR="008059DA" w:rsidRPr="00AA21C6" w:rsidRDefault="008059DA" w:rsidP="008059DA">
      <w:pPr>
        <w:pStyle w:val="ONUMFS"/>
        <w:numPr>
          <w:ilvl w:val="0"/>
          <w:numId w:val="0"/>
        </w:numPr>
        <w:rPr>
          <w:b/>
          <w:szCs w:val="22"/>
          <w:lang w:val="es-ES"/>
        </w:rPr>
      </w:pPr>
      <w:r w:rsidRPr="00AA21C6">
        <w:rPr>
          <w:szCs w:val="22"/>
          <w:lang w:val="es-ES"/>
        </w:rPr>
        <w:t>En el preámbulo de la “Declaración de las Naciones Unidas sobre los Derechos de los Pueblos Indígenas”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AA21C6">
        <w:rPr>
          <w:i/>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8059DA" w:rsidRPr="00AA21C6" w:rsidRDefault="008059DA" w:rsidP="008059DA">
      <w:pPr>
        <w:pStyle w:val="ONUMFS"/>
        <w:numPr>
          <w:ilvl w:val="0"/>
          <w:numId w:val="0"/>
        </w:numPr>
        <w:rPr>
          <w:b/>
          <w:bCs/>
          <w:szCs w:val="22"/>
          <w:lang w:val="es-ES"/>
        </w:rPr>
      </w:pPr>
      <w:r w:rsidRPr="00AA21C6">
        <w:rPr>
          <w:b/>
          <w:bCs/>
          <w:szCs w:val="22"/>
          <w:lang w:val="es-ES"/>
        </w:rPr>
        <w:t>Condiciones mutuamente convenidas</w:t>
      </w:r>
    </w:p>
    <w:p w:rsidR="008059DA" w:rsidRPr="00AA21C6" w:rsidRDefault="008059DA" w:rsidP="008059DA">
      <w:pPr>
        <w:pStyle w:val="ONUMFS"/>
        <w:numPr>
          <w:ilvl w:val="0"/>
          <w:numId w:val="0"/>
        </w:numPr>
        <w:rPr>
          <w:szCs w:val="22"/>
          <w:lang w:val="es-ES"/>
        </w:rPr>
      </w:pPr>
      <w:r w:rsidRPr="00AA21C6">
        <w:rPr>
          <w:szCs w:val="22"/>
          <w:lang w:val="es-ES"/>
        </w:rPr>
        <w:t>Además de reconocer la soberanía de los gobiernos nacionales para determinar el acceso a los recursos genéticos, en el artículo 15.4 del 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6"/>
      </w:r>
      <w:r w:rsidRPr="00AA21C6">
        <w:rPr>
          <w:szCs w:val="22"/>
          <w:lang w:val="es-ES"/>
        </w:rPr>
        <w:t xml:space="preserve">  En los artículos 41 a 44 de las Directrices de Bonn se señalan algunos requisitos básicos de las condiciones mutuamente convenidas.</w:t>
      </w:r>
    </w:p>
    <w:p w:rsidR="008059DA" w:rsidRPr="00AA21C6" w:rsidRDefault="008059DA" w:rsidP="008059DA">
      <w:pPr>
        <w:pStyle w:val="ONUMFS"/>
        <w:numPr>
          <w:ilvl w:val="0"/>
          <w:numId w:val="0"/>
        </w:numPr>
        <w:rPr>
          <w:b/>
          <w:szCs w:val="22"/>
          <w:lang w:val="es-ES"/>
        </w:rPr>
      </w:pPr>
      <w:r w:rsidRPr="00AA21C6">
        <w:rPr>
          <w:szCs w:val="22"/>
          <w:lang w:val="es-ES"/>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w:t>
      </w:r>
      <w:r w:rsidRPr="00AA21C6">
        <w:rPr>
          <w:iCs/>
          <w:szCs w:val="22"/>
          <w:lang w:val="es-ES"/>
        </w:rPr>
        <w:lastRenderedPageBreak/>
        <w:t>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8059DA" w:rsidRPr="00AA21C6" w:rsidRDefault="008059DA" w:rsidP="008059DA">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8059DA" w:rsidRPr="00AA21C6" w:rsidRDefault="008059DA" w:rsidP="008059DA">
      <w:pPr>
        <w:pStyle w:val="ONUMFS"/>
        <w:numPr>
          <w:ilvl w:val="0"/>
          <w:numId w:val="0"/>
        </w:numPr>
        <w:rPr>
          <w:b/>
          <w:bCs/>
          <w:szCs w:val="22"/>
          <w:lang w:val="es-ES"/>
        </w:rPr>
      </w:pPr>
      <w:r w:rsidRPr="00AA21C6">
        <w:rPr>
          <w:b/>
          <w:bCs/>
          <w:szCs w:val="22"/>
          <w:lang w:val="es-ES"/>
        </w:rPr>
        <w:t>Nación</w:t>
      </w:r>
    </w:p>
    <w:p w:rsidR="008059DA" w:rsidRPr="00AA21C6" w:rsidRDefault="008059DA" w:rsidP="008059DA">
      <w:pPr>
        <w:pStyle w:val="ONUMFS"/>
        <w:numPr>
          <w:ilvl w:val="0"/>
          <w:numId w:val="0"/>
        </w:numPr>
        <w:rPr>
          <w:b/>
          <w:szCs w:val="22"/>
          <w:lang w:val="es-ES"/>
        </w:rPr>
      </w:pPr>
      <w:bookmarkStart w:id="13" w:name="_Ref289681765"/>
      <w:bookmarkEnd w:id="13"/>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7"/>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8"/>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9"/>
      </w:r>
    </w:p>
    <w:p w:rsidR="008059DA" w:rsidRPr="00AA21C6" w:rsidRDefault="008059DA" w:rsidP="00E30817">
      <w:pPr>
        <w:pStyle w:val="ONUMFS"/>
        <w:keepNext/>
        <w:numPr>
          <w:ilvl w:val="0"/>
          <w:numId w:val="0"/>
        </w:numPr>
        <w:rPr>
          <w:b/>
          <w:bCs/>
          <w:szCs w:val="22"/>
          <w:lang w:val="es-ES"/>
        </w:rPr>
      </w:pPr>
      <w:r w:rsidRPr="00AA21C6">
        <w:rPr>
          <w:b/>
          <w:bCs/>
          <w:szCs w:val="22"/>
          <w:lang w:val="es-ES"/>
        </w:rPr>
        <w:lastRenderedPageBreak/>
        <w:t>Novedad</w:t>
      </w:r>
    </w:p>
    <w:p w:rsidR="008059DA" w:rsidRPr="00AA21C6" w:rsidRDefault="008059DA" w:rsidP="00E30817">
      <w:pPr>
        <w:pStyle w:val="ONUMFS"/>
        <w:keepNext/>
        <w:numPr>
          <w:ilvl w:val="0"/>
          <w:numId w:val="0"/>
        </w:numPr>
        <w:rPr>
          <w:szCs w:val="22"/>
          <w:lang w:val="es-ES"/>
        </w:rPr>
      </w:pPr>
      <w:r w:rsidRPr="00AA21C6">
        <w:rPr>
          <w:szCs w:val="22"/>
          <w:lang w:val="es-ES"/>
        </w:rPr>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20"/>
      </w:r>
    </w:p>
    <w:p w:rsidR="008059DA" w:rsidRPr="00AA21C6" w:rsidRDefault="008059DA" w:rsidP="008059DA">
      <w:pPr>
        <w:pStyle w:val="ONUMFS"/>
        <w:numPr>
          <w:ilvl w:val="0"/>
          <w:numId w:val="0"/>
        </w:numPr>
        <w:rPr>
          <w:szCs w:val="22"/>
          <w:lang w:val="es-ES"/>
        </w:rPr>
      </w:pPr>
      <w:r w:rsidRPr="00AA21C6">
        <w:rPr>
          <w:szCs w:val="22"/>
          <w:lang w:val="es-ES"/>
        </w:rPr>
        <w:t>En el artículo 33 del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8059DA" w:rsidRPr="00AA21C6" w:rsidRDefault="008059DA" w:rsidP="008059DA">
      <w:pPr>
        <w:pStyle w:val="ONUMFS"/>
        <w:numPr>
          <w:ilvl w:val="0"/>
          <w:numId w:val="0"/>
        </w:numPr>
        <w:rPr>
          <w:szCs w:val="22"/>
          <w:lang w:val="es-ES"/>
        </w:rPr>
      </w:pPr>
      <w:r w:rsidRPr="00AA21C6">
        <w:rPr>
          <w:szCs w:val="22"/>
          <w:lang w:val="es-ES"/>
        </w:rPr>
        <w:t>En el artículo 54 del Convenio sobre la Patente Europea,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8059DA" w:rsidRPr="00AA21C6" w:rsidRDefault="008059DA" w:rsidP="008059DA">
      <w:pPr>
        <w:pStyle w:val="ONUMFS"/>
        <w:numPr>
          <w:ilvl w:val="0"/>
          <w:numId w:val="0"/>
        </w:numPr>
        <w:rPr>
          <w:b/>
          <w:bCs/>
          <w:szCs w:val="22"/>
          <w:lang w:val="es-ES"/>
        </w:rPr>
      </w:pPr>
      <w:r w:rsidRPr="00AA21C6">
        <w:rPr>
          <w:b/>
          <w:bCs/>
          <w:szCs w:val="22"/>
          <w:lang w:val="es-ES"/>
        </w:rPr>
        <w:t>Ofensivo</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8059DA" w:rsidRPr="00AA21C6" w:rsidRDefault="008059DA" w:rsidP="008059DA">
      <w:pPr>
        <w:pStyle w:val="ONUMFS"/>
        <w:numPr>
          <w:ilvl w:val="0"/>
          <w:numId w:val="0"/>
        </w:numPr>
        <w:rPr>
          <w:b/>
          <w:bCs/>
          <w:szCs w:val="22"/>
          <w:lang w:val="es-ES"/>
        </w:rPr>
      </w:pPr>
      <w:r w:rsidRPr="00AA21C6">
        <w:rPr>
          <w:b/>
          <w:bCs/>
          <w:szCs w:val="22"/>
          <w:lang w:val="es-ES"/>
        </w:rPr>
        <w:t>Patente</w:t>
      </w:r>
    </w:p>
    <w:p w:rsidR="008059DA" w:rsidRPr="00AA21C6" w:rsidRDefault="008059DA" w:rsidP="008059DA">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21"/>
      </w:r>
    </w:p>
    <w:p w:rsidR="008059DA" w:rsidRPr="00AA21C6" w:rsidRDefault="008059DA" w:rsidP="008059DA">
      <w:pPr>
        <w:pStyle w:val="ONUMFS"/>
        <w:numPr>
          <w:ilvl w:val="0"/>
          <w:numId w:val="0"/>
        </w:numPr>
        <w:rPr>
          <w:szCs w:val="22"/>
          <w:lang w:val="es-ES"/>
        </w:rPr>
      </w:pPr>
      <w:r w:rsidRPr="00AA21C6">
        <w:rPr>
          <w:szCs w:val="22"/>
          <w:lang w:val="es-ES"/>
        </w:rPr>
        <w:t xml:space="preserve">En el artículo 27.1 del Acuerdo sobre los Derechos de Propiedad Intelectual relacionados con el Comercio (Acuerdo sobre los ADPIC)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8059DA" w:rsidRPr="00AA21C6" w:rsidRDefault="008059DA" w:rsidP="008059DA">
      <w:pPr>
        <w:pStyle w:val="ONUMFS"/>
        <w:numPr>
          <w:ilvl w:val="0"/>
          <w:numId w:val="0"/>
        </w:numPr>
        <w:rPr>
          <w:b/>
          <w:bCs/>
          <w:szCs w:val="22"/>
          <w:lang w:val="es-ES"/>
        </w:rPr>
      </w:pPr>
      <w:r w:rsidRPr="00AA21C6">
        <w:rPr>
          <w:b/>
          <w:bCs/>
          <w:szCs w:val="22"/>
          <w:lang w:val="es-ES"/>
        </w:rPr>
        <w:lastRenderedPageBreak/>
        <w:t>Conservación</w:t>
      </w:r>
    </w:p>
    <w:p w:rsidR="008059DA" w:rsidRPr="00AA21C6" w:rsidRDefault="008059DA" w:rsidP="008059DA">
      <w:pPr>
        <w:pStyle w:val="ONUMFS"/>
        <w:numPr>
          <w:ilvl w:val="0"/>
          <w:numId w:val="0"/>
        </w:numPr>
        <w:rPr>
          <w:szCs w:val="22"/>
          <w:lang w:val="es-ES"/>
        </w:rPr>
      </w:pPr>
      <w:r w:rsidRPr="00AA21C6">
        <w:rPr>
          <w:szCs w:val="22"/>
          <w:lang w:val="es-ES"/>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22"/>
      </w:r>
    </w:p>
    <w:p w:rsidR="008059DA" w:rsidRPr="00AA21C6" w:rsidRDefault="008059DA" w:rsidP="008059DA">
      <w:pPr>
        <w:pStyle w:val="ONUMFS"/>
        <w:numPr>
          <w:ilvl w:val="0"/>
          <w:numId w:val="0"/>
        </w:numPr>
        <w:rPr>
          <w:szCs w:val="22"/>
          <w:lang w:val="es-ES"/>
        </w:rPr>
      </w:pPr>
      <w:r w:rsidRPr="00AA21C6">
        <w:rPr>
          <w:szCs w:val="22"/>
          <w:lang w:val="es-ES"/>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23"/>
      </w:r>
    </w:p>
    <w:p w:rsidR="008059DA" w:rsidRPr="00AA21C6" w:rsidRDefault="008059DA" w:rsidP="008059DA">
      <w:pPr>
        <w:pStyle w:val="ONUMFS"/>
        <w:numPr>
          <w:ilvl w:val="0"/>
          <w:numId w:val="0"/>
        </w:numPr>
        <w:rPr>
          <w:b/>
          <w:bCs/>
          <w:szCs w:val="22"/>
          <w:lang w:val="es-ES"/>
        </w:rPr>
      </w:pPr>
      <w:r w:rsidRPr="00AA21C6">
        <w:rPr>
          <w:b/>
          <w:bCs/>
          <w:szCs w:val="22"/>
          <w:lang w:val="es-ES"/>
        </w:rPr>
        <w:t>Consentimiento fundamentado previo</w:t>
      </w:r>
    </w:p>
    <w:p w:rsidR="008059DA" w:rsidRPr="00AA21C6" w:rsidRDefault="008059DA" w:rsidP="008059DA">
      <w:pPr>
        <w:pStyle w:val="ONUMFS"/>
        <w:numPr>
          <w:ilvl w:val="0"/>
          <w:numId w:val="0"/>
        </w:numPr>
        <w:rPr>
          <w:szCs w:val="22"/>
          <w:lang w:val="es-ES"/>
        </w:rPr>
      </w:pPr>
      <w:r w:rsidRPr="00AA21C6">
        <w:rPr>
          <w:szCs w:val="22"/>
          <w:lang w:val="es-ES"/>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AA21C6">
        <w:rPr>
          <w:i/>
          <w:szCs w:val="22"/>
          <w:lang w:val="es-ES"/>
        </w:rPr>
        <w:t xml:space="preserve"> </w:t>
      </w:r>
      <w:r w:rsidRPr="00AA21C6">
        <w:rPr>
          <w:szCs w:val="22"/>
          <w:lang w:val="es-ES"/>
        </w:rPr>
        <w:t>(1992).</w:t>
      </w:r>
    </w:p>
    <w:p w:rsidR="008059DA" w:rsidRPr="00AA21C6" w:rsidRDefault="008059DA" w:rsidP="008059DA">
      <w:pPr>
        <w:pStyle w:val="ONUMFS"/>
        <w:numPr>
          <w:ilvl w:val="0"/>
          <w:numId w:val="0"/>
        </w:numPr>
        <w:rPr>
          <w:szCs w:val="22"/>
          <w:lang w:val="es-ES"/>
        </w:rPr>
      </w:pPr>
      <w:r w:rsidRPr="00AA21C6">
        <w:rPr>
          <w:szCs w:val="22"/>
          <w:lang w:val="es-ES"/>
        </w:rPr>
        <w:t>En lo que respecta al acceso a recursos genéticos, en el artículo 15.5 del CDB se estipula que “estará sometido al consentimiento fundamentado previo de la Parte Contratante que proporciona los recursos, a menos que esa Parte decida otra cosa”.</w:t>
      </w:r>
    </w:p>
    <w:p w:rsidR="008059DA" w:rsidRPr="00AA21C6" w:rsidRDefault="008059DA" w:rsidP="008059DA">
      <w:pPr>
        <w:pStyle w:val="ONUMFS"/>
        <w:numPr>
          <w:ilvl w:val="0"/>
          <w:numId w:val="0"/>
        </w:numPr>
        <w:rPr>
          <w:szCs w:val="22"/>
          <w:lang w:val="es-ES"/>
        </w:rPr>
      </w:pPr>
      <w:r w:rsidRPr="00AA21C6">
        <w:rPr>
          <w:szCs w:val="22"/>
          <w:lang w:val="es-ES"/>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8059DA" w:rsidRPr="00AA21C6" w:rsidRDefault="008059DA" w:rsidP="008059DA">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w:t>
      </w:r>
      <w:r w:rsidRPr="00AA21C6">
        <w:rPr>
          <w:szCs w:val="22"/>
          <w:lang w:val="es-ES"/>
        </w:rPr>
        <w:lastRenderedPageBreak/>
        <w:t>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8059DA" w:rsidRPr="00AA21C6" w:rsidRDefault="008059DA" w:rsidP="008059DA">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4"/>
      </w:r>
    </w:p>
    <w:p w:rsidR="008059DA" w:rsidRPr="00AA21C6" w:rsidRDefault="008059DA" w:rsidP="008059DA">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8059DA" w:rsidRPr="00AA21C6" w:rsidRDefault="008059DA" w:rsidP="008059DA">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5"/>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Estado de la técnica</w:t>
      </w:r>
    </w:p>
    <w:p w:rsidR="008059DA" w:rsidRPr="00AA21C6" w:rsidRDefault="008059DA" w:rsidP="008059DA">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6"/>
      </w:r>
    </w:p>
    <w:p w:rsidR="008059DA" w:rsidRPr="00AA21C6" w:rsidRDefault="008059DA" w:rsidP="008059DA">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8059DA" w:rsidRPr="00AA21C6" w:rsidRDefault="008059DA" w:rsidP="008059DA">
      <w:pPr>
        <w:pStyle w:val="ONUMFS"/>
        <w:keepNext/>
        <w:keepLines/>
        <w:numPr>
          <w:ilvl w:val="0"/>
          <w:numId w:val="0"/>
        </w:numPr>
        <w:rPr>
          <w:szCs w:val="22"/>
          <w:lang w:val="es-ES"/>
        </w:rPr>
      </w:pPr>
      <w:r w:rsidRPr="00AA21C6">
        <w:rPr>
          <w:szCs w:val="22"/>
          <w:lang w:val="es-ES"/>
        </w:rPr>
        <w:lastRenderedPageBreak/>
        <w:t>En el caso de Europa, en el artículo 54.2 del Convenio sobre la Patente Europea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AA21C6">
        <w:rPr>
          <w:rStyle w:val="FootnoteReference"/>
          <w:szCs w:val="22"/>
          <w:lang w:val="es-ES"/>
        </w:rPr>
        <w:footnoteReference w:id="127"/>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8059DA" w:rsidRPr="00AA21C6" w:rsidRDefault="008059DA" w:rsidP="008059DA">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8059DA" w:rsidRPr="00AA21C6" w:rsidRDefault="008059DA" w:rsidP="008059DA">
      <w:pPr>
        <w:pStyle w:val="ONUMFS"/>
        <w:numPr>
          <w:ilvl w:val="0"/>
          <w:numId w:val="0"/>
        </w:numPr>
        <w:rPr>
          <w:b/>
          <w:bCs/>
          <w:szCs w:val="22"/>
          <w:lang w:val="es-ES"/>
        </w:rPr>
      </w:pPr>
      <w:r w:rsidRPr="00AA21C6">
        <w:rPr>
          <w:b/>
          <w:bCs/>
          <w:szCs w:val="22"/>
          <w:lang w:val="es-ES"/>
        </w:rPr>
        <w:t>Protección</w:t>
      </w:r>
    </w:p>
    <w:p w:rsidR="008059DA" w:rsidRPr="00AA21C6" w:rsidRDefault="008059DA" w:rsidP="008059DA">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8"/>
      </w:r>
      <w:r w:rsidRPr="00AA21C6">
        <w:rPr>
          <w:szCs w:val="22"/>
          <w:lang w:val="es-ES"/>
        </w:rPr>
        <w:t xml:space="preserve">  Se han desarrollado y aplicado dos formas de protección.</w:t>
      </w:r>
    </w:p>
    <w:p w:rsidR="008059DA" w:rsidRPr="00AA21C6" w:rsidRDefault="008059DA" w:rsidP="008059DA">
      <w:pPr>
        <w:pStyle w:val="ONUMFS"/>
        <w:numPr>
          <w:ilvl w:val="0"/>
          <w:numId w:val="0"/>
        </w:numPr>
        <w:rPr>
          <w:szCs w:val="22"/>
          <w:lang w:val="es-ES"/>
        </w:rPr>
      </w:pPr>
      <w:r w:rsidRPr="00AA21C6">
        <w:rPr>
          <w:i/>
          <w:iCs/>
          <w:szCs w:val="22"/>
          <w:u w:val="single"/>
          <w:lang w:val="es-ES"/>
        </w:rPr>
        <w:t>Protección positiva</w:t>
      </w:r>
    </w:p>
    <w:p w:rsidR="008059DA" w:rsidRPr="00AA21C6" w:rsidRDefault="008059DA" w:rsidP="008059DA">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9"/>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w:t>
      </w:r>
      <w:r w:rsidRPr="00AA21C6">
        <w:rPr>
          <w:szCs w:val="22"/>
          <w:lang w:val="es-ES"/>
        </w:rPr>
        <w:lastRenderedPageBreak/>
        <w:t>expresiones culturales tradicionales también podrán utilizar ese tipo de protección para establecer sus propias empresas sobre la base de tales conocimientos.</w:t>
      </w:r>
      <w:r w:rsidRPr="00AA21C6">
        <w:rPr>
          <w:rStyle w:val="FootnoteReference"/>
          <w:szCs w:val="22"/>
          <w:lang w:val="es-ES"/>
        </w:rPr>
        <w:footnoteReference w:id="130"/>
      </w:r>
    </w:p>
    <w:p w:rsidR="008059DA" w:rsidRPr="00AA21C6" w:rsidRDefault="008059DA" w:rsidP="008059DA">
      <w:pPr>
        <w:pStyle w:val="ONUMFS"/>
        <w:keepNext/>
        <w:numPr>
          <w:ilvl w:val="0"/>
          <w:numId w:val="0"/>
        </w:numPr>
        <w:rPr>
          <w:i/>
          <w:szCs w:val="22"/>
          <w:u w:val="single"/>
          <w:lang w:val="es-ES"/>
        </w:rPr>
      </w:pPr>
      <w:r w:rsidRPr="00AA21C6">
        <w:rPr>
          <w:i/>
          <w:szCs w:val="22"/>
          <w:u w:val="single"/>
          <w:lang w:val="es-ES"/>
        </w:rPr>
        <w:t>Protección preventiva</w:t>
      </w:r>
    </w:p>
    <w:p w:rsidR="008059DA" w:rsidRPr="00AA21C6" w:rsidRDefault="008059DA" w:rsidP="008059DA">
      <w:pPr>
        <w:pStyle w:val="ONUMFS"/>
        <w:keepNext/>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31"/>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8059DA" w:rsidRPr="00AA21C6" w:rsidRDefault="008059DA" w:rsidP="008059DA">
      <w:pPr>
        <w:pStyle w:val="ONUMFS"/>
        <w:numPr>
          <w:ilvl w:val="0"/>
          <w:numId w:val="0"/>
        </w:numPr>
        <w:rPr>
          <w:b/>
          <w:bCs/>
          <w:szCs w:val="22"/>
          <w:lang w:val="es-ES"/>
        </w:rPr>
      </w:pPr>
      <w:r w:rsidRPr="00AA21C6">
        <w:rPr>
          <w:b/>
          <w:bCs/>
          <w:szCs w:val="22"/>
          <w:lang w:val="es-ES"/>
        </w:rPr>
        <w:t>Protocolo</w:t>
      </w:r>
    </w:p>
    <w:p w:rsidR="008059DA" w:rsidRPr="00AA21C6" w:rsidRDefault="008059DA" w:rsidP="008059DA">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32"/>
      </w:r>
    </w:p>
    <w:p w:rsidR="008059DA" w:rsidRPr="00AA21C6" w:rsidRDefault="008059DA" w:rsidP="008059DA">
      <w:pPr>
        <w:pStyle w:val="ONUMFS"/>
        <w:numPr>
          <w:ilvl w:val="0"/>
          <w:numId w:val="0"/>
        </w:numPr>
        <w:rPr>
          <w:b/>
          <w:bCs/>
          <w:szCs w:val="22"/>
          <w:lang w:val="es-ES"/>
        </w:rPr>
      </w:pPr>
      <w:r w:rsidRPr="00AA21C6">
        <w:rPr>
          <w:b/>
          <w:bCs/>
          <w:szCs w:val="22"/>
          <w:lang w:val="es-ES"/>
        </w:rPr>
        <w:t>Proveedores y beneficiarios</w:t>
      </w:r>
    </w:p>
    <w:p w:rsidR="008059DA" w:rsidRPr="00AA21C6" w:rsidRDefault="008059DA" w:rsidP="008059DA">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3"/>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Dominio público</w:t>
      </w:r>
    </w:p>
    <w:p w:rsidR="008059DA" w:rsidRPr="00AA21C6" w:rsidRDefault="008059DA" w:rsidP="008059DA">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4"/>
      </w:r>
    </w:p>
    <w:p w:rsidR="008059DA" w:rsidRPr="00AA21C6" w:rsidRDefault="008059DA" w:rsidP="008059DA">
      <w:pPr>
        <w:pStyle w:val="ONUMFS"/>
        <w:numPr>
          <w:ilvl w:val="0"/>
          <w:numId w:val="0"/>
        </w:numPr>
        <w:rPr>
          <w:szCs w:val="22"/>
          <w:lang w:val="es-ES"/>
        </w:rPr>
      </w:pPr>
      <w:r w:rsidRPr="00AA21C6">
        <w:rPr>
          <w:szCs w:val="22"/>
          <w:lang w:val="es-ES"/>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AA21C6">
        <w:rPr>
          <w:rStyle w:val="FootnoteReference"/>
          <w:szCs w:val="22"/>
          <w:lang w:val="es-ES"/>
        </w:rPr>
        <w:footnoteReference w:id="135"/>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lastRenderedPageBreak/>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AA21C6">
        <w:rPr>
          <w:rStyle w:val="FootnoteReference"/>
          <w:szCs w:val="22"/>
          <w:lang w:val="es-ES"/>
        </w:rPr>
        <w:footnoteReference w:id="136"/>
      </w:r>
      <w:bookmarkEnd w:id="14"/>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7"/>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8059DA" w:rsidRPr="00AA21C6" w:rsidRDefault="008059DA" w:rsidP="008059DA">
      <w:pPr>
        <w:pStyle w:val="ONUMFS"/>
        <w:numPr>
          <w:ilvl w:val="0"/>
          <w:numId w:val="0"/>
        </w:numPr>
        <w:rPr>
          <w:b/>
          <w:szCs w:val="22"/>
          <w:lang w:val="es-ES"/>
        </w:rPr>
      </w:pPr>
      <w:r w:rsidRPr="00AA21C6">
        <w:rPr>
          <w:b/>
          <w:bCs/>
          <w:szCs w:val="22"/>
          <w:lang w:val="es-ES"/>
        </w:rPr>
        <w:t>Disponibilidad pública</w:t>
      </w:r>
    </w:p>
    <w:p w:rsidR="008059DA" w:rsidRPr="00AA21C6" w:rsidRDefault="008059DA" w:rsidP="008059DA">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8"/>
      </w:r>
    </w:p>
    <w:p w:rsidR="008059DA" w:rsidRPr="00AA21C6" w:rsidRDefault="008059DA" w:rsidP="008059DA">
      <w:pPr>
        <w:pStyle w:val="ONUMFS"/>
        <w:numPr>
          <w:ilvl w:val="0"/>
          <w:numId w:val="0"/>
        </w:numPr>
        <w:rPr>
          <w:szCs w:val="22"/>
          <w:lang w:val="es-ES"/>
        </w:rPr>
      </w:pP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8059DA" w:rsidRPr="00AA21C6" w:rsidRDefault="008059DA" w:rsidP="008059DA">
      <w:pPr>
        <w:pStyle w:val="ONUMFS"/>
        <w:keepNext/>
        <w:numPr>
          <w:ilvl w:val="0"/>
          <w:numId w:val="0"/>
        </w:numPr>
        <w:rPr>
          <w:b/>
          <w:szCs w:val="22"/>
          <w:lang w:val="es-ES"/>
        </w:rPr>
      </w:pPr>
      <w:r w:rsidRPr="00AA21C6">
        <w:rPr>
          <w:b/>
          <w:bCs/>
          <w:szCs w:val="22"/>
          <w:lang w:val="es-ES"/>
        </w:rPr>
        <w:lastRenderedPageBreak/>
        <w:t>Registros de conocimientos tradicionales</w:t>
      </w:r>
    </w:p>
    <w:p w:rsidR="008059DA" w:rsidRPr="00AA21C6" w:rsidRDefault="008059DA" w:rsidP="008059DA">
      <w:pPr>
        <w:pStyle w:val="ONUMFS"/>
        <w:keepNext/>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9"/>
      </w:r>
    </w:p>
    <w:p w:rsidR="008059DA" w:rsidRPr="00AA21C6" w:rsidRDefault="008059DA" w:rsidP="008059DA">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40"/>
      </w:r>
    </w:p>
    <w:p w:rsidR="008059DA" w:rsidRPr="00AA21C6" w:rsidRDefault="008059DA" w:rsidP="008059DA">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41"/>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42"/>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8059DA" w:rsidRPr="00AA21C6" w:rsidRDefault="008059DA" w:rsidP="00E30817">
      <w:pPr>
        <w:pStyle w:val="ONUMFS"/>
        <w:keepNext/>
        <w:numPr>
          <w:ilvl w:val="0"/>
          <w:numId w:val="0"/>
        </w:numPr>
        <w:rPr>
          <w:b/>
          <w:bCs/>
          <w:kern w:val="36"/>
          <w:szCs w:val="22"/>
          <w:lang w:val="es-ES"/>
        </w:rPr>
      </w:pPr>
      <w:r w:rsidRPr="00AA21C6">
        <w:rPr>
          <w:b/>
          <w:bCs/>
          <w:kern w:val="36"/>
          <w:szCs w:val="22"/>
          <w:lang w:val="es-ES"/>
        </w:rPr>
        <w:lastRenderedPageBreak/>
        <w:t>Reputación</w:t>
      </w:r>
    </w:p>
    <w:p w:rsidR="008059DA" w:rsidRPr="00AA21C6" w:rsidRDefault="008059DA" w:rsidP="00E30817">
      <w:pPr>
        <w:pStyle w:val="ONUMFS"/>
        <w:keepNext/>
        <w:numPr>
          <w:ilvl w:val="0"/>
          <w:numId w:val="0"/>
        </w:numPr>
        <w:rPr>
          <w:szCs w:val="22"/>
          <w:lang w:val="es-ES"/>
        </w:rPr>
      </w:pPr>
      <w:r w:rsidRPr="00AA21C6">
        <w:rPr>
          <w:szCs w:val="22"/>
          <w:lang w:val="es-ES"/>
        </w:rPr>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43"/>
      </w:r>
      <w:r w:rsidRPr="00AA21C6">
        <w:rPr>
          <w:szCs w:val="22"/>
          <w:lang w:val="es-ES"/>
        </w:rPr>
        <w:t xml:space="preserve">  En la Conferencia de Revisión de Bruselas del Convenio de Berna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4"/>
      </w:r>
    </w:p>
    <w:p w:rsidR="008059DA" w:rsidRPr="00AA21C6" w:rsidRDefault="008059DA" w:rsidP="008059DA">
      <w:pPr>
        <w:pStyle w:val="ONUMFS"/>
        <w:numPr>
          <w:ilvl w:val="0"/>
          <w:numId w:val="0"/>
        </w:numPr>
        <w:rPr>
          <w:b/>
          <w:szCs w:val="22"/>
          <w:lang w:val="es-ES"/>
        </w:rPr>
      </w:pPr>
      <w:r w:rsidRPr="00AA21C6">
        <w:rPr>
          <w:b/>
          <w:szCs w:val="22"/>
          <w:lang w:val="es-ES"/>
        </w:rPr>
        <w:t>Sagrado</w:t>
      </w:r>
    </w:p>
    <w:p w:rsidR="008059DA" w:rsidRPr="00AA21C6" w:rsidRDefault="008059DA" w:rsidP="008059DA">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5"/>
      </w:r>
    </w:p>
    <w:p w:rsidR="008059DA" w:rsidRPr="00AA21C6" w:rsidRDefault="008059DA" w:rsidP="008059DA">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8059DA" w:rsidRPr="00AA21C6" w:rsidRDefault="008059DA" w:rsidP="008059DA">
      <w:pPr>
        <w:pStyle w:val="ONUMFS"/>
        <w:numPr>
          <w:ilvl w:val="0"/>
          <w:numId w:val="0"/>
        </w:numPr>
        <w:rPr>
          <w:szCs w:val="22"/>
          <w:lang w:val="es-ES"/>
        </w:rPr>
      </w:pPr>
      <w:r w:rsidRPr="00AA21C6">
        <w:rPr>
          <w:szCs w:val="22"/>
          <w:lang w:val="es-ES"/>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6"/>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7"/>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8059DA" w:rsidRPr="00AA21C6" w:rsidRDefault="008059DA" w:rsidP="008059DA">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8059DA" w:rsidRPr="00AA21C6" w:rsidRDefault="008059DA" w:rsidP="008059DA">
      <w:pPr>
        <w:pStyle w:val="ONUMFS"/>
        <w:numPr>
          <w:ilvl w:val="0"/>
          <w:numId w:val="7"/>
        </w:numPr>
        <w:tabs>
          <w:tab w:val="clear" w:pos="1741"/>
          <w:tab w:val="num" w:pos="-5103"/>
        </w:tabs>
        <w:ind w:left="567" w:firstLine="0"/>
        <w:rPr>
          <w:szCs w:val="22"/>
          <w:lang w:val="es-ES"/>
        </w:rPr>
      </w:pPr>
      <w:r w:rsidRPr="00AA21C6">
        <w:rPr>
          <w:szCs w:val="22"/>
          <w:lang w:val="es-ES"/>
        </w:rPr>
        <w:lastRenderedPageBreak/>
        <w:t>una delegación preguntó si los CC.TT. sagrados se tendrían en cuenta al examinar la protección por P.I. de los CC.TT.</w:t>
      </w:r>
      <w:r w:rsidRPr="00AA21C6">
        <w:rPr>
          <w:rStyle w:val="FootnoteReference"/>
          <w:szCs w:val="22"/>
          <w:lang w:val="es-ES"/>
        </w:rPr>
        <w:footnoteReference w:id="148"/>
      </w:r>
      <w:r w:rsidRPr="00AA21C6">
        <w:rPr>
          <w:szCs w:val="22"/>
          <w:lang w:val="es-ES"/>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AA21C6">
        <w:rPr>
          <w:rStyle w:val="FootnoteReference"/>
          <w:szCs w:val="22"/>
          <w:lang w:val="es-ES"/>
        </w:rPr>
        <w:footnoteReference w:id="149"/>
      </w:r>
      <w:bookmarkEnd w:id="15"/>
    </w:p>
    <w:p w:rsidR="008059DA" w:rsidRPr="00AA21C6" w:rsidRDefault="008059DA" w:rsidP="008059DA">
      <w:pPr>
        <w:pStyle w:val="ONUMFS"/>
        <w:keepNext/>
        <w:keepLines/>
        <w:numPr>
          <w:ilvl w:val="0"/>
          <w:numId w:val="7"/>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50"/>
      </w:r>
    </w:p>
    <w:p w:rsidR="008059DA" w:rsidRPr="00AA21C6" w:rsidRDefault="008059DA" w:rsidP="008059DA">
      <w:pPr>
        <w:pStyle w:val="ONUMFS"/>
        <w:numPr>
          <w:ilvl w:val="0"/>
          <w:numId w:val="0"/>
        </w:numPr>
        <w:rPr>
          <w:b/>
          <w:szCs w:val="22"/>
          <w:lang w:val="es-ES"/>
        </w:rPr>
      </w:pPr>
      <w:r w:rsidRPr="00AA21C6">
        <w:rPr>
          <w:b/>
          <w:szCs w:val="22"/>
          <w:lang w:val="es-ES"/>
        </w:rPr>
        <w:t>Salvaguardia</w:t>
      </w:r>
    </w:p>
    <w:p w:rsidR="008059DA" w:rsidRPr="00AA21C6" w:rsidRDefault="008059DA" w:rsidP="008059DA">
      <w:pPr>
        <w:pStyle w:val="ONUMFS"/>
        <w:numPr>
          <w:ilvl w:val="0"/>
          <w:numId w:val="0"/>
        </w:numPr>
        <w:rPr>
          <w:szCs w:val="22"/>
          <w:lang w:val="es-ES"/>
        </w:rPr>
      </w:pPr>
      <w:r w:rsidRPr="00AA21C6">
        <w:rPr>
          <w:szCs w:val="22"/>
          <w:lang w:val="es-ES"/>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AA21C6">
        <w:rPr>
          <w:rStyle w:val="FootnoteReference"/>
          <w:szCs w:val="22"/>
          <w:lang w:val="es-ES"/>
        </w:rPr>
        <w:footnoteReference w:id="151"/>
      </w:r>
    </w:p>
    <w:p w:rsidR="008059DA" w:rsidRPr="00AA21C6" w:rsidRDefault="008059DA" w:rsidP="008059DA">
      <w:pPr>
        <w:pStyle w:val="ONUMFS"/>
        <w:numPr>
          <w:ilvl w:val="0"/>
          <w:numId w:val="0"/>
        </w:numPr>
        <w:rPr>
          <w:b/>
          <w:szCs w:val="22"/>
          <w:lang w:val="es-ES"/>
        </w:rPr>
      </w:pPr>
      <w:r w:rsidRPr="00AA21C6">
        <w:rPr>
          <w:b/>
          <w:bCs/>
          <w:szCs w:val="22"/>
          <w:lang w:val="es-ES"/>
        </w:rPr>
        <w:t>Secreto</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52"/>
      </w:r>
    </w:p>
    <w:p w:rsidR="008059DA" w:rsidRPr="00AA21C6" w:rsidRDefault="008059DA" w:rsidP="008059DA">
      <w:pPr>
        <w:pStyle w:val="ONUMFS"/>
        <w:numPr>
          <w:ilvl w:val="0"/>
          <w:numId w:val="0"/>
        </w:numPr>
        <w:rPr>
          <w:b/>
          <w:i/>
          <w:iCs/>
          <w:szCs w:val="22"/>
          <w:lang w:val="es-ES"/>
        </w:rPr>
      </w:pPr>
      <w:r w:rsidRPr="00AA21C6">
        <w:rPr>
          <w:rStyle w:val="Emphasis"/>
          <w:b/>
          <w:bCs/>
          <w:szCs w:val="22"/>
          <w:lang w:val="es-ES"/>
        </w:rPr>
        <w:t>Fuente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w:t>
      </w:r>
      <w:r w:rsidRPr="00AA21C6">
        <w:rPr>
          <w:szCs w:val="22"/>
          <w:lang w:val="es-ES"/>
        </w:rPr>
        <w:lastRenderedPageBreak/>
        <w:t>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AA21C6">
        <w:rPr>
          <w:rStyle w:val="FootnoteReference"/>
          <w:szCs w:val="22"/>
          <w:lang w:val="es-ES"/>
        </w:rPr>
        <w:footnoteReference w:id="153"/>
      </w:r>
      <w:r w:rsidRPr="00AA21C6">
        <w:rPr>
          <w:szCs w:val="22"/>
          <w:lang w:val="es-ES"/>
        </w:rPr>
        <w:t xml:space="preserve"> y, por último, el Sistema Multilateral del Tratado Internacional de la FAO,</w:t>
      </w:r>
      <w:r w:rsidRPr="00AA21C6">
        <w:rPr>
          <w:rStyle w:val="FootnoteReference"/>
          <w:szCs w:val="22"/>
          <w:lang w:val="es-ES"/>
        </w:rPr>
        <w:footnoteReference w:id="154"/>
      </w:r>
      <w:r w:rsidRPr="00AA21C6">
        <w:rPr>
          <w:szCs w:val="22"/>
          <w:lang w:val="es-ES"/>
        </w:rPr>
        <w:t xml:space="preserve"> las comunidades indígenas y locales;</w:t>
      </w:r>
      <w:bookmarkStart w:id="16" w:name="sdfootnote57anc"/>
      <w:r w:rsidRPr="00AA21C6">
        <w:rPr>
          <w:rStyle w:val="FootnoteReference"/>
          <w:szCs w:val="22"/>
          <w:lang w:val="es-ES"/>
        </w:rPr>
        <w:footnoteReference w:id="155"/>
      </w:r>
      <w:bookmarkEnd w:id="16"/>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6"/>
      </w:r>
    </w:p>
    <w:p w:rsidR="008059DA" w:rsidRPr="00AA21C6" w:rsidRDefault="008059DA" w:rsidP="008059DA">
      <w:pPr>
        <w:pStyle w:val="ONUMFS"/>
        <w:keepNext/>
        <w:numPr>
          <w:ilvl w:val="0"/>
          <w:numId w:val="0"/>
        </w:numPr>
        <w:rPr>
          <w:b/>
          <w:bCs/>
          <w:iCs/>
          <w:szCs w:val="22"/>
          <w:lang w:val="es-ES"/>
        </w:rPr>
      </w:pPr>
      <w:r w:rsidRPr="00AA21C6">
        <w:rPr>
          <w:b/>
          <w:bCs/>
          <w:iCs/>
          <w:szCs w:val="22"/>
          <w:lang w:val="es-ES"/>
        </w:rPr>
        <w:t>Sui géneris</w:t>
      </w:r>
    </w:p>
    <w:p w:rsidR="008059DA" w:rsidRPr="00AA21C6" w:rsidRDefault="008059DA" w:rsidP="008059DA">
      <w:pPr>
        <w:pStyle w:val="ONUMFS"/>
        <w:keepNext/>
        <w:numPr>
          <w:ilvl w:val="0"/>
          <w:numId w:val="0"/>
        </w:numPr>
        <w:rPr>
          <w:szCs w:val="22"/>
          <w:lang w:val="es-ES"/>
        </w:rPr>
      </w:pPr>
      <w:r w:rsidRPr="00AA21C6">
        <w:rPr>
          <w:szCs w:val="22"/>
          <w:lang w:val="es-ES"/>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8059DA" w:rsidRPr="00AA21C6" w:rsidRDefault="008059DA" w:rsidP="008059DA">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8059DA" w:rsidRPr="00AA21C6" w:rsidRDefault="008059DA" w:rsidP="008059DA">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8059DA" w:rsidRPr="00AA21C6" w:rsidRDefault="008059DA" w:rsidP="008059DA">
      <w:pPr>
        <w:pStyle w:val="ONUMFS"/>
        <w:numPr>
          <w:ilvl w:val="0"/>
          <w:numId w:val="0"/>
        </w:numPr>
        <w:rPr>
          <w:b/>
          <w:bCs/>
          <w:szCs w:val="22"/>
          <w:lang w:val="es-ES"/>
        </w:rPr>
      </w:pPr>
      <w:r w:rsidRPr="00AA21C6">
        <w:rPr>
          <w:b/>
          <w:bCs/>
          <w:szCs w:val="22"/>
          <w:lang w:val="es-ES"/>
        </w:rPr>
        <w:t>Expresiones materiales (o tangibles)</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8059DA" w:rsidRPr="00AA21C6" w:rsidRDefault="008059DA" w:rsidP="008059DA">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7"/>
      </w:r>
      <w:r w:rsidRPr="00AA21C6">
        <w:rPr>
          <w:szCs w:val="22"/>
          <w:lang w:val="es-ES"/>
        </w:rPr>
        <w:t xml:space="preserve">  No necesitan estar fijadas en un soporte, pero deben estar incorporadas en un material </w:t>
      </w:r>
      <w:r w:rsidRPr="00AA21C6">
        <w:rPr>
          <w:szCs w:val="22"/>
          <w:lang w:val="es-ES"/>
        </w:rPr>
        <w:lastRenderedPageBreak/>
        <w:t>permanente, como la piedra, la madera, los tejidos, el oro, etcétera.  Las expresiones tangibles constituyen expresiones del folclore protegidas.  A modo de ejemplo cabe señalar las siguientes:</w:t>
      </w:r>
    </w:p>
    <w:p w:rsidR="008059DA" w:rsidRPr="00AA21C6" w:rsidRDefault="008059DA" w:rsidP="008059DA">
      <w:pPr>
        <w:pStyle w:val="ONUMFS"/>
        <w:numPr>
          <w:ilvl w:val="0"/>
          <w:numId w:val="0"/>
        </w:numPr>
        <w:ind w:left="1134" w:hanging="584"/>
        <w:rPr>
          <w:szCs w:val="22"/>
          <w:lang w:val="es-ES"/>
        </w:rPr>
      </w:pPr>
      <w:r w:rsidRPr="00AA21C6">
        <w:rPr>
          <w:szCs w:val="22"/>
          <w:lang w:val="es-ES"/>
        </w:rPr>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8059DA" w:rsidRPr="00AA21C6" w:rsidRDefault="008059DA" w:rsidP="008059DA">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8059DA" w:rsidRPr="00AA21C6" w:rsidRDefault="008059DA" w:rsidP="008059DA">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8"/>
      </w:r>
    </w:p>
    <w:p w:rsidR="008059DA" w:rsidRPr="00AA21C6" w:rsidRDefault="008059DA" w:rsidP="008059DA">
      <w:pPr>
        <w:pStyle w:val="ONUMFS"/>
        <w:keepNext/>
        <w:numPr>
          <w:ilvl w:val="0"/>
          <w:numId w:val="0"/>
        </w:numPr>
        <w:rPr>
          <w:b/>
          <w:bCs/>
          <w:szCs w:val="22"/>
          <w:lang w:val="es-ES"/>
        </w:rPr>
      </w:pPr>
      <w:r w:rsidRPr="00AA21C6">
        <w:rPr>
          <w:b/>
          <w:bCs/>
          <w:szCs w:val="22"/>
          <w:lang w:val="es-ES"/>
        </w:rPr>
        <w:t>Contexto tradicional</w:t>
      </w:r>
    </w:p>
    <w:p w:rsidR="008059DA" w:rsidRPr="00AA21C6" w:rsidRDefault="008059DA" w:rsidP="008059DA">
      <w:pPr>
        <w:pStyle w:val="ONUMFS"/>
        <w:keepNext/>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9"/>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60"/>
      </w:r>
      <w:r w:rsidRPr="00AA21C6">
        <w:rPr>
          <w:szCs w:val="22"/>
          <w:lang w:val="es-ES"/>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61"/>
      </w:r>
    </w:p>
    <w:p w:rsidR="008059DA" w:rsidRPr="00AA21C6" w:rsidRDefault="008059DA" w:rsidP="008059DA">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62"/>
      </w:r>
    </w:p>
    <w:p w:rsidR="008059DA" w:rsidRPr="00AA21C6" w:rsidRDefault="008059DA" w:rsidP="008059DA">
      <w:pPr>
        <w:pStyle w:val="ONUMFS"/>
        <w:numPr>
          <w:ilvl w:val="0"/>
          <w:numId w:val="0"/>
        </w:numPr>
        <w:rPr>
          <w:b/>
          <w:bCs/>
          <w:szCs w:val="22"/>
          <w:lang w:val="es-ES"/>
        </w:rPr>
      </w:pPr>
      <w:r w:rsidRPr="00AA21C6">
        <w:rPr>
          <w:b/>
          <w:bCs/>
          <w:szCs w:val="22"/>
          <w:lang w:val="es-ES"/>
        </w:rPr>
        <w:t>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059DA" w:rsidRPr="00AA21C6" w:rsidRDefault="008059DA" w:rsidP="008059DA">
      <w:pPr>
        <w:pStyle w:val="ONUMFS"/>
        <w:numPr>
          <w:ilvl w:val="0"/>
          <w:numId w:val="0"/>
        </w:numPr>
        <w:rPr>
          <w:b/>
          <w:bCs/>
          <w:szCs w:val="22"/>
          <w:lang w:val="es-ES"/>
        </w:rPr>
      </w:pPr>
      <w:r w:rsidRPr="00AA21C6">
        <w:rPr>
          <w:b/>
          <w:bCs/>
          <w:szCs w:val="22"/>
          <w:lang w:val="es-ES"/>
        </w:rPr>
        <w:t>Culturas tradicionales</w:t>
      </w:r>
    </w:p>
    <w:p w:rsidR="008059DA" w:rsidRPr="00AA21C6" w:rsidRDefault="008059DA" w:rsidP="008059DA">
      <w:pPr>
        <w:pStyle w:val="ONUMFS"/>
        <w:numPr>
          <w:ilvl w:val="0"/>
          <w:numId w:val="0"/>
        </w:numPr>
        <w:rPr>
          <w:szCs w:val="22"/>
          <w:lang w:val="es-ES"/>
        </w:rPr>
      </w:pPr>
      <w:r w:rsidRPr="00AA21C6">
        <w:rPr>
          <w:szCs w:val="22"/>
          <w:lang w:val="es-ES"/>
        </w:rPr>
        <w:t xml:space="preserve">Según el Diccionario de la lengua española de la Real Academia Española, la “tradición” es la “transmisión de noticias, composiciones literarias, doctrinas, ritos, costumbres, etc., hecha de </w:t>
      </w:r>
      <w:r w:rsidRPr="00AA21C6">
        <w:rPr>
          <w:szCs w:val="22"/>
          <w:lang w:val="es-ES"/>
        </w:rPr>
        <w:lastRenderedPageBreak/>
        <w:t>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AA21C6">
        <w:rPr>
          <w:rStyle w:val="FootnoteReference"/>
          <w:szCs w:val="22"/>
          <w:lang w:val="es-ES"/>
        </w:rPr>
        <w:footnoteReference w:id="163"/>
      </w:r>
    </w:p>
    <w:p w:rsidR="008059DA" w:rsidRPr="00AA21C6" w:rsidRDefault="008059DA" w:rsidP="008059DA">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8059DA" w:rsidRPr="00AA21C6" w:rsidRDefault="008059DA" w:rsidP="008059DA">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64"/>
      </w:r>
      <w:r w:rsidRPr="00AA21C6">
        <w:rPr>
          <w:szCs w:val="22"/>
          <w:lang w:val="es-ES"/>
        </w:rPr>
        <w:t xml:space="preserve">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5"/>
      </w:r>
    </w:p>
    <w:p w:rsidR="008059DA" w:rsidRPr="00AA21C6" w:rsidRDefault="008059DA" w:rsidP="008059DA">
      <w:pPr>
        <w:pStyle w:val="ONUMFS"/>
        <w:numPr>
          <w:ilvl w:val="0"/>
          <w:numId w:val="0"/>
        </w:numPr>
        <w:rPr>
          <w:b/>
          <w:bCs/>
          <w:szCs w:val="22"/>
          <w:lang w:val="es-ES"/>
        </w:rPr>
      </w:pPr>
      <w:r w:rsidRPr="00AA21C6">
        <w:rPr>
          <w:b/>
          <w:bCs/>
          <w:szCs w:val="22"/>
          <w:lang w:val="es-ES"/>
        </w:rPr>
        <w:t>Conocimientos tradicionales</w:t>
      </w:r>
    </w:p>
    <w:p w:rsidR="008059DA" w:rsidRPr="00AA21C6" w:rsidRDefault="008059DA" w:rsidP="008059DA">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8059DA" w:rsidRPr="00AA21C6" w:rsidRDefault="008059DA" w:rsidP="008059DA">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w:t>
      </w:r>
      <w:r w:rsidRPr="00AA21C6">
        <w:rPr>
          <w:szCs w:val="22"/>
          <w:lang w:val="es-ES"/>
        </w:rPr>
        <w:lastRenderedPageBreak/>
        <w:t>medicinales, incluidos los medicamentos y remedios medicinales, conocimientos relacionados con la biodiversidad, etcétera.</w:t>
      </w:r>
      <w:r w:rsidRPr="00AA21C6">
        <w:rPr>
          <w:rStyle w:val="FootnoteReference"/>
          <w:szCs w:val="22"/>
          <w:lang w:val="es-ES"/>
        </w:rPr>
        <w:footnoteReference w:id="166"/>
      </w:r>
    </w:p>
    <w:p w:rsidR="008059DA" w:rsidRPr="00AA21C6" w:rsidRDefault="008059DA" w:rsidP="008059DA">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8059DA" w:rsidRPr="00AA21C6" w:rsidRDefault="008059DA" w:rsidP="008059DA">
      <w:pPr>
        <w:pStyle w:val="ONUMFS"/>
        <w:numPr>
          <w:ilvl w:val="0"/>
          <w:numId w:val="0"/>
        </w:numPr>
        <w:tabs>
          <w:tab w:val="left" w:pos="7230"/>
        </w:tabs>
        <w:rPr>
          <w:szCs w:val="22"/>
          <w:lang w:val="es-ES"/>
        </w:rPr>
      </w:pPr>
      <w:r w:rsidRPr="00AA21C6">
        <w:rPr>
          <w:szCs w:val="22"/>
          <w:lang w:val="es-ES"/>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7"/>
      </w:r>
    </w:p>
    <w:p w:rsidR="008059DA" w:rsidRPr="00AA21C6" w:rsidRDefault="008059DA" w:rsidP="008059DA">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8"/>
      </w:r>
    </w:p>
    <w:p w:rsidR="008059DA" w:rsidRPr="00AA21C6" w:rsidRDefault="008059DA" w:rsidP="008059DA">
      <w:pPr>
        <w:pStyle w:val="ONUMFS"/>
        <w:numPr>
          <w:ilvl w:val="0"/>
          <w:numId w:val="0"/>
        </w:numPr>
        <w:rPr>
          <w:b/>
          <w:bCs/>
          <w:szCs w:val="22"/>
          <w:lang w:val="es-ES"/>
        </w:rPr>
      </w:pPr>
      <w:r w:rsidRPr="00AA21C6">
        <w:rPr>
          <w:b/>
          <w:bCs/>
          <w:szCs w:val="22"/>
          <w:lang w:val="es-ES"/>
        </w:rPr>
        <w:t>Poseedor de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w:t>
      </w:r>
      <w:r w:rsidRPr="00AA21C6">
        <w:rPr>
          <w:szCs w:val="22"/>
          <w:lang w:val="es-ES"/>
        </w:rPr>
        <w:lastRenderedPageBreak/>
        <w:t>indígenas.</w:t>
      </w:r>
      <w:r w:rsidRPr="00AA21C6">
        <w:rPr>
          <w:rStyle w:val="FootnoteReference"/>
          <w:szCs w:val="22"/>
          <w:lang w:val="es-ES"/>
        </w:rPr>
        <w:footnoteReference w:id="169"/>
      </w:r>
      <w:r w:rsidRPr="00AA21C6">
        <w:rPr>
          <w:szCs w:val="22"/>
          <w:lang w:val="es-ES"/>
        </w:rPr>
        <w:t xml:space="preserve">  En este contexto, “conocimientos tradicionales” se refiere tanto a los conocimientos tradicionales propiamente dichos como a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AA21C6">
        <w:rPr>
          <w:rStyle w:val="FootnoteReference"/>
          <w:iCs/>
          <w:szCs w:val="22"/>
          <w:lang w:val="es-ES"/>
        </w:rPr>
        <w:footnoteReference w:id="170"/>
      </w:r>
    </w:p>
    <w:p w:rsidR="008059DA" w:rsidRPr="00AA21C6" w:rsidRDefault="008059DA" w:rsidP="008059DA">
      <w:pPr>
        <w:pStyle w:val="ONUMFS"/>
        <w:numPr>
          <w:ilvl w:val="0"/>
          <w:numId w:val="0"/>
        </w:numPr>
        <w:rPr>
          <w:b/>
          <w:bCs/>
          <w:szCs w:val="22"/>
          <w:lang w:val="es-ES"/>
        </w:rPr>
      </w:pPr>
      <w:r w:rsidRPr="00AA21C6">
        <w:rPr>
          <w:b/>
          <w:bCs/>
          <w:szCs w:val="22"/>
          <w:lang w:val="es-ES"/>
        </w:rPr>
        <w:t>La Clasificación de Recursos sobre Conocimientos Tradicionales</w:t>
      </w:r>
    </w:p>
    <w:p w:rsidR="008059DA" w:rsidRPr="00AA21C6" w:rsidRDefault="008059DA" w:rsidP="008059DA">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71"/>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72"/>
      </w:r>
    </w:p>
    <w:p w:rsidR="008059DA" w:rsidRPr="00AA21C6" w:rsidRDefault="008059DA" w:rsidP="008059DA">
      <w:pPr>
        <w:pStyle w:val="ONUMFS"/>
        <w:numPr>
          <w:ilvl w:val="0"/>
          <w:numId w:val="0"/>
        </w:numPr>
        <w:tabs>
          <w:tab w:val="left" w:pos="6804"/>
        </w:tabs>
        <w:rPr>
          <w:b/>
          <w:bCs/>
          <w:szCs w:val="22"/>
          <w:lang w:val="es-ES"/>
        </w:rPr>
      </w:pPr>
      <w:r w:rsidRPr="00AA21C6">
        <w:rPr>
          <w:b/>
          <w:bCs/>
          <w:szCs w:val="22"/>
          <w:lang w:val="es-ES"/>
        </w:rPr>
        <w:t>Medicina tradicional</w:t>
      </w:r>
    </w:p>
    <w:p w:rsidR="008059DA" w:rsidRPr="00AA21C6" w:rsidRDefault="008059DA" w:rsidP="008059DA">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73"/>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74"/>
      </w:r>
    </w:p>
    <w:p w:rsidR="008059DA" w:rsidRPr="00AA21C6" w:rsidRDefault="008059DA" w:rsidP="008059DA">
      <w:pPr>
        <w:pStyle w:val="ONUMFS"/>
        <w:numPr>
          <w:ilvl w:val="0"/>
          <w:numId w:val="0"/>
        </w:numPr>
        <w:rPr>
          <w:b/>
          <w:bCs/>
          <w:szCs w:val="22"/>
          <w:lang w:val="es-ES"/>
        </w:rPr>
      </w:pPr>
      <w:r w:rsidRPr="00AA21C6">
        <w:rPr>
          <w:b/>
          <w:bCs/>
          <w:szCs w:val="22"/>
          <w:lang w:val="es-ES"/>
        </w:rPr>
        <w:t>Innovaciones y creaciones basadas en la tradición</w:t>
      </w:r>
    </w:p>
    <w:p w:rsidR="008059DA" w:rsidRPr="00AA21C6" w:rsidRDefault="008059DA" w:rsidP="008059DA">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Pr="00AA21C6">
        <w:rPr>
          <w:rStyle w:val="FootnoteReference"/>
          <w:szCs w:val="22"/>
          <w:lang w:val="es-ES"/>
        </w:rPr>
        <w:footnoteReference w:id="175"/>
      </w:r>
      <w:r w:rsidRPr="00AA21C6">
        <w:rPr>
          <w:szCs w:val="22"/>
          <w:lang w:val="es-ES"/>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76"/>
      </w:r>
      <w:r w:rsidRPr="00AA21C6">
        <w:rPr>
          <w:szCs w:val="22"/>
          <w:lang w:val="es-ES"/>
        </w:rPr>
        <w:t xml:space="preserve">  Mediante la expresión “conocimientos tradicionales como tales” se hace referencia a “los sistemas de conocimientos, las creaciones, innovaciones y </w:t>
      </w:r>
      <w:r w:rsidRPr="00AA21C6">
        <w:rPr>
          <w:szCs w:val="22"/>
          <w:lang w:val="es-ES"/>
        </w:rPr>
        <w:lastRenderedPageBreak/>
        <w:t>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77"/>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8"/>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9"/>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8059DA" w:rsidRPr="00AA21C6" w:rsidRDefault="008059DA" w:rsidP="008059DA">
      <w:pPr>
        <w:pStyle w:val="ONUMFS"/>
        <w:numPr>
          <w:ilvl w:val="0"/>
          <w:numId w:val="0"/>
        </w:numPr>
        <w:rPr>
          <w:szCs w:val="22"/>
          <w:lang w:val="es-ES"/>
        </w:rPr>
      </w:pPr>
      <w:r w:rsidRPr="00AA21C6">
        <w:rPr>
          <w:szCs w:val="22"/>
          <w:lang w:val="es-ES"/>
        </w:rPr>
        <w:t>“La Convención solicita a sus Estados Partes actuar esencialmente en los siguientes aspectos:</w:t>
      </w:r>
    </w:p>
    <w:p w:rsidR="008059DA" w:rsidRPr="00AA21C6" w:rsidRDefault="008059DA" w:rsidP="008059DA">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8059DA" w:rsidRPr="00AA21C6" w:rsidRDefault="008059DA" w:rsidP="008059DA">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8059DA" w:rsidRPr="00AA21C6" w:rsidRDefault="008059DA" w:rsidP="008059DA">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8059DA" w:rsidRPr="00AA21C6" w:rsidRDefault="008059DA" w:rsidP="008059DA">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8059DA" w:rsidRPr="00AA21C6" w:rsidRDefault="008059DA" w:rsidP="008059DA">
      <w:pPr>
        <w:pStyle w:val="ONUMFS"/>
        <w:numPr>
          <w:ilvl w:val="0"/>
          <w:numId w:val="0"/>
        </w:numPr>
        <w:rPr>
          <w:szCs w:val="22"/>
          <w:lang w:val="es-ES"/>
        </w:rPr>
      </w:pPr>
      <w:r w:rsidRPr="00AA21C6">
        <w:rPr>
          <w:szCs w:val="22"/>
          <w:lang w:val="es-ES"/>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w:t>
      </w:r>
      <w:r w:rsidRPr="00AA21C6">
        <w:rPr>
          <w:szCs w:val="22"/>
          <w:lang w:val="es-ES"/>
        </w:rPr>
        <w:lastRenderedPageBreak/>
        <w:t>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w:t>
      </w:r>
      <w:bookmarkStart w:id="17" w:name="_GoBack"/>
      <w:bookmarkEnd w:id="17"/>
      <w:r w:rsidRPr="00AA21C6">
        <w:rPr>
          <w:szCs w:val="22"/>
          <w:lang w:val="es-ES"/>
        </w:rPr>
        <w:t>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8059DA" w:rsidRPr="00AA21C6" w:rsidRDefault="008059DA" w:rsidP="008059DA">
      <w:pPr>
        <w:pStyle w:val="ONUMFS"/>
        <w:numPr>
          <w:ilvl w:val="0"/>
          <w:numId w:val="0"/>
        </w:numPr>
        <w:rPr>
          <w:b/>
          <w:bCs/>
          <w:szCs w:val="22"/>
          <w:lang w:val="es-ES"/>
        </w:rPr>
      </w:pPr>
      <w:bookmarkStart w:id="18" w:name="sdfootnote13anc"/>
      <w:r w:rsidRPr="00AA21C6">
        <w:rPr>
          <w:b/>
          <w:bCs/>
          <w:szCs w:val="22"/>
          <w:lang w:val="es-ES"/>
        </w:rPr>
        <w:t>Competencia desleal</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8059DA" w:rsidRPr="00AA21C6" w:rsidRDefault="008059DA" w:rsidP="008059DA">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8"/>
    <w:p w:rsidR="008059DA" w:rsidRPr="00AA21C6" w:rsidRDefault="008059DA" w:rsidP="008059DA">
      <w:pPr>
        <w:pStyle w:val="ONUMFS"/>
        <w:numPr>
          <w:ilvl w:val="0"/>
          <w:numId w:val="0"/>
        </w:numPr>
        <w:rPr>
          <w:b/>
          <w:szCs w:val="22"/>
          <w:lang w:val="es-ES"/>
        </w:rPr>
      </w:pPr>
      <w:r w:rsidRPr="00AA21C6">
        <w:rPr>
          <w:b/>
          <w:szCs w:val="22"/>
          <w:lang w:val="es-ES"/>
        </w:rPr>
        <w:t>Declaración de las Naciones Unidas sobre los Derechos de los Pueblos Indígenas</w:t>
      </w:r>
    </w:p>
    <w:p w:rsidR="008059DA" w:rsidRPr="00AA21C6" w:rsidRDefault="008059DA" w:rsidP="008059DA">
      <w:pPr>
        <w:pStyle w:val="ONUMFS"/>
        <w:numPr>
          <w:ilvl w:val="0"/>
          <w:numId w:val="0"/>
        </w:numPr>
        <w:rPr>
          <w:szCs w:val="22"/>
          <w:lang w:val="es-ES"/>
        </w:rPr>
      </w:pPr>
      <w:r w:rsidRPr="00AA21C6">
        <w:rPr>
          <w:szCs w:val="22"/>
          <w:lang w:val="es-ES"/>
        </w:rPr>
        <w:t xml:space="preserve">La Asamblea General de las Naciones Unidas adoptó la Declaración de las Naciones Unidas sobre los Derechos de los Pueblos Indígenas en 2007, en la que se reconocen los mismos derechos humanos para los pueblos indígenas que para todos los demás pueblos contra </w:t>
      </w:r>
      <w:r w:rsidRPr="00AA21C6">
        <w:rPr>
          <w:szCs w:val="22"/>
          <w:lang w:val="es-ES"/>
        </w:rPr>
        <w:lastRenderedPageBreak/>
        <w:t>cualquier forma de discriminación y en la que se fomenta el respeto mutuo y las relaciones armoniosas entre los pueblos indígenas y los Estados.</w:t>
      </w:r>
    </w:p>
    <w:p w:rsidR="008059DA" w:rsidRPr="00AA21C6" w:rsidRDefault="008059DA" w:rsidP="008059DA">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8059DA" w:rsidRPr="00AA21C6" w:rsidRDefault="008059DA" w:rsidP="008059DA">
      <w:pPr>
        <w:pStyle w:val="ONUMFS"/>
        <w:numPr>
          <w:ilvl w:val="0"/>
          <w:numId w:val="0"/>
        </w:numPr>
        <w:rPr>
          <w:b/>
          <w:bCs/>
          <w:szCs w:val="22"/>
          <w:lang w:val="es-ES"/>
        </w:rPr>
      </w:pPr>
      <w:r w:rsidRPr="00AA21C6">
        <w:rPr>
          <w:b/>
          <w:bCs/>
          <w:szCs w:val="22"/>
          <w:lang w:val="es-ES"/>
        </w:rPr>
        <w:t>Uso de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8059DA" w:rsidRPr="00AA21C6" w:rsidRDefault="008059DA" w:rsidP="008059DA">
      <w:pPr>
        <w:pStyle w:val="ONUMFS"/>
        <w:numPr>
          <w:ilvl w:val="0"/>
          <w:numId w:val="0"/>
        </w:numPr>
        <w:rPr>
          <w:szCs w:val="22"/>
          <w:lang w:val="es-ES"/>
        </w:rPr>
      </w:pPr>
      <w:r w:rsidRPr="00AA21C6">
        <w:rPr>
          <w:i/>
          <w:iCs/>
          <w:szCs w:val="22"/>
          <w:u w:val="single"/>
          <w:lang w:val="es-ES"/>
        </w:rPr>
        <w:t>Uso comercial</w:t>
      </w:r>
    </w:p>
    <w:p w:rsidR="008059DA" w:rsidRPr="00AA21C6" w:rsidRDefault="008059DA" w:rsidP="008059DA">
      <w:pPr>
        <w:pStyle w:val="ONUMFS"/>
        <w:numPr>
          <w:ilvl w:val="0"/>
          <w:numId w:val="0"/>
        </w:numPr>
        <w:rPr>
          <w:szCs w:val="22"/>
          <w:lang w:val="es-ES"/>
        </w:rPr>
      </w:pPr>
      <w:r w:rsidRPr="00AA21C6">
        <w:rPr>
          <w:szCs w:val="22"/>
          <w:lang w:val="es-ES"/>
        </w:rPr>
        <w:t xml:space="preserve">Se entiende por “uso comercial” todo uso con fines de comercio.  En el </w:t>
      </w:r>
      <w:r w:rsidRPr="00AA21C6">
        <w:rPr>
          <w:i/>
          <w:iCs/>
          <w:szCs w:val="22"/>
          <w:lang w:val="es-ES"/>
        </w:rPr>
        <w:t>Diccionario Enciclopédico de Derecho Usual</w:t>
      </w:r>
      <w:r w:rsidRPr="00AA21C6">
        <w:rPr>
          <w:szCs w:val="22"/>
          <w:lang w:val="es-ES"/>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8059DA" w:rsidRPr="00AA21C6" w:rsidRDefault="008059DA" w:rsidP="008059DA">
      <w:pPr>
        <w:pStyle w:val="ONUMFS"/>
        <w:numPr>
          <w:ilvl w:val="0"/>
          <w:numId w:val="0"/>
        </w:numPr>
        <w:rPr>
          <w:szCs w:val="22"/>
          <w:lang w:val="es-ES"/>
        </w:rPr>
      </w:pPr>
      <w:r w:rsidRPr="00AA21C6">
        <w:rPr>
          <w:i/>
          <w:iCs/>
          <w:szCs w:val="22"/>
          <w:u w:val="single"/>
          <w:lang w:val="es-ES"/>
        </w:rPr>
        <w:t>Uso consuetudinario</w:t>
      </w:r>
    </w:p>
    <w:p w:rsidR="008059DA" w:rsidRPr="00AA21C6" w:rsidRDefault="008059DA" w:rsidP="008059DA">
      <w:pPr>
        <w:pStyle w:val="ONUMFS"/>
        <w:numPr>
          <w:ilvl w:val="0"/>
          <w:numId w:val="0"/>
        </w:numPr>
        <w:rPr>
          <w:szCs w:val="22"/>
          <w:lang w:val="es-ES"/>
        </w:rPr>
      </w:pPr>
      <w:r w:rsidRPr="00AA21C6">
        <w:rPr>
          <w:szCs w:val="22"/>
          <w:lang w:val="es-ES"/>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8059DA" w:rsidRPr="00AA21C6" w:rsidRDefault="008059DA" w:rsidP="008059DA">
      <w:pPr>
        <w:pStyle w:val="ONUMFS"/>
        <w:numPr>
          <w:ilvl w:val="0"/>
          <w:numId w:val="0"/>
        </w:numPr>
        <w:rPr>
          <w:szCs w:val="22"/>
          <w:lang w:val="es-ES"/>
        </w:rPr>
      </w:pPr>
      <w:r w:rsidRPr="00AA21C6">
        <w:rPr>
          <w:i/>
          <w:iCs/>
          <w:szCs w:val="22"/>
          <w:u w:val="single"/>
          <w:lang w:val="es-ES"/>
        </w:rPr>
        <w:t>Uso leal</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w:t>
      </w:r>
      <w:r w:rsidRPr="00AA21C6">
        <w:rPr>
          <w:szCs w:val="22"/>
          <w:lang w:val="es-ES"/>
        </w:rPr>
        <w:lastRenderedPageBreak/>
        <w:t>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8059DA" w:rsidRPr="00AA21C6" w:rsidRDefault="008059DA" w:rsidP="008059DA">
      <w:pPr>
        <w:pStyle w:val="ONUMFS"/>
        <w:numPr>
          <w:ilvl w:val="0"/>
          <w:numId w:val="0"/>
        </w:numPr>
        <w:rPr>
          <w:szCs w:val="22"/>
          <w:lang w:val="es-ES"/>
        </w:rPr>
      </w:pPr>
      <w:r w:rsidRPr="00AA21C6">
        <w:rPr>
          <w:i/>
          <w:iCs/>
          <w:szCs w:val="22"/>
          <w:u w:val="single"/>
          <w:lang w:val="es-ES"/>
        </w:rPr>
        <w:t>Uso doméstico / uso con fines de salud pública</w:t>
      </w:r>
    </w:p>
    <w:p w:rsidR="008059DA" w:rsidRPr="00AA21C6" w:rsidRDefault="008059DA" w:rsidP="008059DA">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8059DA" w:rsidRPr="00AA21C6" w:rsidRDefault="008059DA" w:rsidP="008059DA">
      <w:pPr>
        <w:pStyle w:val="ONUMFS"/>
        <w:numPr>
          <w:ilvl w:val="0"/>
          <w:numId w:val="0"/>
        </w:numPr>
        <w:rPr>
          <w:szCs w:val="22"/>
          <w:lang w:val="es-ES"/>
        </w:rPr>
      </w:pPr>
      <w:r w:rsidRPr="00AA21C6">
        <w:rPr>
          <w:szCs w:val="22"/>
          <w:lang w:val="es-ES"/>
        </w:rPr>
        <w:t>En cuanto al término “uso con fines de salud pública”, en el párrafo 1 de la Declaración de Doha relativa al acuerdo 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8059DA" w:rsidRPr="00AA21C6" w:rsidRDefault="008059DA" w:rsidP="008059DA">
      <w:pPr>
        <w:pStyle w:val="ONUMFS"/>
        <w:numPr>
          <w:ilvl w:val="0"/>
          <w:numId w:val="0"/>
        </w:numPr>
        <w:rPr>
          <w:szCs w:val="22"/>
          <w:lang w:val="es-ES"/>
        </w:rPr>
      </w:pPr>
      <w:r w:rsidRPr="00AA21C6">
        <w:rPr>
          <w:i/>
          <w:iCs/>
          <w:szCs w:val="22"/>
          <w:u w:val="single"/>
          <w:lang w:val="es-ES"/>
        </w:rPr>
        <w:t>Uso con fines de investigación / uso educativo</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8059DA" w:rsidRPr="00AA21C6" w:rsidRDefault="008059DA" w:rsidP="008059DA">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8059DA" w:rsidRPr="00AA21C6" w:rsidRDefault="008059DA" w:rsidP="008059DA">
      <w:pPr>
        <w:pStyle w:val="ONUMFS"/>
        <w:numPr>
          <w:ilvl w:val="0"/>
          <w:numId w:val="0"/>
        </w:numPr>
        <w:ind w:left="550"/>
        <w:rPr>
          <w:szCs w:val="22"/>
          <w:lang w:val="es-ES"/>
        </w:rPr>
      </w:pPr>
      <w:r w:rsidRPr="00AA21C6">
        <w:rPr>
          <w:szCs w:val="22"/>
          <w:lang w:val="es-ES"/>
        </w:rPr>
        <w:t>a)</w:t>
      </w:r>
      <w:r w:rsidRPr="00AA21C6">
        <w:rPr>
          <w:szCs w:val="22"/>
          <w:lang w:val="es-ES"/>
        </w:rPr>
        <w:tab/>
        <w:t>actos efectuados con fines privados o no comerciales;</w:t>
      </w:r>
    </w:p>
    <w:p w:rsidR="008059DA" w:rsidRPr="00AA21C6" w:rsidRDefault="008059DA" w:rsidP="008059DA">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8059DA" w:rsidRPr="00AA21C6" w:rsidRDefault="008059DA" w:rsidP="008059DA">
      <w:pPr>
        <w:pStyle w:val="ONUMFS"/>
        <w:numPr>
          <w:ilvl w:val="0"/>
          <w:numId w:val="0"/>
        </w:numPr>
        <w:rPr>
          <w:b/>
          <w:bCs/>
          <w:szCs w:val="22"/>
          <w:lang w:val="es-ES"/>
        </w:rPr>
      </w:pPr>
      <w:r w:rsidRPr="00AA21C6">
        <w:rPr>
          <w:b/>
          <w:bCs/>
          <w:szCs w:val="22"/>
          <w:lang w:val="es-ES"/>
        </w:rPr>
        <w:t>Utilización</w:t>
      </w:r>
    </w:p>
    <w:p w:rsidR="008059DA" w:rsidRPr="00AA21C6" w:rsidRDefault="008059DA" w:rsidP="008059DA">
      <w:pPr>
        <w:pStyle w:val="ONUMFS"/>
        <w:numPr>
          <w:ilvl w:val="0"/>
          <w:numId w:val="0"/>
        </w:numPr>
        <w:rPr>
          <w:szCs w:val="22"/>
          <w:lang w:val="es-ES"/>
        </w:rPr>
      </w:pPr>
      <w:r w:rsidRPr="00AA21C6">
        <w:rPr>
          <w:szCs w:val="22"/>
          <w:lang w:val="es-ES"/>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1.2.e) de la “Contribución de los países de ideas afines a los objetivos y principios sobre la protección de los recursos genéticos y proyecto de artículos preliminares sobre la </w:t>
      </w:r>
      <w:r w:rsidRPr="00AA21C6">
        <w:rPr>
          <w:szCs w:val="22"/>
          <w:lang w:val="es-ES"/>
        </w:rPr>
        <w:lastRenderedPageBreak/>
        <w:t>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 incluyendo mediante la aplicación de biotecnología”.</w:t>
      </w:r>
    </w:p>
    <w:p w:rsidR="008059DA" w:rsidRPr="00AA21C6" w:rsidRDefault="008059DA" w:rsidP="008059DA">
      <w:pPr>
        <w:pStyle w:val="ONUMFS"/>
        <w:numPr>
          <w:ilvl w:val="0"/>
          <w:numId w:val="0"/>
        </w:numPr>
        <w:rPr>
          <w:b/>
          <w:bCs/>
          <w:szCs w:val="22"/>
          <w:lang w:val="es-ES"/>
        </w:rPr>
      </w:pPr>
      <w:r w:rsidRPr="00AA21C6">
        <w:rPr>
          <w:b/>
          <w:bCs/>
          <w:szCs w:val="22"/>
          <w:lang w:val="es-ES"/>
        </w:rPr>
        <w:t>Guía de la OMPI para la catalogación de conocimientos tradicionales</w:t>
      </w:r>
    </w:p>
    <w:p w:rsidR="008059DA" w:rsidRPr="00AA21C6" w:rsidRDefault="008059DA" w:rsidP="008059DA">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consulta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consulta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AA21C6">
        <w:rPr>
          <w:rStyle w:val="FootnoteReference"/>
          <w:szCs w:val="22"/>
          <w:lang w:val="es-ES"/>
        </w:rPr>
        <w:footnoteReference w:id="180"/>
      </w:r>
    </w:p>
    <w:p w:rsidR="008059DA" w:rsidRPr="00AA21C6" w:rsidRDefault="008059DA" w:rsidP="008059DA">
      <w:pPr>
        <w:pStyle w:val="ONUMFS"/>
        <w:numPr>
          <w:ilvl w:val="0"/>
          <w:numId w:val="0"/>
        </w:numPr>
        <w:rPr>
          <w:szCs w:val="22"/>
          <w:lang w:val="es-ES"/>
        </w:rPr>
      </w:pPr>
      <w:r w:rsidRPr="00AA21C6">
        <w:rPr>
          <w:szCs w:val="22"/>
          <w:lang w:val="es-ES"/>
        </w:rPr>
        <w:t>El borrador de consulta de la guía de la OMPI para la catalogación de conocimientos tradicionales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8059DA" w:rsidRPr="00AA21C6" w:rsidRDefault="008059DA" w:rsidP="008059DA">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  El borrador de consulta de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8059DA" w:rsidRPr="00AA21C6" w:rsidRDefault="008059DA" w:rsidP="008059DA">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8059DA" w:rsidRPr="00AA21C6" w:rsidRDefault="008059DA" w:rsidP="008059DA">
      <w:pPr>
        <w:pStyle w:val="ONUMFS"/>
        <w:numPr>
          <w:ilvl w:val="0"/>
          <w:numId w:val="0"/>
        </w:numPr>
        <w:rPr>
          <w:szCs w:val="22"/>
          <w:lang w:val="es-ES"/>
        </w:rPr>
      </w:pPr>
      <w:r w:rsidRPr="00AA21C6">
        <w:rPr>
          <w:szCs w:val="22"/>
          <w:lang w:val="es-ES"/>
        </w:rPr>
        <w:t xml:space="preserve">Las Disposiciones Tipo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8059DA" w:rsidRPr="00AA21C6" w:rsidRDefault="008059DA" w:rsidP="008059DA">
      <w:pPr>
        <w:pStyle w:val="ONUMFS"/>
        <w:numPr>
          <w:ilvl w:val="0"/>
          <w:numId w:val="0"/>
        </w:numPr>
        <w:rPr>
          <w:szCs w:val="22"/>
          <w:lang w:val="es-ES"/>
        </w:rPr>
      </w:pPr>
      <w:r w:rsidRPr="00AA21C6">
        <w:rPr>
          <w:szCs w:val="22"/>
          <w:lang w:val="es-ES"/>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8059DA" w:rsidRPr="00AA21C6" w:rsidRDefault="008059DA" w:rsidP="008059DA">
      <w:pPr>
        <w:pStyle w:val="ONUMFS"/>
        <w:numPr>
          <w:ilvl w:val="0"/>
          <w:numId w:val="0"/>
        </w:numPr>
        <w:rPr>
          <w:szCs w:val="22"/>
          <w:lang w:val="es-ES"/>
        </w:rPr>
      </w:pPr>
      <w:r w:rsidRPr="00AA21C6">
        <w:rPr>
          <w:szCs w:val="22"/>
          <w:lang w:val="es-ES"/>
        </w:rPr>
        <w:t xml:space="preserve">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w:t>
      </w:r>
      <w:r w:rsidRPr="00AA21C6">
        <w:rPr>
          <w:szCs w:val="22"/>
          <w:lang w:val="es-ES"/>
        </w:rPr>
        <w:lastRenderedPageBreak/>
        <w:t>aplicación de las Disposiciones Tipo.  El informe correspondiente se recoge en el documento WIPO/GRTKF/IC/3/10.</w:t>
      </w: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r w:rsidRPr="00AA21C6">
        <w:rPr>
          <w:szCs w:val="22"/>
          <w:lang w:val="es-ES"/>
        </w:rPr>
        <w:t>[Fin del Anexo y del documento]</w:t>
      </w:r>
    </w:p>
    <w:p w:rsidR="008059DA" w:rsidRPr="00AA21C6" w:rsidRDefault="008059DA" w:rsidP="008059DA">
      <w:pPr>
        <w:rPr>
          <w:lang w:val="es-ES"/>
        </w:rPr>
      </w:pPr>
    </w:p>
    <w:p w:rsidR="00966074" w:rsidRPr="00AA21C6" w:rsidRDefault="00966074" w:rsidP="008059DA">
      <w:pPr>
        <w:rPr>
          <w:lang w:val="es-ES"/>
        </w:rPr>
      </w:pPr>
    </w:p>
    <w:sectPr w:rsidR="00966074" w:rsidRPr="00AA21C6"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19" w:rsidRDefault="00A02419">
      <w:r>
        <w:separator/>
      </w:r>
    </w:p>
  </w:endnote>
  <w:endnote w:type="continuationSeparator" w:id="0">
    <w:p w:rsidR="00A02419" w:rsidRDefault="00A02419" w:rsidP="003B38C1">
      <w:r>
        <w:separator/>
      </w:r>
    </w:p>
    <w:p w:rsidR="00A02419" w:rsidRPr="003B38C1" w:rsidRDefault="00A02419" w:rsidP="003B38C1">
      <w:pPr>
        <w:spacing w:after="60"/>
        <w:rPr>
          <w:sz w:val="17"/>
        </w:rPr>
      </w:pPr>
      <w:r>
        <w:rPr>
          <w:sz w:val="17"/>
        </w:rPr>
        <w:t>[Endnote continued from previous page]</w:t>
      </w:r>
    </w:p>
  </w:endnote>
  <w:endnote w:type="continuationNotice" w:id="1">
    <w:p w:rsidR="00A02419" w:rsidRPr="003B38C1" w:rsidRDefault="00A024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19" w:rsidRDefault="00A02419">
      <w:r>
        <w:separator/>
      </w:r>
    </w:p>
  </w:footnote>
  <w:footnote w:type="continuationSeparator" w:id="0">
    <w:p w:rsidR="00A02419" w:rsidRDefault="00A02419" w:rsidP="008B60B2">
      <w:r>
        <w:separator/>
      </w:r>
    </w:p>
    <w:p w:rsidR="00A02419" w:rsidRPr="00ED77FB" w:rsidRDefault="00A02419" w:rsidP="008B60B2">
      <w:pPr>
        <w:spacing w:after="60"/>
        <w:rPr>
          <w:sz w:val="17"/>
          <w:szCs w:val="17"/>
        </w:rPr>
      </w:pPr>
      <w:r w:rsidRPr="00ED77FB">
        <w:rPr>
          <w:sz w:val="17"/>
          <w:szCs w:val="17"/>
        </w:rPr>
        <w:t>[Footnote continued from previous page]</w:t>
      </w:r>
    </w:p>
  </w:footnote>
  <w:footnote w:type="continuationNotice" w:id="1">
    <w:p w:rsidR="00A02419" w:rsidRPr="00ED77FB" w:rsidRDefault="00A02419" w:rsidP="008B60B2">
      <w:pPr>
        <w:spacing w:before="60"/>
        <w:jc w:val="right"/>
        <w:rPr>
          <w:sz w:val="17"/>
          <w:szCs w:val="17"/>
        </w:rPr>
      </w:pPr>
      <w:r w:rsidRPr="00ED77FB">
        <w:rPr>
          <w:sz w:val="17"/>
          <w:szCs w:val="17"/>
        </w:rPr>
        <w:t>[Footnote continued on next page]</w:t>
      </w:r>
    </w:p>
  </w:footnote>
  <w:footnote w:id="2">
    <w:p w:rsidR="00A02419" w:rsidRPr="00312D18" w:rsidRDefault="00A02419" w:rsidP="008059DA">
      <w:pPr>
        <w:pStyle w:val="FootnoteText"/>
        <w:ind w:left="550" w:hanging="550"/>
        <w:rPr>
          <w:lang w:val="es-ES"/>
        </w:rPr>
      </w:pPr>
      <w:r w:rsidRPr="00312D18">
        <w:rPr>
          <w:rStyle w:val="FootnoteReference"/>
          <w:lang w:val="es-ES"/>
        </w:rPr>
        <w:footnoteRef/>
      </w:r>
      <w:r w:rsidRPr="00312D18">
        <w:rPr>
          <w:lang w:val="es-ES"/>
        </w:rPr>
        <w:t xml:space="preserve"> </w:t>
      </w:r>
      <w:r w:rsidRPr="00312D18">
        <w:rPr>
          <w:lang w:val="es-ES"/>
        </w:rPr>
        <w:tab/>
      </w:r>
      <w:r w:rsidR="003C6BDC" w:rsidRPr="003C6BDC">
        <w:rPr>
          <w:lang w:val="es-ES"/>
        </w:rPr>
        <w:t>Informe de la decimosexta sesión del Comité (WIPO/GRTKF/IC/16/8) y de la decimoséptima sesión del Comité (WIPO/GRTKF/IC/17/12).</w:t>
      </w:r>
    </w:p>
  </w:footnote>
  <w:footnote w:id="3">
    <w:p w:rsidR="003C6BDC" w:rsidRPr="003C6BDC" w:rsidRDefault="003C6BDC">
      <w:pPr>
        <w:pStyle w:val="FootnoteText"/>
        <w:rPr>
          <w:lang w:val="es-ES_tradnl"/>
        </w:rPr>
      </w:pPr>
      <w:r>
        <w:rPr>
          <w:rStyle w:val="FootnoteReference"/>
        </w:rPr>
        <w:footnoteRef/>
      </w:r>
      <w:r w:rsidRPr="00EB595F">
        <w:rPr>
          <w:lang w:val="es-ES"/>
        </w:rPr>
        <w:t xml:space="preserve"> </w:t>
      </w:r>
      <w:r>
        <w:rPr>
          <w:lang w:val="es-ES_tradnl"/>
        </w:rPr>
        <w:tab/>
      </w:r>
      <w:r w:rsidRPr="003C6BDC">
        <w:rPr>
          <w:lang w:val="es-ES"/>
        </w:rPr>
        <w:t>Informe de la decimonovena sesión del Comité (WIPO/GRTKF/IC/19/12).</w:t>
      </w:r>
    </w:p>
  </w:footnote>
  <w:footnote w:id="4">
    <w:p w:rsidR="00A02419" w:rsidRPr="00312D18" w:rsidRDefault="00A02419" w:rsidP="008059DA">
      <w:pPr>
        <w:pStyle w:val="FootnoteText"/>
        <w:rPr>
          <w:lang w:val="es-ES"/>
        </w:rPr>
      </w:pPr>
      <w:r w:rsidRPr="00312D18">
        <w:rPr>
          <w:rStyle w:val="FootnoteReference"/>
          <w:lang w:val="es-ES"/>
        </w:rPr>
        <w:t>*</w:t>
      </w:r>
      <w:r w:rsidRPr="00312D18">
        <w:rPr>
          <w:lang w:val="es-ES"/>
        </w:rPr>
        <w:t xml:space="preserve"> </w:t>
      </w:r>
      <w:r w:rsidRPr="00312D18">
        <w:rPr>
          <w:lang w:val="es-ES"/>
        </w:rPr>
        <w:tab/>
        <w:t>Los términos aparecen en el orden alfabético de la versión en inglés.</w:t>
      </w:r>
    </w:p>
  </w:footnote>
  <w:footnote w:id="5">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Protocolo de Nagoya sobre Acceso a los Recursos Genéticos y Participación Justa y Equitativa en los Beneficios que se Deriven de su Utilización al Convenio sobre la Diversidad Biológica, art. 5.4.</w:t>
      </w:r>
    </w:p>
  </w:footnote>
  <w:footnote w:id="6">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Directrices de Bonn sobre Acceso a los Recursos Genéticos y Distribución Justa y Equitativa de los Beneficios Provenientes de su Utilización, párr. 23.</w:t>
      </w:r>
    </w:p>
  </w:footnote>
  <w:footnote w:id="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r>
      <w:r w:rsidRPr="00312D18">
        <w:rPr>
          <w:iCs/>
          <w:szCs w:val="18"/>
          <w:lang w:val="es-ES"/>
        </w:rPr>
        <w:t>Guía sobre los tratados de derecho de autor y derechos conexos administrados por la OMPI</w:t>
      </w:r>
      <w:r w:rsidRPr="00312D18">
        <w:rPr>
          <w:szCs w:val="18"/>
          <w:lang w:val="es-ES"/>
        </w:rPr>
        <w:t xml:space="preserve"> y Glosario de términos y expresiones sobre derecho de autor y derechos conexos, pág. 273, OMPI.</w:t>
      </w:r>
    </w:p>
  </w:footnote>
  <w:footnote w:id="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La edición consultada del </w:t>
      </w:r>
      <w:r w:rsidRPr="00312D18">
        <w:rPr>
          <w:i/>
          <w:iCs/>
          <w:szCs w:val="18"/>
          <w:lang w:val="es-ES"/>
        </w:rPr>
        <w:t>Black’s Law Dictionary</w:t>
      </w:r>
      <w:r w:rsidRPr="00312D18">
        <w:rPr>
          <w:szCs w:val="18"/>
          <w:lang w:val="es-ES"/>
        </w:rPr>
        <w:t xml:space="preserve"> es la 8ª, a cargo de Bryan A. Garner.</w:t>
      </w:r>
    </w:p>
  </w:footnote>
  <w:footnote w:id="9">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i/>
          <w:szCs w:val="18"/>
        </w:rPr>
        <w:t xml:space="preserve">Recommendations </w:t>
      </w:r>
      <w:r w:rsidRPr="00EB595F">
        <w:rPr>
          <w:i/>
          <w:iCs/>
          <w:szCs w:val="18"/>
        </w:rPr>
        <w:t>for</w:t>
      </w:r>
      <w:r w:rsidRPr="00EB595F">
        <w:rPr>
          <w:i/>
          <w:szCs w:val="18"/>
        </w:rPr>
        <w:t xml:space="preserve"> African Negotiators from the 2nd Preparatory Meeting of African Indigenous Peoples and Local Communities</w:t>
      </w:r>
      <w:r w:rsidRPr="00EB595F">
        <w:rPr>
          <w:szCs w:val="18"/>
        </w:rPr>
        <w:t xml:space="preserve"> (UNEP/CBD/COP/10/INF/37) 14 de octubre de 2010.</w:t>
      </w:r>
      <w:proofErr w:type="gramEnd"/>
    </w:p>
  </w:footnote>
  <w:footnote w:id="1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“Informe de la decimoséptima sesión del Comité” (WIPO/GRTKF/IC/17/12).</w:t>
      </w:r>
    </w:p>
  </w:footnote>
  <w:footnote w:id="1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Directiva 98/44/CE del Parlamento Europeo y del Consejo de 6 de julio de 1998 relativa a la protección jurídica de las invenciones biotecnológicas, art. 2.1a).</w:t>
      </w:r>
    </w:p>
  </w:footnote>
  <w:footnote w:id="1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Código de Reglamentos Federales y Manual de procedimiento para el examen de patentes (MPEP) de la USPTO:  2403.01, art 1.801, Cap. 37.  (Traducción oficiosa de la Oficina Internacional).</w:t>
      </w:r>
    </w:p>
  </w:footnote>
  <w:footnote w:id="1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Directiva 98/44/CE del Parlamento Europeo y del Consejo de 6 de julio de 1998 relativa a la protección jurídica de las invenciones biotecnológicas, art. 3.1.</w:t>
      </w:r>
    </w:p>
  </w:footnote>
  <w:footnote w:id="14">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WIPO/GRTKF/IC/1/3, párr.16.</w:t>
      </w:r>
    </w:p>
  </w:footnote>
  <w:footnote w:id="15">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Declaración de la FAO sobre biotecnología, disponible en:  </w:t>
      </w:r>
      <w:hyperlink r:id="rId1" w:history="1">
        <w:r w:rsidRPr="00312D18">
          <w:rPr>
            <w:rStyle w:val="Hyperlink"/>
            <w:szCs w:val="18"/>
            <w:lang w:val="es-ES"/>
          </w:rPr>
          <w:t>http://www.fao.org/biotech/stat.asp</w:t>
        </w:r>
      </w:hyperlink>
      <w:r w:rsidRPr="00312D18">
        <w:rPr>
          <w:szCs w:val="18"/>
          <w:lang w:val="es-ES"/>
        </w:rPr>
        <w:t>.</w:t>
      </w:r>
    </w:p>
  </w:footnote>
  <w:footnote w:id="16">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Véase la definición y la definición basada en la lista completa en:  </w:t>
      </w:r>
      <w:hyperlink r:id="rId2" w:history="1">
        <w:r w:rsidRPr="00312D18">
          <w:rPr>
            <w:rStyle w:val="Hyperlink"/>
            <w:szCs w:val="18"/>
            <w:lang w:val="es-ES"/>
          </w:rPr>
          <w:t>http://www.oecd.org/sti/biotechnologypolicies/statisticaldefinitionofbiotechnology.htm</w:t>
        </w:r>
      </w:hyperlink>
      <w:r w:rsidRPr="00312D18">
        <w:rPr>
          <w:szCs w:val="18"/>
          <w:lang w:val="es-ES"/>
        </w:rPr>
        <w:t xml:space="preserve">. </w:t>
      </w:r>
    </w:p>
  </w:footnote>
  <w:footnote w:id="1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Directrices de Bonn, art. 1, 7.a) y 17 a 21.</w:t>
      </w:r>
    </w:p>
  </w:footnote>
  <w:footnote w:id="1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Directrices de Bonn, art. 24 a 50, Apéndice II.</w:t>
      </w:r>
    </w:p>
  </w:footnote>
  <w:footnote w:id="19">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Véase el glosario del PNUMA de términos para negociadores de acuerdos ambientales multilaterales, disponible en:  </w:t>
      </w:r>
      <w:hyperlink r:id="rId3" w:history="1">
        <w:r w:rsidRPr="00312D18">
          <w:rPr>
            <w:rStyle w:val="Hyperlink"/>
            <w:szCs w:val="18"/>
            <w:lang w:val="es-ES"/>
          </w:rPr>
          <w:t>http://www.unep.org/delc/portals/119/Glossary/terms%20_for_Negotiators_MEAs.pdf</w:t>
        </w:r>
      </w:hyperlink>
      <w:r w:rsidRPr="00312D18">
        <w:rPr>
          <w:szCs w:val="18"/>
          <w:lang w:val="es-ES"/>
        </w:rPr>
        <w:t xml:space="preserve">. </w:t>
      </w:r>
    </w:p>
  </w:footnote>
  <w:footnote w:id="2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Para más información, véase:  </w:t>
      </w:r>
      <w:hyperlink r:id="rId4" w:history="1">
        <w:r w:rsidRPr="00312D18">
          <w:rPr>
            <w:rStyle w:val="Hyperlink"/>
            <w:szCs w:val="18"/>
            <w:lang w:val="es-ES"/>
          </w:rPr>
          <w:t>http://www.cbd.int/chm/</w:t>
        </w:r>
      </w:hyperlink>
      <w:r w:rsidRPr="00312D18">
        <w:rPr>
          <w:szCs w:val="18"/>
          <w:lang w:val="es-ES"/>
        </w:rPr>
        <w:t xml:space="preserve">. </w:t>
      </w:r>
    </w:p>
  </w:footnote>
  <w:footnote w:id="2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“Lista y breve descripción técnica de las diferentes formas que pueden presentar los conocimientos tradicionales” (WIPO/GRTKF/IC/17/INF/9), párr. 16 del Anexo.</w:t>
      </w:r>
    </w:p>
  </w:footnote>
  <w:footnote w:id="2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312D18">
        <w:rPr>
          <w:i/>
          <w:iCs/>
          <w:szCs w:val="18"/>
          <w:lang w:val="es-ES"/>
        </w:rPr>
        <w:t>Rigveda</w:t>
      </w:r>
      <w:r w:rsidRPr="00312D18">
        <w:rPr>
          <w:szCs w:val="18"/>
          <w:lang w:val="es-ES"/>
        </w:rPr>
        <w:t xml:space="preserve"> y el </w:t>
      </w:r>
      <w:r w:rsidRPr="00312D18">
        <w:rPr>
          <w:i/>
          <w:iCs/>
          <w:szCs w:val="18"/>
          <w:lang w:val="es-ES"/>
        </w:rPr>
        <w:t>Atharvaveda.</w:t>
      </w:r>
    </w:p>
  </w:footnote>
  <w:footnote w:id="2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La medicina tradicional china fue codificada y se divulgó inicialmente por escrito en el </w:t>
      </w:r>
      <w:r w:rsidRPr="00312D18">
        <w:rPr>
          <w:i/>
          <w:iCs/>
          <w:szCs w:val="18"/>
          <w:lang w:val="es-ES"/>
        </w:rPr>
        <w:t>Canon de Medicina Interna del Emperador Amarillo</w:t>
      </w:r>
      <w:r w:rsidRPr="00312D18">
        <w:rPr>
          <w:szCs w:val="18"/>
          <w:lang w:val="es-ES"/>
        </w:rPr>
        <w:t>, primer clásico monumental que estableció la medicina tradicional china.  El Canon se compiló durante varios cientos de años y apareció entre los años 300 y 100 A.C.</w:t>
      </w:r>
    </w:p>
  </w:footnote>
  <w:footnote w:id="24">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EB595F">
        <w:rPr>
          <w:szCs w:val="18"/>
        </w:rPr>
        <w:t>8.  Véase también, Karin Timmermans y Togi Hutadjulu:  “The TRIPs Agreement and Pharmaceuticals:  Report of an ASEAN Workshop on the TRIPs Agreement and its Impact on Pharmaceuticals”, pág. 45.</w:t>
      </w:r>
    </w:p>
  </w:footnote>
  <w:footnote w:id="25">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Intervención de la Delegación del Canadá.  Véase el informe de la segunda sesión (OMPI/GRTKF/IC/2/16), párr. </w:t>
      </w:r>
      <w:r w:rsidRPr="00EB595F">
        <w:rPr>
          <w:szCs w:val="18"/>
        </w:rPr>
        <w:t>131.</w:t>
      </w:r>
    </w:p>
  </w:footnote>
  <w:footnote w:id="26">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rStyle w:val="FootnoteReference"/>
          <w:szCs w:val="18"/>
        </w:rPr>
        <w:tab/>
      </w:r>
      <w:r w:rsidRPr="00EB595F">
        <w:rPr>
          <w:szCs w:val="18"/>
        </w:rPr>
        <w:t xml:space="preserve">Terri Janke, </w:t>
      </w:r>
      <w:r w:rsidRPr="00EB595F">
        <w:rPr>
          <w:i/>
          <w:iCs/>
          <w:szCs w:val="18"/>
        </w:rPr>
        <w:t>Pathways &amp; Protocols – A Filmaker’s guide to Working with Indigenous People, Culture and Concepts</w:t>
      </w:r>
      <w:r w:rsidRPr="00EB595F">
        <w:rPr>
          <w:iCs/>
          <w:szCs w:val="18"/>
        </w:rPr>
        <w:t>, pág. 51.</w:t>
      </w:r>
    </w:p>
  </w:footnote>
  <w:footnote w:id="2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Proyecto de glosario encargado por la Comisión Nacional de los Países Bajos ante la UNESCO a un grupo de expertos de dicho país (TER/CH/2002/WD/4) 2002.  (Traducción oficiosa de la Oficina Internacional).</w:t>
      </w:r>
    </w:p>
  </w:footnote>
  <w:footnote w:id="2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Convención de la UNESCO sobre la protección y la promoción de la diversidad de las expresiones culturales, 2005, art. 4.1.</w:t>
      </w:r>
    </w:p>
  </w:footnote>
  <w:footnote w:id="29">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Convención de la UNESCO sobre la protección y la promoción de la diversidad de las expresiones culturales, 2005, art. 4.3).</w:t>
      </w:r>
    </w:p>
  </w:footnote>
  <w:footnote w:id="3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ab/>
        <w:t xml:space="preserve">Tesauro de la UNESCO, </w:t>
      </w:r>
      <w:hyperlink r:id="rId5" w:history="1">
        <w:r w:rsidRPr="00312D18">
          <w:rPr>
            <w:rStyle w:val="Hyperlink"/>
            <w:szCs w:val="18"/>
            <w:lang w:val="es-ES"/>
          </w:rPr>
          <w:t>http://www.vocabularyserver.com/unesco/?tema=2563</w:t>
        </w:r>
      </w:hyperlink>
      <w:r w:rsidRPr="00312D18">
        <w:rPr>
          <w:szCs w:val="18"/>
          <w:lang w:val="es-ES"/>
        </w:rPr>
        <w:t xml:space="preserve">. </w:t>
      </w:r>
      <w:hyperlink r:id="rId6" w:history="1">
        <w:r w:rsidRPr="00EB595F">
          <w:rPr>
            <w:rStyle w:val="Hyperlink"/>
            <w:szCs w:val="18"/>
          </w:rPr>
          <w:t>http://www.vocabularyserver.com/unesco/index.php?tema=6846?/identidad-cultural</w:t>
        </w:r>
      </w:hyperlink>
      <w:r w:rsidRPr="00EB595F">
        <w:rPr>
          <w:szCs w:val="18"/>
        </w:rPr>
        <w:t xml:space="preserve">.  </w:t>
      </w:r>
      <w:r w:rsidRPr="00312D18">
        <w:rPr>
          <w:szCs w:val="18"/>
          <w:lang w:val="es-ES"/>
        </w:rPr>
        <w:t>(Traducción oficiosa de la Oficina Internacional).</w:t>
      </w:r>
    </w:p>
  </w:footnote>
  <w:footnote w:id="3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ab/>
        <w:t>Convenio Nº 169 de la OIT sobre pueblos indígenas y tribales en países independientes, 1989, art. 2.2)b).</w:t>
      </w:r>
    </w:p>
  </w:footnote>
  <w:footnote w:id="3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Disposiciones Tipo para leyes nacionales sobre la protección de las expresiones del folclore contra la explotación ilícita y otras acciones lesivas (1982), Parte III, párr. 42.</w:t>
      </w:r>
    </w:p>
  </w:footnote>
  <w:footnote w:id="3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4">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312D18">
          <w:rPr>
            <w:rStyle w:val="Hyperlink"/>
            <w:szCs w:val="18"/>
            <w:lang w:val="es-ES"/>
          </w:rPr>
          <w:t>http://www.wipo.int/tk/es/consultaciones/customary_law/index.html</w:t>
        </w:r>
      </w:hyperlink>
    </w:p>
  </w:footnote>
  <w:footnote w:id="35">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Paul Kuruk, “El derecho consuetudinario en África y la protección del folclore”, en </w:t>
      </w:r>
      <w:r w:rsidRPr="00312D18">
        <w:rPr>
          <w:i/>
          <w:iCs/>
          <w:szCs w:val="18"/>
          <w:lang w:val="es-ES"/>
        </w:rPr>
        <w:t>Boletín de Derecho de Autor,</w:t>
      </w:r>
      <w:r w:rsidRPr="00312D18">
        <w:rPr>
          <w:szCs w:val="18"/>
          <w:lang w:val="es-ES"/>
        </w:rPr>
        <w:t xml:space="preserve"> XXXVI, No.2, 2002, pág. 6 (</w:t>
      </w:r>
      <w:hyperlink r:id="rId8" w:history="1">
        <w:r w:rsidRPr="00312D18">
          <w:rPr>
            <w:rStyle w:val="Hyperlink"/>
            <w:szCs w:val="18"/>
            <w:lang w:val="es-ES"/>
          </w:rPr>
          <w:t>http://unesdoc.unesco.org/images/0012/001277/127784s.pdf</w:t>
        </w:r>
      </w:hyperlink>
      <w:r w:rsidRPr="00312D18">
        <w:rPr>
          <w:szCs w:val="18"/>
          <w:lang w:val="es-ES"/>
        </w:rPr>
        <w:t xml:space="preserve">), extraído </w:t>
      </w:r>
      <w:r w:rsidRPr="00312D18">
        <w:rPr>
          <w:iCs/>
          <w:szCs w:val="18"/>
          <w:lang w:val="es-ES"/>
        </w:rPr>
        <w:t xml:space="preserve">en parte, París, 15 de junio de 1982, </w:t>
      </w:r>
      <w:r w:rsidRPr="00312D18">
        <w:rPr>
          <w:i/>
          <w:iCs/>
          <w:szCs w:val="18"/>
          <w:lang w:val="es-ES"/>
        </w:rPr>
        <w:t>Gazette du Palais</w:t>
      </w:r>
      <w:r w:rsidRPr="00312D18">
        <w:rPr>
          <w:iCs/>
          <w:szCs w:val="18"/>
          <w:lang w:val="es-ES"/>
        </w:rPr>
        <w:t xml:space="preserve">, 1982.2, Resumen, pág. 378, o París, 25 de abril de 1978, </w:t>
      </w:r>
      <w:r w:rsidRPr="00312D18">
        <w:rPr>
          <w:i/>
          <w:iCs/>
          <w:szCs w:val="18"/>
          <w:lang w:val="es-ES"/>
        </w:rPr>
        <w:t>Gazette du Palais</w:t>
      </w:r>
      <w:r w:rsidRPr="00312D18">
        <w:rPr>
          <w:iCs/>
          <w:szCs w:val="18"/>
          <w:lang w:val="es-ES"/>
        </w:rPr>
        <w:t>,</w:t>
      </w:r>
      <w:r w:rsidRPr="00312D18">
        <w:rPr>
          <w:szCs w:val="18"/>
          <w:lang w:val="es-ES"/>
        </w:rPr>
        <w:t xml:space="preserve"> 1978,2, pág. 448.</w:t>
      </w:r>
    </w:p>
  </w:footnote>
  <w:footnote w:id="36">
    <w:p w:rsidR="00A02419" w:rsidRPr="00312D18" w:rsidRDefault="00A02419" w:rsidP="008059DA">
      <w:pPr>
        <w:pStyle w:val="FootnoteText"/>
        <w:tabs>
          <w:tab w:val="left" w:pos="550"/>
        </w:tabs>
        <w:ind w:left="550" w:hanging="550"/>
        <w:rPr>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312D18">
          <w:rPr>
            <w:rStyle w:val="Hyperlink"/>
            <w:szCs w:val="18"/>
            <w:lang w:val="es-ES"/>
          </w:rPr>
          <w:t>http://www.wipo.int/tk/es/consultaciones/customary_law/index.html</w:t>
        </w:r>
      </w:hyperlink>
      <w:r w:rsidRPr="00312D18">
        <w:rPr>
          <w:lang w:val="es-ES"/>
        </w:rPr>
        <w:t>.</w:t>
      </w:r>
    </w:p>
  </w:footnote>
  <w:footnote w:id="3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Véase el documento WIPO/GRTKF/IC/2/3, párr. 2;  la base de datos de Internet está disponible en:  </w:t>
      </w:r>
      <w:hyperlink r:id="rId10" w:history="1">
        <w:r w:rsidRPr="00312D18">
          <w:rPr>
            <w:rStyle w:val="Hyperlink"/>
            <w:szCs w:val="18"/>
            <w:lang w:val="es-ES"/>
          </w:rPr>
          <w:t>http://www.wipo.int/tk/es/databases/contracts/index.html</w:t>
        </w:r>
      </w:hyperlink>
      <w:r w:rsidRPr="00312D18">
        <w:rPr>
          <w:szCs w:val="18"/>
          <w:lang w:val="es-ES"/>
        </w:rPr>
        <w:t xml:space="preserve">. </w:t>
      </w:r>
    </w:p>
  </w:footnote>
  <w:footnote w:id="3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WIPO/GRTKF/IC/17/INF/11.</w:t>
      </w:r>
    </w:p>
  </w:footnote>
  <w:footnote w:id="39">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4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r>
      <w:r w:rsidRPr="00312D18">
        <w:rPr>
          <w:iCs/>
          <w:szCs w:val="18"/>
          <w:lang w:val="es-ES"/>
        </w:rPr>
        <w:t xml:space="preserve">Guía de la OMPI sobre los tratados de derecho de autor y </w:t>
      </w:r>
      <w:r w:rsidRPr="00312D18">
        <w:rPr>
          <w:iCs/>
          <w:snapToGrid w:val="0"/>
          <w:szCs w:val="18"/>
          <w:lang w:val="es-ES"/>
        </w:rPr>
        <w:t>derechos conexos</w:t>
      </w:r>
      <w:r w:rsidRPr="00312D18">
        <w:rPr>
          <w:iCs/>
          <w:szCs w:val="18"/>
          <w:lang w:val="es-ES"/>
        </w:rPr>
        <w:t xml:space="preserve"> administrados por la OMPI (Capítulo 7:  “Glosario de términos y expresiones sobre derecho de autor y </w:t>
      </w:r>
      <w:r w:rsidRPr="00312D18">
        <w:rPr>
          <w:iCs/>
          <w:snapToGrid w:val="0"/>
          <w:szCs w:val="18"/>
          <w:lang w:val="es-ES"/>
        </w:rPr>
        <w:t>derechos conexos</w:t>
      </w:r>
      <w:r w:rsidRPr="00312D18">
        <w:rPr>
          <w:i/>
          <w:iCs/>
          <w:szCs w:val="18"/>
          <w:lang w:val="es-ES"/>
        </w:rPr>
        <w:t>”</w:t>
      </w:r>
      <w:r w:rsidRPr="00312D18">
        <w:rPr>
          <w:iCs/>
          <w:szCs w:val="18"/>
          <w:lang w:val="es-ES"/>
        </w:rPr>
        <w:t>), OMPI.</w:t>
      </w:r>
    </w:p>
  </w:footnote>
  <w:footnote w:id="4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Convenio de Berna, art. 2.5), Acuerdo sobre los ADPIC, art. 10.2) y Tratado de la OMPI sobre Derecho de Autor, art. 6</w:t>
      </w:r>
    </w:p>
  </w:footnote>
  <w:footnote w:id="42">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 xml:space="preserve">Sam Ricketson y Jane C. Ginsburg, </w:t>
      </w:r>
      <w:r w:rsidRPr="00EB595F">
        <w:rPr>
          <w:i/>
          <w:iCs/>
          <w:szCs w:val="18"/>
        </w:rPr>
        <w:t xml:space="preserve">International Copyright and Neighboring Rights—The Berne Convention and Beyond, </w:t>
      </w:r>
      <w:r w:rsidRPr="00EB595F">
        <w:rPr>
          <w:szCs w:val="18"/>
        </w:rPr>
        <w:t>Oxford, Vol. I., pág.</w:t>
      </w:r>
      <w:proofErr w:type="gramEnd"/>
      <w:r w:rsidRPr="00EB595F">
        <w:rPr>
          <w:szCs w:val="18"/>
        </w:rPr>
        <w:t xml:space="preserve"> 485.</w:t>
      </w:r>
    </w:p>
  </w:footnote>
  <w:footnote w:id="4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Marco Regional para el Pacífico relativo a la protección de los conocimientos tradicionales y las expresiones de la cultura (2002), Parte I, art. 4.  (Traducción oficiosa de la Oficina Internacional).</w:t>
      </w:r>
    </w:p>
  </w:footnote>
  <w:footnote w:id="4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Sam Ricketson y Jane C. Ginsburg, </w:t>
      </w:r>
      <w:r w:rsidRPr="00312D18">
        <w:rPr>
          <w:i/>
          <w:iCs/>
          <w:szCs w:val="18"/>
          <w:lang w:val="es-ES"/>
        </w:rPr>
        <w:t>op. cit.</w:t>
      </w:r>
      <w:r w:rsidRPr="00312D18">
        <w:rPr>
          <w:szCs w:val="18"/>
          <w:lang w:val="es-ES"/>
        </w:rPr>
        <w:t xml:space="preserve"> en la nota 46, pág. 603.</w:t>
      </w:r>
    </w:p>
  </w:footnote>
  <w:footnote w:id="45">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“Lista y breve descripción técnica de las diferentes formas que pueden presentar los conocimientos tradicionales” (WIPO/GRTKF/IC/17/INF/9), párr. 4 del Anexo.</w:t>
      </w:r>
    </w:p>
  </w:footnote>
  <w:footnote w:id="4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Cs/>
          <w:szCs w:val="18"/>
          <w:lang w:val="es-ES"/>
        </w:rPr>
        <w:t>Guía de la OMPI sobre los tratados de derecho de autor...</w:t>
      </w:r>
      <w:r w:rsidRPr="00312D18">
        <w:rPr>
          <w:i/>
          <w:iCs/>
          <w:szCs w:val="18"/>
          <w:lang w:val="es-ES"/>
        </w:rPr>
        <w:t>,</w:t>
      </w:r>
      <w:r w:rsidRPr="00312D18">
        <w:rPr>
          <w:szCs w:val="18"/>
          <w:lang w:val="es-ES"/>
        </w:rPr>
        <w:t xml:space="preserve"> </w:t>
      </w:r>
      <w:r w:rsidRPr="00312D18">
        <w:rPr>
          <w:i/>
          <w:iCs/>
          <w:szCs w:val="18"/>
          <w:lang w:val="es-ES"/>
        </w:rPr>
        <w:t>op. cit.</w:t>
      </w:r>
      <w:r w:rsidRPr="00312D18">
        <w:rPr>
          <w:szCs w:val="18"/>
          <w:lang w:val="es-ES"/>
        </w:rPr>
        <w:t xml:space="preserve"> en la nota 44, pág. 291.</w:t>
      </w:r>
    </w:p>
  </w:footnote>
  <w:footnote w:id="47">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ab/>
        <w:t>Art. 10</w:t>
      </w:r>
      <w:r w:rsidRPr="00312D18">
        <w:rPr>
          <w:i/>
          <w:iCs/>
          <w:szCs w:val="18"/>
          <w:lang w:val="es-ES"/>
        </w:rPr>
        <w:t>bis</w:t>
      </w:r>
      <w:r w:rsidRPr="00312D18">
        <w:rPr>
          <w:szCs w:val="18"/>
          <w:lang w:val="es-ES"/>
        </w:rPr>
        <w:t xml:space="preserve"> y 11.  Véase asimismo Sam Ricketson y Jane C. Ginsburg, </w:t>
      </w:r>
      <w:r w:rsidRPr="00312D18">
        <w:rPr>
          <w:i/>
          <w:iCs/>
          <w:szCs w:val="18"/>
          <w:lang w:val="es-ES"/>
        </w:rPr>
        <w:t>op. cit.</w:t>
      </w:r>
      <w:r w:rsidRPr="00312D18">
        <w:rPr>
          <w:szCs w:val="18"/>
          <w:lang w:val="es-ES"/>
        </w:rPr>
        <w:t xml:space="preserve"> en la nota 46, pág. 614.</w:t>
      </w:r>
    </w:p>
  </w:footnote>
  <w:footnote w:id="48">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WO/GA/32/8, párr. 75 del Anexo.</w:t>
      </w:r>
    </w:p>
  </w:footnote>
  <w:footnote w:id="49">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Para más información, véanse las págs. 7 a 11 del Anexo I del documento WIPO/GRTKF/IC/16/6 y la base de datos de medidas legislativas nacionales y regionales del derecho de patentes de la División de Conocimientos Tradicionales, disponible en:  http://www.wipo.int/tk/en/laws/genetic.html.</w:t>
      </w:r>
    </w:p>
  </w:footnote>
  <w:footnote w:id="50">
    <w:p w:rsidR="00A02419" w:rsidRPr="00EB595F" w:rsidRDefault="00A02419" w:rsidP="008059DA">
      <w:pPr>
        <w:pStyle w:val="FootnoteText"/>
        <w:tabs>
          <w:tab w:val="left" w:pos="550"/>
        </w:tabs>
        <w:ind w:left="567" w:hanging="550"/>
        <w:rPr>
          <w:szCs w:val="18"/>
        </w:rPr>
      </w:pPr>
      <w:r w:rsidRPr="00312D18">
        <w:rPr>
          <w:rStyle w:val="FootnoteReference"/>
          <w:szCs w:val="18"/>
          <w:lang w:val="es-ES"/>
        </w:rPr>
        <w:footnoteRef/>
      </w:r>
      <w:r w:rsidRPr="00EB595F">
        <w:rPr>
          <w:szCs w:val="18"/>
        </w:rPr>
        <w:t xml:space="preserve"> </w:t>
      </w:r>
      <w:r w:rsidRPr="00EB595F">
        <w:rPr>
          <w:rStyle w:val="FootnoteReference"/>
          <w:szCs w:val="18"/>
        </w:rPr>
        <w:tab/>
      </w:r>
      <w:r w:rsidRPr="00EB595F">
        <w:rPr>
          <w:szCs w:val="18"/>
        </w:rPr>
        <w:t xml:space="preserve">Publicación Nº 786 de la OMPI, </w:t>
      </w:r>
      <w:r w:rsidRPr="00EB595F">
        <w:rPr>
          <w:i/>
          <w:szCs w:val="18"/>
        </w:rPr>
        <w:t>WIPO Technical Study on Patent Disclosure Requirements related to Genetic Resources and Traditional Knowledge</w:t>
      </w:r>
      <w:r w:rsidRPr="00EB595F">
        <w:rPr>
          <w:szCs w:val="18"/>
        </w:rPr>
        <w:t>, pág. 65.</w:t>
      </w:r>
    </w:p>
  </w:footnote>
  <w:footnote w:id="5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Publicación Nº 786 de la OMPI, </w:t>
      </w:r>
      <w:r w:rsidRPr="00312D18">
        <w:rPr>
          <w:i/>
          <w:szCs w:val="18"/>
          <w:lang w:val="es-ES"/>
        </w:rPr>
        <w:t>WIPO Technical Study on Patent Disclosure Requirements related to Genetic Resources and Traditional Knowledge</w:t>
      </w:r>
      <w:r w:rsidRPr="00312D18">
        <w:rPr>
          <w:szCs w:val="18"/>
          <w:lang w:val="es-ES"/>
        </w:rPr>
        <w:t>;  documento WO/GA/32/8, “Proyecto de examen de las cuestiones relativas a la relación mutua entre el acceso a los recursos genéticos y los requisitos de divulgación en las solicitudes de derechos de propiedad intelectual”, 2005.</w:t>
      </w:r>
    </w:p>
  </w:footnote>
  <w:footnote w:id="5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WIPO/GRTKF/IC/11/10 (propuesta de Suiza) y el Anexo del documento WIPO/GRTKF/IC/16/6.</w:t>
      </w:r>
    </w:p>
  </w:footnote>
  <w:footnote w:id="5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WIPO/GRTKF/IC/8/11 (propuesta de la UE) y el Anexo del documento WIPO/GRTKF/IC/16/6.</w:t>
      </w:r>
    </w:p>
  </w:footnote>
  <w:footnote w:id="5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Anexo del documento WIPO/GRTKF/IC/17/10.</w:t>
      </w:r>
    </w:p>
  </w:footnote>
  <w:footnote w:id="55">
    <w:p w:rsidR="00A02419" w:rsidRPr="00312D18" w:rsidRDefault="00A02419" w:rsidP="008059DA">
      <w:pPr>
        <w:pStyle w:val="FootnoteText"/>
        <w:rPr>
          <w:lang w:val="es-ES"/>
        </w:rPr>
      </w:pPr>
      <w:r w:rsidRPr="00312D18">
        <w:rPr>
          <w:rStyle w:val="FootnoteReference"/>
          <w:lang w:val="es-ES"/>
        </w:rPr>
        <w:footnoteRef/>
      </w:r>
      <w:r w:rsidRPr="00312D18">
        <w:rPr>
          <w:lang w:val="es-ES"/>
        </w:rPr>
        <w:t xml:space="preserve"> </w:t>
      </w:r>
      <w:r w:rsidRPr="00312D18">
        <w:rPr>
          <w:lang w:val="es-ES"/>
        </w:rPr>
        <w:tab/>
        <w:t>Véase el artículo 3 del documento WIPO/GRTKF/IC/19/11.</w:t>
      </w:r>
    </w:p>
  </w:footnote>
  <w:footnote w:id="5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WIPO/GRTKF/IC/9/13 (propuesta alternativa).</w:t>
      </w:r>
    </w:p>
  </w:footnote>
  <w:footnote w:id="57">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TN/C/W/52.</w:t>
      </w:r>
    </w:p>
  </w:footnote>
  <w:footnote w:id="58">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“Informe sobre la Guía para la Gestión de la Propiedad Intelectual en la Catalogación de Conocimientos Tradicionales y Recursos Genéticos” (documento WIPO/GRTKF/IC/5/5).</w:t>
      </w:r>
    </w:p>
  </w:footnote>
  <w:footnote w:id="59">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“Informe sobre la Guía para la gestión de la propiedad intelectual en la catalogación de conocimientos tradicionales y recursos genéticos” (WIPO/GRTKF/IC/5/5), pág. 4 del Anexo.</w:t>
      </w:r>
    </w:p>
  </w:footnote>
  <w:footnote w:id="60">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Cs/>
          <w:szCs w:val="18"/>
          <w:lang w:val="es-ES"/>
        </w:rPr>
        <w:t>Guía de la OMPI sobre los tratados de derecho de autor...</w:t>
      </w:r>
      <w:r w:rsidRPr="00312D18">
        <w:rPr>
          <w:szCs w:val="18"/>
          <w:lang w:val="es-ES"/>
        </w:rPr>
        <w:t xml:space="preserve">, </w:t>
      </w:r>
      <w:r w:rsidRPr="00312D18">
        <w:rPr>
          <w:i/>
          <w:iCs/>
          <w:szCs w:val="18"/>
          <w:lang w:val="es-ES"/>
        </w:rPr>
        <w:t>op. cit.</w:t>
      </w:r>
      <w:r w:rsidRPr="00312D18">
        <w:rPr>
          <w:szCs w:val="18"/>
          <w:lang w:val="es-ES"/>
        </w:rPr>
        <w:t xml:space="preserve"> en la nota 44.</w:t>
      </w:r>
    </w:p>
  </w:footnote>
  <w:footnote w:id="6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Cs/>
          <w:szCs w:val="18"/>
          <w:lang w:val="es-ES"/>
        </w:rPr>
        <w:t>Excepciones y limitaciones al derecho de autor y los derechos conexos</w:t>
      </w:r>
      <w:r w:rsidRPr="00312D18">
        <w:rPr>
          <w:szCs w:val="18"/>
          <w:lang w:val="es-ES"/>
        </w:rPr>
        <w:t>, estudio preparado por Pierre Sirinelli (WCT-WPPT/IMP/1), 1999, pág. 2.</w:t>
      </w:r>
    </w:p>
  </w:footnote>
  <w:footnote w:id="6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Art. 9.2.</w:t>
      </w:r>
    </w:p>
  </w:footnote>
  <w:footnote w:id="6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Disposiciones Tipo para leyes nacionales sobre la protección… (1982), </w:t>
      </w:r>
      <w:r w:rsidRPr="00312D18">
        <w:rPr>
          <w:i/>
          <w:iCs/>
          <w:szCs w:val="18"/>
          <w:lang w:val="es-ES"/>
        </w:rPr>
        <w:t>op. cit.</w:t>
      </w:r>
      <w:r w:rsidRPr="00312D18">
        <w:rPr>
          <w:szCs w:val="18"/>
          <w:lang w:val="es-ES"/>
        </w:rPr>
        <w:t xml:space="preserve"> en la nota 36, párr. 37.</w:t>
      </w:r>
    </w:p>
  </w:footnote>
  <w:footnote w:id="6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
          <w:szCs w:val="18"/>
          <w:lang w:val="es-ES"/>
        </w:rPr>
        <w:t>Ibíd.</w:t>
      </w:r>
      <w:r w:rsidRPr="00312D18">
        <w:rPr>
          <w:szCs w:val="18"/>
          <w:lang w:val="es-ES"/>
        </w:rPr>
        <w:t xml:space="preserve"> </w:t>
      </w:r>
    </w:p>
  </w:footnote>
  <w:footnote w:id="65">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Disposiciones Tipo para leyes nacionales sobre la protección… (1982), </w:t>
      </w:r>
      <w:r w:rsidRPr="00312D18">
        <w:rPr>
          <w:i/>
          <w:iCs/>
          <w:szCs w:val="18"/>
          <w:lang w:val="es-ES"/>
        </w:rPr>
        <w:t>op. cit.</w:t>
      </w:r>
      <w:r w:rsidRPr="00312D18">
        <w:rPr>
          <w:szCs w:val="18"/>
          <w:lang w:val="es-ES"/>
        </w:rPr>
        <w:t xml:space="preserve"> en la nota 36, art. 2.</w:t>
      </w:r>
    </w:p>
  </w:footnote>
  <w:footnote w:id="66">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Guía de la OMPI sobre los tratados de derecho de autor..., </w:t>
      </w:r>
      <w:r w:rsidRPr="00312D18">
        <w:rPr>
          <w:i/>
          <w:iCs/>
          <w:szCs w:val="18"/>
          <w:lang w:val="es-ES"/>
        </w:rPr>
        <w:t>op. cit.</w:t>
      </w:r>
      <w:r w:rsidRPr="00312D18">
        <w:rPr>
          <w:szCs w:val="18"/>
          <w:lang w:val="es-ES"/>
        </w:rPr>
        <w:t xml:space="preserve"> en la nota 44, pág. 289.</w:t>
      </w:r>
    </w:p>
  </w:footnote>
  <w:footnote w:id="67">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Guía de la OMPI sobre los tratados de derecho de autor..., </w:t>
      </w:r>
      <w:r w:rsidRPr="00312D18">
        <w:rPr>
          <w:i/>
          <w:iCs/>
          <w:szCs w:val="18"/>
          <w:lang w:val="es-ES"/>
        </w:rPr>
        <w:t>op. cit.</w:t>
      </w:r>
      <w:r w:rsidRPr="00312D18">
        <w:rPr>
          <w:szCs w:val="18"/>
          <w:lang w:val="es-ES"/>
        </w:rPr>
        <w:t xml:space="preserve"> en la nota 44, pág. 294.</w:t>
      </w:r>
    </w:p>
  </w:footnote>
  <w:footnote w:id="68">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Art. 2.2) del Convenio de Berna.</w:t>
      </w:r>
    </w:p>
  </w:footnote>
  <w:footnote w:id="69">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t>Terri Janke, “</w:t>
      </w:r>
      <w:r w:rsidRPr="00EB595F">
        <w:rPr>
          <w:i/>
          <w:szCs w:val="18"/>
        </w:rPr>
        <w:t>Unauthorized Reproduction of Rock Art</w:t>
      </w:r>
      <w:r w:rsidRPr="00EB595F">
        <w:rPr>
          <w:szCs w:val="18"/>
        </w:rPr>
        <w:t xml:space="preserve">”, en </w:t>
      </w:r>
      <w:r w:rsidRPr="00EB595F">
        <w:rPr>
          <w:i/>
          <w:iCs/>
          <w:szCs w:val="18"/>
        </w:rPr>
        <w:t>Minding Culture:  Case Studies on Intellectual Property and Traditional Cultural Expressions</w:t>
      </w:r>
      <w:r w:rsidRPr="00EB595F">
        <w:rPr>
          <w:szCs w:val="18"/>
        </w:rPr>
        <w:t>, OMPI, 2003.</w:t>
      </w:r>
    </w:p>
  </w:footnote>
  <w:footnote w:id="7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“Informe de la decimoséptima sesión del Comité” (WIPO/GRTKF/IC/17/12), párr. 50.</w:t>
      </w:r>
    </w:p>
  </w:footnote>
  <w:footnote w:id="7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Disposiciones Tipo para leyes nacionales sobre la protección...” (1982), </w:t>
      </w:r>
      <w:r w:rsidRPr="00312D18">
        <w:rPr>
          <w:i/>
          <w:iCs/>
          <w:szCs w:val="18"/>
          <w:lang w:val="es-ES"/>
        </w:rPr>
        <w:t>op. cit.</w:t>
      </w:r>
      <w:r w:rsidRPr="00312D18">
        <w:rPr>
          <w:szCs w:val="18"/>
          <w:lang w:val="es-ES"/>
        </w:rPr>
        <w:t xml:space="preserve"> en la nota 36, Parte I, párrafos 5, 6 y 7.</w:t>
      </w:r>
    </w:p>
  </w:footnote>
  <w:footnote w:id="7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Guía de la OMPI sobre los tratados de derecho de autor..., </w:t>
      </w:r>
      <w:r w:rsidRPr="00312D18">
        <w:rPr>
          <w:i/>
          <w:iCs/>
          <w:szCs w:val="18"/>
          <w:lang w:val="es-ES"/>
        </w:rPr>
        <w:t>op. cit.</w:t>
      </w:r>
      <w:r w:rsidRPr="00312D18">
        <w:rPr>
          <w:szCs w:val="18"/>
          <w:lang w:val="es-ES"/>
        </w:rPr>
        <w:t xml:space="preserve"> en la nota 44, pág. 295.</w:t>
      </w:r>
    </w:p>
  </w:footnote>
  <w:footnote w:id="7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4">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75">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312D18">
        <w:rPr>
          <w:i/>
          <w:szCs w:val="18"/>
          <w:lang w:val="es-ES"/>
        </w:rPr>
        <w:t xml:space="preserve"> </w:t>
      </w:r>
      <w:r w:rsidRPr="00312D18">
        <w:rPr>
          <w:szCs w:val="18"/>
          <w:lang w:val="es-ES"/>
        </w:rPr>
        <w:t>UNEP/CBD/WS-CB/LAC/1/INF/5.</w:t>
      </w:r>
    </w:p>
  </w:footnote>
  <w:footnote w:id="77">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ab/>
      </w:r>
      <w:proofErr w:type="gramStart"/>
      <w:r w:rsidRPr="00EB595F">
        <w:rPr>
          <w:szCs w:val="18"/>
        </w:rPr>
        <w:t xml:space="preserve">Véase el documento </w:t>
      </w:r>
      <w:r w:rsidRPr="00EB595F">
        <w:rPr>
          <w:i/>
          <w:iCs/>
          <w:szCs w:val="18"/>
        </w:rPr>
        <w:t>Development of Elements of Sui Generis Systems for the Protection of Traditional Knowledge, Innovations and Practices</w:t>
      </w:r>
      <w:r w:rsidRPr="00EB595F">
        <w:rPr>
          <w:szCs w:val="18"/>
        </w:rPr>
        <w:t xml:space="preserve"> (documento UNEP/CBD/WG8J/4/INF/18), pág.</w:t>
      </w:r>
      <w:proofErr w:type="gramEnd"/>
      <w:r w:rsidRPr="00EB595F">
        <w:rPr>
          <w:szCs w:val="18"/>
        </w:rPr>
        <w:t xml:space="preserve"> </w:t>
      </w:r>
      <w:proofErr w:type="gramStart"/>
      <w:r w:rsidRPr="00EB595F">
        <w:rPr>
          <w:szCs w:val="18"/>
        </w:rPr>
        <w:t>5 (Traducción oficiosa de la Oficina Internacional).</w:t>
      </w:r>
      <w:proofErr w:type="gramEnd"/>
    </w:p>
  </w:footnote>
  <w:footnote w:id="7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ab/>
        <w:t>“Informe de la OMPI relativo a las misiones exploratorias sobre propiedad intelectual y conocimientos tradicionales (1998</w:t>
      </w:r>
      <w:r w:rsidRPr="00312D18">
        <w:rPr>
          <w:szCs w:val="18"/>
          <w:lang w:val="es-ES"/>
        </w:rPr>
        <w:noBreakHyphen/>
        <w:t>1999)</w:t>
      </w:r>
      <w:proofErr w:type="gramStart"/>
      <w:r w:rsidRPr="00312D18">
        <w:rPr>
          <w:szCs w:val="18"/>
          <w:lang w:val="es-ES"/>
        </w:rPr>
        <w:t>:  Conocimientos</w:t>
      </w:r>
      <w:proofErr w:type="gramEnd"/>
      <w:r w:rsidRPr="00312D18">
        <w:rPr>
          <w:szCs w:val="18"/>
          <w:lang w:val="es-ES"/>
        </w:rPr>
        <w:t xml:space="preserve">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9">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Artículo 1 del Convenio Nº 169 de la OIT sobre pueblos indígenas y tribales en países independientes.</w:t>
      </w:r>
    </w:p>
  </w:footnote>
  <w:footnote w:id="80">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Glosario del PNUMA de términos para negociadores de acuerdos ambientales multilaterales, disponible en:  </w:t>
      </w:r>
      <w:hyperlink r:id="rId11" w:history="1">
        <w:r w:rsidRPr="00312D18">
          <w:rPr>
            <w:rStyle w:val="Hyperlink"/>
            <w:szCs w:val="18"/>
            <w:lang w:val="es-ES"/>
          </w:rPr>
          <w:t>http://www.unep.org/delc/portals/119/Glossary/terms%20_for_Negotiators_MEAs.pdf</w:t>
        </w:r>
      </w:hyperlink>
    </w:p>
  </w:footnote>
  <w:footnote w:id="8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Véase la Política Operacional 4.10, sobre pueblos indígenas, del Banco Mundial (2005);  John Henriksen, </w:t>
      </w:r>
      <w:r w:rsidRPr="00312D18">
        <w:rPr>
          <w:i/>
          <w:iCs/>
          <w:szCs w:val="18"/>
          <w:lang w:val="es-ES"/>
        </w:rPr>
        <w:t>Key Principles in Implementing ILO Convention Nº 169,</w:t>
      </w:r>
      <w:r w:rsidRPr="00312D18">
        <w:rPr>
          <w:szCs w:val="18"/>
          <w:lang w:val="es-ES"/>
        </w:rPr>
        <w:t xml:space="preserve"> 2008.</w:t>
      </w:r>
    </w:p>
  </w:footnote>
  <w:footnote w:id="8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Disponible en http://www.ifad.org./english/indigenous/documents/ip_policy_s.pdf.</w:t>
      </w:r>
    </w:p>
  </w:footnote>
  <w:footnote w:id="84">
    <w:p w:rsidR="00A02419" w:rsidRPr="00312D18" w:rsidRDefault="00A02419" w:rsidP="008059DA">
      <w:pPr>
        <w:tabs>
          <w:tab w:val="left" w:pos="550"/>
        </w:tabs>
        <w:ind w:left="567" w:hanging="550"/>
        <w:rPr>
          <w:sz w:val="18"/>
          <w:szCs w:val="18"/>
          <w:lang w:val="es-ES"/>
        </w:rPr>
      </w:pPr>
      <w:r w:rsidRPr="00312D18">
        <w:rPr>
          <w:rStyle w:val="FootnoteReference"/>
          <w:sz w:val="18"/>
          <w:szCs w:val="18"/>
          <w:lang w:val="es-ES"/>
        </w:rPr>
        <w:footnoteRef/>
      </w:r>
      <w:r w:rsidRPr="00312D18">
        <w:rPr>
          <w:sz w:val="18"/>
          <w:szCs w:val="18"/>
          <w:lang w:val="es-ES"/>
        </w:rPr>
        <w:t xml:space="preserve"> </w:t>
      </w:r>
      <w:r w:rsidRPr="00312D18">
        <w:rPr>
          <w:rStyle w:val="FootnoteReference"/>
          <w:sz w:val="18"/>
          <w:szCs w:val="18"/>
          <w:lang w:val="es-ES"/>
        </w:rPr>
        <w:tab/>
      </w:r>
      <w:r w:rsidRPr="00312D18">
        <w:rPr>
          <w:sz w:val="18"/>
          <w:szCs w:val="18"/>
          <w:lang w:val="es-ES"/>
        </w:rPr>
        <w:t>Disponible en:  http://www.hreoc.gov.au/social_justice/conference/engaging_communities/unpan021101.pdf.</w:t>
      </w:r>
    </w:p>
  </w:footnote>
  <w:footnote w:id="85">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Cs/>
          <w:szCs w:val="18"/>
          <w:lang w:val="es-ES"/>
        </w:rPr>
        <w:t>Guía de la OMPI sobre los tratados de derecho de autor...,</w:t>
      </w:r>
      <w:r w:rsidRPr="00312D18">
        <w:rPr>
          <w:szCs w:val="18"/>
          <w:lang w:val="es-ES"/>
        </w:rPr>
        <w:t xml:space="preserve"> </w:t>
      </w:r>
      <w:r w:rsidRPr="00312D18">
        <w:rPr>
          <w:i/>
          <w:iCs/>
          <w:szCs w:val="18"/>
          <w:lang w:val="es-ES"/>
        </w:rPr>
        <w:t>op. cit.</w:t>
      </w:r>
      <w:r w:rsidRPr="00312D18">
        <w:rPr>
          <w:szCs w:val="18"/>
          <w:lang w:val="es-ES"/>
        </w:rPr>
        <w:t xml:space="preserve"> en la nota 44, pág. 298.</w:t>
      </w:r>
    </w:p>
  </w:footnote>
  <w:footnote w:id="87">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EB595F">
        <w:rPr>
          <w:szCs w:val="18"/>
        </w:rPr>
        <w:t xml:space="preserve"> </w:t>
      </w:r>
      <w:r w:rsidRPr="00EB595F">
        <w:rPr>
          <w:rStyle w:val="FootnoteReference"/>
          <w:szCs w:val="18"/>
        </w:rPr>
        <w:tab/>
      </w:r>
      <w:proofErr w:type="gramStart"/>
      <w:r w:rsidRPr="00EB595F">
        <w:rPr>
          <w:szCs w:val="18"/>
        </w:rPr>
        <w:t xml:space="preserve">Ricketson y Ginsburg, </w:t>
      </w:r>
      <w:r w:rsidRPr="00EB595F">
        <w:rPr>
          <w:i/>
          <w:szCs w:val="18"/>
        </w:rPr>
        <w:t xml:space="preserve">International Copyright and Neighboring Rights-The Berne Convention and Beyond, </w:t>
      </w:r>
      <w:r w:rsidRPr="00EB595F">
        <w:rPr>
          <w:szCs w:val="18"/>
        </w:rPr>
        <w:t>Oxford, Vol.</w:t>
      </w:r>
      <w:proofErr w:type="gramEnd"/>
      <w:r w:rsidRPr="00EB595F">
        <w:rPr>
          <w:szCs w:val="18"/>
        </w:rPr>
        <w:t xml:space="preserve"> </w:t>
      </w:r>
      <w:r w:rsidRPr="00312D18">
        <w:rPr>
          <w:szCs w:val="18"/>
          <w:lang w:val="es-ES"/>
        </w:rPr>
        <w:t>I, p. 602.</w:t>
      </w:r>
    </w:p>
  </w:footnote>
  <w:footnote w:id="88">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WIPO/GRTKF/IC/2/3, párr. 133.</w:t>
      </w:r>
    </w:p>
  </w:footnote>
  <w:footnote w:id="89">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WIPO/GRTKF/IC/7/9 “Los recursos genéticos:  Proyecto de directrices de propiedad intelectual para el acceso a los recursos genéticos y la participación equitativa en los beneficios”.</w:t>
      </w:r>
    </w:p>
  </w:footnote>
  <w:footnote w:id="90">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Véanse los principios operativos en la sección V.B del documento WIPO/GRTKF/IC/2/3.</w:t>
      </w:r>
    </w:p>
  </w:footnote>
  <w:footnote w:id="9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WIPO/GRTKF/IC/17/INF/12, “Recursos genéticos:  Proyecto de directrices de propiedad intelectual para el acceso y la participación equitativa en los beneficios:  versión actualizada”.</w:t>
      </w:r>
    </w:p>
  </w:footnote>
  <w:footnote w:id="9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
          <w:szCs w:val="18"/>
          <w:lang w:val="es-ES"/>
        </w:rPr>
        <w:t>Ídem</w:t>
      </w:r>
      <w:r w:rsidRPr="00312D18">
        <w:rPr>
          <w:szCs w:val="18"/>
          <w:lang w:val="es-ES"/>
        </w:rPr>
        <w:t>.</w:t>
      </w:r>
    </w:p>
  </w:footnote>
  <w:footnote w:id="9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
          <w:szCs w:val="18"/>
          <w:lang w:val="es-ES"/>
        </w:rPr>
        <w:t>Ídem</w:t>
      </w:r>
      <w:r w:rsidRPr="00312D18">
        <w:rPr>
          <w:szCs w:val="18"/>
          <w:lang w:val="es-ES"/>
        </w:rPr>
        <w:t>, pág. 4 del Anexo.</w:t>
      </w:r>
    </w:p>
  </w:footnote>
  <w:footnote w:id="9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WIPO/GRTKF/IC/17/INF/12.</w:t>
      </w:r>
    </w:p>
  </w:footnote>
  <w:footnote w:id="95">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Glosario PATENTSCOPE de la OMPI.</w:t>
      </w:r>
    </w:p>
  </w:footnote>
  <w:footnote w:id="9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Véase la Publicación Nº 489 (E) de la OMPI, </w:t>
      </w:r>
      <w:r w:rsidRPr="00312D18">
        <w:rPr>
          <w:i/>
          <w:szCs w:val="18"/>
          <w:lang w:val="es-ES"/>
        </w:rPr>
        <w:t xml:space="preserve">WIPO Intellectual Property Handbook, </w:t>
      </w:r>
      <w:r w:rsidRPr="00312D18">
        <w:rPr>
          <w:szCs w:val="18"/>
          <w:lang w:val="es-ES"/>
        </w:rPr>
        <w:t>2008.</w:t>
      </w:r>
    </w:p>
  </w:footnote>
  <w:footnote w:id="97">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WIPO/GRTKF/IC/17/INF/12.</w:t>
      </w:r>
    </w:p>
  </w:footnote>
  <w:footnote w:id="98">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w:t>
      </w:r>
      <w:r w:rsidRPr="00312D18">
        <w:rPr>
          <w:iCs/>
          <w:szCs w:val="18"/>
          <w:lang w:val="es-ES"/>
        </w:rPr>
        <w:t>Excepciones y limitaciones al derecho de autor y los derechos conexos”,</w:t>
      </w:r>
      <w:r w:rsidRPr="00312D18">
        <w:rPr>
          <w:szCs w:val="18"/>
          <w:lang w:val="es-ES"/>
        </w:rPr>
        <w:t xml:space="preserve"> documento WCT</w:t>
      </w:r>
      <w:r w:rsidRPr="00312D18">
        <w:rPr>
          <w:szCs w:val="18"/>
          <w:lang w:val="es-ES"/>
        </w:rPr>
        <w:noBreakHyphen/>
        <w:t>WPPT/IMP/1, pág. 2.</w:t>
      </w:r>
    </w:p>
  </w:footnote>
  <w:footnote w:id="99">
    <w:p w:rsidR="00A02419" w:rsidRPr="00EB595F" w:rsidRDefault="00A02419" w:rsidP="008059DA">
      <w:pPr>
        <w:pStyle w:val="FootnoteText"/>
        <w:tabs>
          <w:tab w:val="left" w:pos="550"/>
        </w:tabs>
        <w:ind w:left="567" w:hanging="550"/>
        <w:rPr>
          <w:szCs w:val="18"/>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Sección del sitio Web de la OMPI sobre Derecho de Autor y Derechos Conexos.  </w:t>
      </w:r>
      <w:r w:rsidRPr="00EB595F">
        <w:rPr>
          <w:szCs w:val="18"/>
        </w:rPr>
        <w:t>(</w:t>
      </w:r>
      <w:hyperlink r:id="rId12" w:history="1">
        <w:r w:rsidRPr="00EB595F">
          <w:rPr>
            <w:rStyle w:val="Hyperlink"/>
            <w:szCs w:val="18"/>
          </w:rPr>
          <w:t>http://www.wipo.int/copyright/es/limitations/index.html</w:t>
        </w:r>
      </w:hyperlink>
      <w:r w:rsidRPr="00EB595F">
        <w:rPr>
          <w:szCs w:val="18"/>
        </w:rPr>
        <w:t>)</w:t>
      </w:r>
    </w:p>
  </w:footnote>
  <w:footnote w:id="100">
    <w:p w:rsidR="00A02419" w:rsidRPr="00EB595F" w:rsidRDefault="00A02419" w:rsidP="008059DA">
      <w:pPr>
        <w:pStyle w:val="FootnoteText"/>
        <w:tabs>
          <w:tab w:val="left" w:pos="550"/>
        </w:tabs>
        <w:ind w:left="567" w:hanging="550"/>
        <w:rPr>
          <w:szCs w:val="18"/>
        </w:rPr>
      </w:pPr>
      <w:r w:rsidRPr="00312D18">
        <w:rPr>
          <w:rStyle w:val="FootnoteReference"/>
          <w:szCs w:val="18"/>
          <w:lang w:val="es-ES"/>
        </w:rPr>
        <w:footnoteRef/>
      </w:r>
      <w:r w:rsidRPr="00EB595F">
        <w:rPr>
          <w:szCs w:val="18"/>
        </w:rPr>
        <w:t xml:space="preserve"> </w:t>
      </w:r>
      <w:r w:rsidRPr="00EB595F">
        <w:rPr>
          <w:rStyle w:val="FootnoteReference"/>
          <w:szCs w:val="18"/>
        </w:rPr>
        <w:tab/>
      </w:r>
      <w:r w:rsidRPr="00EB595F">
        <w:rPr>
          <w:szCs w:val="18"/>
        </w:rPr>
        <w:t>Art. 10.1.</w:t>
      </w:r>
    </w:p>
  </w:footnote>
  <w:footnote w:id="10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Art. 9.2.</w:t>
      </w:r>
    </w:p>
  </w:footnote>
  <w:footnote w:id="10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Cs/>
          <w:szCs w:val="18"/>
          <w:lang w:val="es-ES"/>
        </w:rPr>
        <w:t>Guía de la OMPI sobre los tratados de derecho de autor...,</w:t>
      </w:r>
      <w:r w:rsidRPr="00312D18">
        <w:rPr>
          <w:szCs w:val="18"/>
          <w:lang w:val="es-ES"/>
        </w:rPr>
        <w:t xml:space="preserve"> </w:t>
      </w:r>
      <w:r w:rsidRPr="00312D18">
        <w:rPr>
          <w:i/>
          <w:iCs/>
          <w:szCs w:val="18"/>
          <w:lang w:val="es-ES"/>
        </w:rPr>
        <w:t>op. cit.</w:t>
      </w:r>
      <w:r w:rsidRPr="00312D18">
        <w:rPr>
          <w:szCs w:val="18"/>
          <w:lang w:val="es-ES"/>
        </w:rPr>
        <w:t xml:space="preserve"> en la nota 48, pág. 316.</w:t>
      </w:r>
    </w:p>
  </w:footnote>
  <w:footnote w:id="10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Véase el documento WIPO/GRTKF/IC/17/INF/12.</w:t>
      </w:r>
    </w:p>
  </w:footnote>
  <w:footnote w:id="10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Disponible en:  http://www.wipo.int/tk/es/databases/contracts/index.html.</w:t>
      </w:r>
    </w:p>
  </w:footnote>
  <w:footnote w:id="105">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Disponible en:  ftp://ftp.fao.org/ag/cgrfa/gb1/SMTAe.pdf.</w:t>
      </w:r>
    </w:p>
  </w:footnote>
  <w:footnote w:id="106">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Disponible en:  http://www.wipo.int/pct/es/texts/glossary.html#M.</w:t>
      </w:r>
    </w:p>
  </w:footnote>
  <w:footnote w:id="107">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Directrices de búsqueda internacional del PCT (en vigor desde el 18 de septiembre de 1998), párr. IX-2.1.</w:t>
      </w:r>
    </w:p>
  </w:footnote>
  <w:footnote w:id="108">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Documentación mínima del PCT, PCT/MIA/9/4.</w:t>
      </w:r>
    </w:p>
  </w:footnote>
  <w:footnote w:id="109">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Francesco Capotorti, antiguo Relator Especial de las Naciones Unidas (1979), citado por Dieter Kugelmann en </w:t>
      </w:r>
      <w:r w:rsidRPr="00312D18">
        <w:rPr>
          <w:i/>
          <w:iCs/>
          <w:szCs w:val="18"/>
          <w:lang w:val="es-ES"/>
        </w:rPr>
        <w:t>The Protection of Minorities and Indigenous Peoples Respective Cultural Diversity</w:t>
      </w:r>
      <w:r w:rsidRPr="00312D18">
        <w:rPr>
          <w:szCs w:val="18"/>
          <w:lang w:val="es-ES"/>
        </w:rPr>
        <w:t xml:space="preserve">, A. Von Bogdandy y R. Wolffrum (eds), </w:t>
      </w:r>
      <w:r w:rsidRPr="00312D18">
        <w:rPr>
          <w:i/>
          <w:iCs/>
          <w:szCs w:val="18"/>
          <w:lang w:val="es-ES"/>
        </w:rPr>
        <w:t>Max Planck Yearbook of United Nations Law,</w:t>
      </w:r>
      <w:r w:rsidRPr="00312D18">
        <w:rPr>
          <w:szCs w:val="18"/>
          <w:lang w:val="es-ES"/>
        </w:rPr>
        <w:t xml:space="preserve"> Vol. 11, 2007, pág. 237.</w:t>
      </w:r>
    </w:p>
  </w:footnote>
  <w:footnote w:id="110">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Art. 2.1) de la Declaración sobre los derechos de las personas pertenecientes a minorías nacionales o étnicas, religiosas y lingüísticas, aprobada por la Asamblea General en su resolución 47/135 del 18 de diciembre de 1992.</w:t>
      </w:r>
    </w:p>
  </w:footnote>
  <w:footnote w:id="111">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i/>
          <w:iCs/>
          <w:szCs w:val="18"/>
          <w:lang w:val="es-ES"/>
        </w:rPr>
        <w:t>Ibíd</w:t>
      </w:r>
      <w:r w:rsidRPr="00312D18">
        <w:rPr>
          <w:szCs w:val="18"/>
          <w:lang w:val="es-ES"/>
        </w:rPr>
        <w:t>. art. 1.1).</w:t>
      </w:r>
    </w:p>
  </w:footnote>
  <w:footnote w:id="112">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3">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“Marco jurídico de protección de los conocimientos tradicionales en Sri Lanka”, versión en documento de trabajo, 1 de enero de 2009.</w:t>
      </w:r>
    </w:p>
  </w:footnote>
  <w:footnote w:id="114">
    <w:p w:rsidR="00A02419" w:rsidRPr="00312D18" w:rsidRDefault="00A02419" w:rsidP="008059DA">
      <w:pPr>
        <w:pStyle w:val="FootnoteText"/>
        <w:tabs>
          <w:tab w:val="left" w:pos="550"/>
        </w:tabs>
        <w:ind w:left="567" w:hanging="550"/>
        <w:rPr>
          <w:szCs w:val="18"/>
          <w:lang w:val="es-ES"/>
        </w:rPr>
      </w:pPr>
      <w:r w:rsidRPr="00312D18">
        <w:rPr>
          <w:rStyle w:val="FootnoteReference"/>
          <w:szCs w:val="18"/>
          <w:lang w:val="es-ES"/>
        </w:rPr>
        <w:footnoteRef/>
      </w:r>
      <w:r w:rsidRPr="00312D18">
        <w:rPr>
          <w:szCs w:val="18"/>
          <w:lang w:val="es-ES"/>
        </w:rPr>
        <w:t xml:space="preserve"> </w:t>
      </w:r>
      <w:r w:rsidRPr="00312D18">
        <w:rPr>
          <w:rStyle w:val="FootnoteReference"/>
          <w:szCs w:val="18"/>
          <w:lang w:val="es-ES"/>
        </w:rPr>
        <w:tab/>
      </w:r>
      <w:r w:rsidRPr="00312D18">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312D18">
        <w:rPr>
          <w:rStyle w:val="FootnoteReference"/>
          <w:szCs w:val="18"/>
          <w:lang w:val="es-ES"/>
        </w:rPr>
        <w:t>recursos</w:t>
      </w:r>
      <w:r w:rsidRPr="00312D18">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5">
    <w:p w:rsidR="00A02419" w:rsidRPr="00312D18" w:rsidRDefault="00A02419" w:rsidP="008059DA">
      <w:pPr>
        <w:pStyle w:val="FootnoteText"/>
        <w:tabs>
          <w:tab w:val="left" w:pos="550"/>
        </w:tabs>
        <w:ind w:left="567" w:hanging="567"/>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Disposiciones Tipo para leyes nacionales sobre la protección de las expresiones del folclore contra la explotación ilícita y otras acciones lesivas, 1982, art. 2.</w:t>
      </w:r>
    </w:p>
  </w:footnote>
  <w:footnote w:id="116">
    <w:p w:rsidR="00A02419" w:rsidRPr="00EB595F" w:rsidRDefault="00A02419" w:rsidP="008059DA">
      <w:pPr>
        <w:pStyle w:val="FootnoteText"/>
        <w:tabs>
          <w:tab w:val="left" w:pos="550"/>
        </w:tabs>
        <w:rPr>
          <w:szCs w:val="18"/>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UNEP/CBD/COP/4/22, párr. </w:t>
      </w:r>
      <w:r w:rsidRPr="00EB595F">
        <w:rPr>
          <w:szCs w:val="18"/>
        </w:rPr>
        <w:t>32.</w:t>
      </w:r>
    </w:p>
  </w:footnote>
  <w:footnote w:id="117">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t xml:space="preserve">Daniel Gervais, </w:t>
      </w:r>
      <w:proofErr w:type="gramStart"/>
      <w:r w:rsidRPr="00EB595F">
        <w:rPr>
          <w:i/>
          <w:iCs/>
          <w:szCs w:val="18"/>
        </w:rPr>
        <w:t>The</w:t>
      </w:r>
      <w:proofErr w:type="gramEnd"/>
      <w:r w:rsidRPr="00EB595F">
        <w:rPr>
          <w:i/>
          <w:iCs/>
          <w:szCs w:val="18"/>
        </w:rPr>
        <w:t xml:space="preserve"> TRIPS Agreement.  </w:t>
      </w:r>
      <w:proofErr w:type="gramStart"/>
      <w:r w:rsidRPr="00EB595F">
        <w:rPr>
          <w:i/>
          <w:iCs/>
          <w:szCs w:val="18"/>
        </w:rPr>
        <w:t>Drafting and Analysis</w:t>
      </w:r>
      <w:r w:rsidRPr="00EB595F">
        <w:rPr>
          <w:szCs w:val="18"/>
        </w:rPr>
        <w:t>, 3ª ed., Sweet &amp; Maxwell.</w:t>
      </w:r>
      <w:proofErr w:type="gramEnd"/>
    </w:p>
  </w:footnote>
  <w:footnote w:id="118">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t xml:space="preserve">Dieter Kugelmann, </w:t>
      </w:r>
      <w:r w:rsidRPr="00EB595F">
        <w:rPr>
          <w:i/>
          <w:iCs/>
          <w:szCs w:val="18"/>
        </w:rPr>
        <w:t>The Protection of Minorities and Indigenous Peoples Respective Cultural Diversity</w:t>
      </w:r>
      <w:r w:rsidRPr="00EB595F">
        <w:rPr>
          <w:szCs w:val="18"/>
        </w:rPr>
        <w:t xml:space="preserve">, A. Von Bogdandy y R. Wolffrum (eds), </w:t>
      </w:r>
      <w:r w:rsidRPr="00EB595F">
        <w:rPr>
          <w:i/>
          <w:iCs/>
          <w:szCs w:val="18"/>
        </w:rPr>
        <w:t>Max Planck Yearbook of United Nations Law</w:t>
      </w:r>
      <w:r w:rsidRPr="00EB595F">
        <w:rPr>
          <w:szCs w:val="18"/>
        </w:rPr>
        <w:t>, Vol. 11, 2007, pág. 235.</w:t>
      </w:r>
    </w:p>
  </w:footnote>
  <w:footnote w:id="119">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Véase el </w:t>
      </w:r>
      <w:r w:rsidRPr="00312D18">
        <w:rPr>
          <w:i/>
          <w:iCs/>
          <w:szCs w:val="18"/>
          <w:lang w:val="es-ES"/>
        </w:rPr>
        <w:t>Glossary on Intangible Cultural Heritage</w:t>
      </w:r>
      <w:r w:rsidRPr="00312D18">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312D18">
        <w:rPr>
          <w:szCs w:val="18"/>
          <w:lang w:val="es-ES"/>
        </w:rPr>
        <w:t>:  Proyecto</w:t>
      </w:r>
      <w:proofErr w:type="gramEnd"/>
      <w:r w:rsidRPr="00312D18">
        <w:rPr>
          <w:szCs w:val="18"/>
          <w:lang w:val="es-ES"/>
        </w:rPr>
        <w:t xml:space="preserve"> de objetivos y principios” (documento WIPO/GRTKF/IC/17/4).</w:t>
      </w:r>
    </w:p>
  </w:footnote>
  <w:footnote w:id="12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Publicación Nº 489 de la OMPI, </w:t>
      </w:r>
      <w:r w:rsidRPr="00312D18">
        <w:rPr>
          <w:i/>
          <w:iCs/>
          <w:szCs w:val="18"/>
          <w:lang w:val="es-ES"/>
        </w:rPr>
        <w:t>WIPO Intellectual Property Handbook</w:t>
      </w:r>
      <w:r w:rsidRPr="00312D18">
        <w:rPr>
          <w:szCs w:val="18"/>
          <w:lang w:val="es-ES"/>
        </w:rPr>
        <w:t>.</w:t>
      </w:r>
    </w:p>
  </w:footnote>
  <w:footnote w:id="121">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Glosario PATENTSCOPE de la OMPI.</w:t>
      </w:r>
    </w:p>
  </w:footnote>
  <w:footnote w:id="122">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“Reseña de las actividades y resultados del Comité Intergubernamental” (WIPO/GRTKF/IC/5/12), párr. 37.</w:t>
      </w:r>
    </w:p>
  </w:footnote>
  <w:footnote w:id="123">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“La protección de los conocimientos tradicionales:  Proyecto de análisis de las carencias:  Revisión” (documento WIPO/GRTKF/IC/13/5(b) Rev. Anexo I), página 7, párr. 13.</w:t>
      </w:r>
    </w:p>
  </w:footnote>
  <w:footnote w:id="124">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5">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EB595F">
        <w:rPr>
          <w:szCs w:val="18"/>
        </w:rPr>
        <w:t xml:space="preserve"> </w:t>
      </w:r>
      <w:r w:rsidRPr="00EB595F">
        <w:rPr>
          <w:szCs w:val="18"/>
        </w:rPr>
        <w:tab/>
        <w:t xml:space="preserve">Stephen Allen y Alexandra Xanthaki, </w:t>
      </w:r>
      <w:r w:rsidRPr="00EB595F">
        <w:rPr>
          <w:i/>
          <w:iCs/>
          <w:szCs w:val="18"/>
        </w:rPr>
        <w:t>Reflections on the UN Declaration on the Rights of Indigenous Peoples,</w:t>
      </w:r>
      <w:r w:rsidRPr="00EB595F">
        <w:rPr>
          <w:szCs w:val="18"/>
        </w:rPr>
        <w:t xml:space="preserve"> Oxford y Portland, Oregon, pág. 49.  </w:t>
      </w:r>
      <w:r w:rsidRPr="00312D18">
        <w:rPr>
          <w:szCs w:val="18"/>
          <w:lang w:val="es-ES"/>
        </w:rPr>
        <w:t xml:space="preserve">Véase asimismo la cuarta sesión </w:t>
      </w:r>
      <w:proofErr w:type="gramStart"/>
      <w:r w:rsidRPr="00312D18">
        <w:rPr>
          <w:szCs w:val="18"/>
          <w:lang w:val="es-ES"/>
        </w:rPr>
        <w:t>del</w:t>
      </w:r>
      <w:proofErr w:type="gramEnd"/>
      <w:r w:rsidRPr="00312D18">
        <w:rPr>
          <w:szCs w:val="18"/>
          <w:lang w:val="es-ES"/>
        </w:rPr>
        <w:t xml:space="preserve"> Foro Permanente para las Cuestiones Indígenas y el “Informe del Seminario internacional sobre metodologías relativas al consentimiento libre, previo e informado y los pueblos indígenas”, documento E/C.19/2005/3, párr. 30.</w:t>
      </w:r>
    </w:p>
  </w:footnote>
  <w:footnote w:id="126">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Véase la Publicación Nº 489 de la OMPI, </w:t>
      </w:r>
      <w:r w:rsidRPr="00312D18">
        <w:rPr>
          <w:i/>
          <w:iCs/>
          <w:szCs w:val="18"/>
          <w:lang w:val="es-ES"/>
        </w:rPr>
        <w:t>WIPO Intellectual Property Handbook</w:t>
      </w:r>
      <w:r w:rsidRPr="00312D18">
        <w:rPr>
          <w:szCs w:val="18"/>
          <w:lang w:val="es-ES"/>
        </w:rPr>
        <w:t>, pág. 19.</w:t>
      </w:r>
    </w:p>
  </w:footnote>
  <w:footnote w:id="12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Capítulo IV, Parte C, de las Directrices de Examen de la Oficina Europea de Patentes.  (Traducción oficiosa de la Oficina Internacional).</w:t>
      </w:r>
    </w:p>
  </w:footnote>
  <w:footnote w:id="128">
    <w:p w:rsidR="00A02419" w:rsidRPr="00EB595F" w:rsidRDefault="00A02419" w:rsidP="008059DA">
      <w:pPr>
        <w:pStyle w:val="FootnoteText"/>
        <w:tabs>
          <w:tab w:val="left" w:pos="550"/>
        </w:tabs>
        <w:rPr>
          <w:szCs w:val="18"/>
        </w:rPr>
      </w:pPr>
      <w:r w:rsidRPr="00312D18">
        <w:rPr>
          <w:rStyle w:val="FootnoteReference"/>
          <w:szCs w:val="18"/>
          <w:lang w:val="es-ES"/>
        </w:rPr>
        <w:footnoteRef/>
      </w:r>
      <w:r w:rsidRPr="00312D18">
        <w:rPr>
          <w:szCs w:val="18"/>
          <w:lang w:val="es-ES"/>
        </w:rPr>
        <w:t xml:space="preserve"> </w:t>
      </w:r>
      <w:r w:rsidRPr="00312D18">
        <w:rPr>
          <w:szCs w:val="18"/>
          <w:lang w:val="es-ES"/>
        </w:rPr>
        <w:tab/>
        <w:t>“Reseña de actividades y resultados del Comité Intergubernamental” (WIPO/GRTKF/IC/5/12), párr. </w:t>
      </w:r>
      <w:r w:rsidRPr="00EB595F">
        <w:rPr>
          <w:szCs w:val="18"/>
        </w:rPr>
        <w:t>20.</w:t>
      </w:r>
    </w:p>
  </w:footnote>
  <w:footnote w:id="129">
    <w:p w:rsidR="00A02419" w:rsidRPr="00EB595F" w:rsidRDefault="00A02419" w:rsidP="008059DA">
      <w:pPr>
        <w:pStyle w:val="FootnoteText"/>
        <w:tabs>
          <w:tab w:val="left" w:pos="550"/>
        </w:tabs>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Ídem, párrafos 21 y 22.</w:t>
      </w:r>
      <w:proofErr w:type="gramEnd"/>
    </w:p>
  </w:footnote>
  <w:footnote w:id="130">
    <w:p w:rsidR="00A02419" w:rsidRPr="00EB595F" w:rsidRDefault="00A02419" w:rsidP="008059DA">
      <w:pPr>
        <w:pStyle w:val="FootnoteText"/>
        <w:tabs>
          <w:tab w:val="left" w:pos="550"/>
        </w:tabs>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Ídem, párr.</w:t>
      </w:r>
      <w:proofErr w:type="gramEnd"/>
      <w:r w:rsidRPr="00EB595F">
        <w:rPr>
          <w:szCs w:val="18"/>
        </w:rPr>
        <w:t xml:space="preserve"> 21.</w:t>
      </w:r>
    </w:p>
  </w:footnote>
  <w:footnote w:id="131">
    <w:p w:rsidR="00A02419" w:rsidRPr="00EB595F" w:rsidRDefault="00A02419" w:rsidP="008059DA">
      <w:pPr>
        <w:pStyle w:val="FootnoteText"/>
        <w:tabs>
          <w:tab w:val="left" w:pos="550"/>
        </w:tabs>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Ídem, párr.</w:t>
      </w:r>
      <w:proofErr w:type="gramEnd"/>
      <w:r w:rsidRPr="00EB595F">
        <w:rPr>
          <w:szCs w:val="18"/>
        </w:rPr>
        <w:t xml:space="preserve"> 28.</w:t>
      </w:r>
    </w:p>
  </w:footnote>
  <w:footnote w:id="132">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ab/>
        <w:t>Jane Anderson, “</w:t>
      </w:r>
      <w:r w:rsidRPr="00EB595F">
        <w:rPr>
          <w:i/>
          <w:szCs w:val="18"/>
        </w:rPr>
        <w:t>Indigenous Knowledge/Traditional Knowledge and Intellectual Property</w:t>
      </w:r>
      <w:r w:rsidRPr="00EB595F">
        <w:rPr>
          <w:szCs w:val="18"/>
        </w:rPr>
        <w:t>”, Documento de trabajo, Centre for the Public Domain, Duke University, 2011, disponible en:  http://www.law.duke.edu/cspd/itkpaper</w:t>
      </w:r>
    </w:p>
  </w:footnote>
  <w:footnote w:id="133">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ab/>
        <w:t>Véase el documento WIPO/GRTKF/17/INF/12.</w:t>
      </w:r>
    </w:p>
  </w:footnote>
  <w:footnote w:id="134">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SCP/13/5.</w:t>
      </w:r>
    </w:p>
  </w:footnote>
  <w:footnote w:id="135">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r>
      <w:r w:rsidRPr="00312D18">
        <w:rPr>
          <w:i/>
          <w:iCs/>
          <w:szCs w:val="18"/>
          <w:lang w:val="es-ES"/>
        </w:rPr>
        <w:t>Black's Law Dictionary </w:t>
      </w:r>
      <w:r w:rsidRPr="00312D18">
        <w:rPr>
          <w:szCs w:val="18"/>
          <w:lang w:val="es-ES"/>
        </w:rPr>
        <w:t>1027 (8ª ed., 2005).</w:t>
      </w:r>
    </w:p>
  </w:footnote>
  <w:footnote w:id="136">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Guía sobre los tratados de derecho de autor… </w:t>
      </w:r>
      <w:r w:rsidRPr="00312D18">
        <w:rPr>
          <w:i/>
          <w:szCs w:val="18"/>
          <w:lang w:val="es-ES"/>
        </w:rPr>
        <w:t xml:space="preserve">op. cit. </w:t>
      </w:r>
      <w:r w:rsidRPr="00312D18">
        <w:rPr>
          <w:szCs w:val="18"/>
          <w:lang w:val="es-ES"/>
        </w:rPr>
        <w:t>en la nota 44.</w:t>
      </w:r>
    </w:p>
  </w:footnote>
  <w:footnote w:id="137">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SCP/13/5.</w:t>
      </w:r>
    </w:p>
  </w:footnote>
  <w:footnote w:id="13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9">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w:t>
      </w:r>
      <w:r w:rsidRPr="00EB595F">
        <w:rPr>
          <w:i/>
          <w:szCs w:val="18"/>
        </w:rPr>
        <w:t>The Role of Registers &amp; Databases in the Protection of Traditional Knowledge:  A Comparative Analysis</w:t>
      </w:r>
      <w:r w:rsidRPr="00EB595F">
        <w:rPr>
          <w:szCs w:val="18"/>
        </w:rPr>
        <w:t>”, Informe UNU/IAS, enero de 2004, pág.</w:t>
      </w:r>
      <w:proofErr w:type="gramEnd"/>
      <w:r w:rsidRPr="00EB595F">
        <w:rPr>
          <w:szCs w:val="18"/>
        </w:rPr>
        <w:t> 32.</w:t>
      </w:r>
    </w:p>
  </w:footnote>
  <w:footnote w:id="140">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Ídem.</w:t>
      </w:r>
    </w:p>
  </w:footnote>
  <w:footnote w:id="141">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Ídem.</w:t>
      </w:r>
    </w:p>
  </w:footnote>
  <w:footnote w:id="14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Artículo 16 de la Ley Nº 27811 que establece el régimen de protección de los conocimientos colectivos de los pueblos indígenas vinculados a los recursos biológicos, disponible en:  http://www.wipo.int.wipolex/en/details.jsp?id=3420.</w:t>
      </w:r>
    </w:p>
  </w:footnote>
  <w:footnote w:id="143">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Art. 6</w:t>
      </w:r>
      <w:r w:rsidRPr="00312D18">
        <w:rPr>
          <w:i/>
          <w:iCs/>
          <w:szCs w:val="18"/>
          <w:lang w:val="es-ES"/>
        </w:rPr>
        <w:t>bis</w:t>
      </w:r>
      <w:r w:rsidRPr="00312D18">
        <w:rPr>
          <w:szCs w:val="18"/>
          <w:lang w:val="es-ES"/>
        </w:rPr>
        <w:t xml:space="preserve"> del Convenio de Berna.</w:t>
      </w:r>
    </w:p>
  </w:footnote>
  <w:footnote w:id="144">
    <w:p w:rsidR="00A02419" w:rsidRPr="00312D18" w:rsidRDefault="00A02419" w:rsidP="008059DA">
      <w:pPr>
        <w:pStyle w:val="FootnoteText"/>
        <w:tabs>
          <w:tab w:val="left" w:pos="550"/>
        </w:tabs>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Ricketson y Ginsburg, </w:t>
      </w:r>
      <w:r w:rsidRPr="00312D18">
        <w:rPr>
          <w:i/>
          <w:iCs/>
          <w:szCs w:val="18"/>
          <w:lang w:val="es-ES"/>
        </w:rPr>
        <w:t>op. cit.</w:t>
      </w:r>
      <w:r w:rsidRPr="00312D18">
        <w:rPr>
          <w:szCs w:val="18"/>
          <w:lang w:val="es-ES"/>
        </w:rPr>
        <w:t xml:space="preserve"> en la nota 46, pág. 606. </w:t>
      </w:r>
    </w:p>
  </w:footnote>
  <w:footnote w:id="145">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t>Daniel J. Gervais, “</w:t>
      </w:r>
      <w:r w:rsidRPr="00EB595F">
        <w:rPr>
          <w:i/>
          <w:szCs w:val="18"/>
        </w:rPr>
        <w:t>Spiritual But not Intellectual:  The Protection of Sacred Intangible Traditional Knowledge</w:t>
      </w:r>
      <w:r w:rsidRPr="00EB595F">
        <w:rPr>
          <w:szCs w:val="18"/>
        </w:rPr>
        <w:t>”, 11 Cardozo J. Int’l &amp; Comp.  L. 467, 469-490 (2003).</w:t>
      </w:r>
    </w:p>
  </w:footnote>
  <w:footnote w:id="146">
    <w:p w:rsidR="00A02419" w:rsidRPr="00EB595F" w:rsidRDefault="00A02419" w:rsidP="008059DA">
      <w:pPr>
        <w:pStyle w:val="FootnoteText"/>
        <w:tabs>
          <w:tab w:val="left" w:pos="550"/>
        </w:tabs>
        <w:ind w:left="550" w:hanging="550"/>
        <w:rPr>
          <w:szCs w:val="18"/>
        </w:rPr>
      </w:pPr>
      <w:r w:rsidRPr="00312D18">
        <w:rPr>
          <w:rStyle w:val="FootnoteReference"/>
          <w:szCs w:val="18"/>
          <w:lang w:val="es-ES"/>
        </w:rPr>
        <w:footnoteRef/>
      </w:r>
      <w:r w:rsidRPr="00EB595F">
        <w:rPr>
          <w:szCs w:val="18"/>
        </w:rPr>
        <w:t xml:space="preserve"> </w:t>
      </w:r>
      <w:r w:rsidRPr="00EB595F">
        <w:rPr>
          <w:szCs w:val="18"/>
        </w:rPr>
        <w:tab/>
        <w:t>Gupta, A., “</w:t>
      </w:r>
      <w:r w:rsidRPr="00EB595F">
        <w:rPr>
          <w:i/>
          <w:szCs w:val="18"/>
        </w:rPr>
        <w:t>Rewarding Traditional Knowledge and Contemporary Grassroots Creativity:  The Role of Intellectual Property Protection</w:t>
      </w:r>
      <w:r w:rsidRPr="00EB595F">
        <w:rPr>
          <w:szCs w:val="18"/>
        </w:rPr>
        <w:t>”, (en los archivos de la Secretaría).</w:t>
      </w:r>
    </w:p>
  </w:footnote>
  <w:footnote w:id="147">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“Informe de la OMPI relativo a las misiones exploratorias sobre propiedad intelectual y conocimientos tradicionales (1998</w:t>
      </w:r>
      <w:r w:rsidRPr="00312D18">
        <w:rPr>
          <w:szCs w:val="18"/>
          <w:lang w:val="es-ES"/>
        </w:rPr>
        <w:noBreakHyphen/>
        <w:t>1999)</w:t>
      </w:r>
      <w:proofErr w:type="gramStart"/>
      <w:r w:rsidRPr="00312D18">
        <w:rPr>
          <w:szCs w:val="18"/>
          <w:lang w:val="es-ES"/>
        </w:rPr>
        <w:t>:  Conocimientos</w:t>
      </w:r>
      <w:proofErr w:type="gramEnd"/>
      <w:r w:rsidRPr="00312D18">
        <w:rPr>
          <w:szCs w:val="18"/>
          <w:lang w:val="es-ES"/>
        </w:rPr>
        <w:t xml:space="preserve"> tradicionales:  Necesidades y expectativas en materia de propiedad intelectual”, pág. 187, disponible en:  http://www.wipo.int/tk/en/tk/ffm/report/index.html.</w:t>
      </w:r>
    </w:p>
  </w:footnote>
  <w:footnote w:id="148">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Intervención de la Delegación de Nueva Zelandia en la undécima sesión del Comité.  Véase el informe aprobado de dicha sesión (documento WIPO/GRTKF/IC/11/15), párr. 220.</w:t>
      </w:r>
    </w:p>
  </w:footnote>
  <w:footnote w:id="149">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Intervención de la Delegación del Japón en la undécima sesión del Comité.  Véase el informe aprobado de dicha sesión (documento WIPO/GRTKF/IC/11/15), párr. 296.</w:t>
      </w:r>
    </w:p>
  </w:footnote>
  <w:footnote w:id="150">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“La protección de los conocimientos tradicionales:  Proyecto de análisis de carencias:  Revisión”, WIPO/GRTKF/IC/13/5(b) Rev., Anexo I, pág. 23, y Anexo II, págs. 12 y 18.</w:t>
      </w:r>
    </w:p>
  </w:footnote>
  <w:footnote w:id="151">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Proyecto de glosario encargado por la Comisión Nacional para la UNESCO.  (Traducción oficiosa de la Oficina Internacional).</w:t>
      </w:r>
    </w:p>
  </w:footnote>
  <w:footnote w:id="152">
    <w:p w:rsidR="00A02419" w:rsidRPr="00312D18" w:rsidRDefault="00A02419" w:rsidP="008059DA">
      <w:pPr>
        <w:pStyle w:val="FootnoteText"/>
        <w:tabs>
          <w:tab w:val="left" w:pos="550"/>
        </w:tabs>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Marco Regional para el Pacífico relativo a la protección de los conocimientos tradicionales y las expresiones de la cultura, 2002, Parte I, art. 4.</w:t>
      </w:r>
    </w:p>
  </w:footnote>
  <w:footnote w:id="153">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Véanse los artículos 15, 16 y 19 del CDB.</w:t>
      </w:r>
    </w:p>
  </w:footnote>
  <w:footnote w:id="154">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Véanse los artículos 10 a 13 del ITPGRFA.</w:t>
      </w:r>
    </w:p>
  </w:footnote>
  <w:footnote w:id="155">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artículo 8.j) del CDB.</w:t>
      </w:r>
    </w:p>
  </w:footnote>
  <w:footnote w:id="156">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WIPO/GRTKF/IC/11/10.</w:t>
      </w:r>
    </w:p>
  </w:footnote>
  <w:footnote w:id="157">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Disposiciones Tipo para leyes nacionales sobre la protección...”,1982, </w:t>
      </w:r>
      <w:r w:rsidRPr="00312D18">
        <w:rPr>
          <w:i/>
          <w:iCs/>
          <w:szCs w:val="18"/>
          <w:lang w:val="es-ES"/>
        </w:rPr>
        <w:t>op. cit.</w:t>
      </w:r>
      <w:r w:rsidRPr="00312D18">
        <w:rPr>
          <w:iCs/>
          <w:szCs w:val="18"/>
          <w:lang w:val="es-ES"/>
        </w:rPr>
        <w:t xml:space="preserve"> en la nota 36, </w:t>
      </w:r>
      <w:r w:rsidRPr="00312D18">
        <w:rPr>
          <w:szCs w:val="18"/>
          <w:lang w:val="es-ES"/>
        </w:rPr>
        <w:t>Parte III</w:t>
      </w:r>
      <w:r w:rsidRPr="00312D18">
        <w:rPr>
          <w:iCs/>
          <w:szCs w:val="18"/>
          <w:lang w:val="es-ES"/>
        </w:rPr>
        <w:t>.</w:t>
      </w:r>
    </w:p>
  </w:footnote>
  <w:footnote w:id="158">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Disposiciones Tipo para leyes nacionales sobre la protección...”,1982, </w:t>
      </w:r>
      <w:r w:rsidRPr="00312D18">
        <w:rPr>
          <w:i/>
          <w:iCs/>
          <w:szCs w:val="18"/>
          <w:lang w:val="es-ES"/>
        </w:rPr>
        <w:t>op. cit.</w:t>
      </w:r>
      <w:r w:rsidRPr="00312D18">
        <w:rPr>
          <w:iCs/>
          <w:szCs w:val="18"/>
          <w:lang w:val="es-ES"/>
        </w:rPr>
        <w:t xml:space="preserve"> en la nota 36,</w:t>
      </w:r>
      <w:r w:rsidRPr="00312D18">
        <w:rPr>
          <w:szCs w:val="18"/>
          <w:lang w:val="es-ES"/>
        </w:rPr>
        <w:t xml:space="preserve"> artículo 2.iv)</w:t>
      </w:r>
      <w:r w:rsidRPr="00312D18">
        <w:rPr>
          <w:iCs/>
          <w:szCs w:val="18"/>
          <w:lang w:val="es-ES"/>
        </w:rPr>
        <w:t>.</w:t>
      </w:r>
    </w:p>
  </w:footnote>
  <w:footnote w:id="159">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EB595F">
        <w:rPr>
          <w:szCs w:val="18"/>
        </w:rPr>
        <w:t xml:space="preserve"> </w:t>
      </w:r>
      <w:r w:rsidRPr="00EB595F">
        <w:rPr>
          <w:szCs w:val="18"/>
        </w:rPr>
        <w:tab/>
        <w:t>Nino Pires de Carvalho, “</w:t>
      </w:r>
      <w:r w:rsidRPr="00EB595F">
        <w:rPr>
          <w:i/>
          <w:iCs/>
          <w:szCs w:val="18"/>
        </w:rPr>
        <w:t>From the Shaman’s Hut to the Patent Office:  A Road Under Constructio”</w:t>
      </w:r>
      <w:proofErr w:type="gramStart"/>
      <w:r w:rsidRPr="00EB595F">
        <w:rPr>
          <w:i/>
          <w:iCs/>
          <w:szCs w:val="18"/>
        </w:rPr>
        <w:t>,.</w:t>
      </w:r>
      <w:proofErr w:type="gramEnd"/>
      <w:r w:rsidRPr="00EB595F">
        <w:rPr>
          <w:szCs w:val="18"/>
        </w:rPr>
        <w:t xml:space="preserve"> </w:t>
      </w:r>
      <w:r w:rsidRPr="00EB595F">
        <w:rPr>
          <w:i/>
          <w:iCs/>
          <w:szCs w:val="18"/>
        </w:rPr>
        <w:t xml:space="preserve"> </w:t>
      </w:r>
      <w:r w:rsidRPr="00312D18">
        <w:rPr>
          <w:szCs w:val="18"/>
          <w:lang w:val="es-ES"/>
        </w:rPr>
        <w:t xml:space="preserve">Capítulo 18 de </w:t>
      </w:r>
      <w:r w:rsidRPr="00312D18">
        <w:rPr>
          <w:i/>
          <w:iCs/>
          <w:szCs w:val="18"/>
          <w:lang w:val="es-ES"/>
        </w:rPr>
        <w:t>Biodiversity and the Law</w:t>
      </w:r>
      <w:r w:rsidRPr="00312D18">
        <w:rPr>
          <w:szCs w:val="18"/>
          <w:lang w:val="es-ES"/>
        </w:rPr>
        <w:t>, pág. 244.</w:t>
      </w:r>
    </w:p>
  </w:footnote>
  <w:footnote w:id="160">
    <w:p w:rsidR="00A02419" w:rsidRPr="00312D18" w:rsidRDefault="00A02419" w:rsidP="008059DA">
      <w:pPr>
        <w:pStyle w:val="FootnoteText"/>
        <w:ind w:left="567" w:hanging="567"/>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Análisis consolidado de la protección jurídica </w:t>
      </w:r>
      <w:r w:rsidRPr="00312D18">
        <w:rPr>
          <w:iCs/>
          <w:szCs w:val="18"/>
          <w:lang w:val="es-ES"/>
        </w:rPr>
        <w:t>de las</w:t>
      </w:r>
      <w:r w:rsidRPr="00312D18">
        <w:rPr>
          <w:i/>
          <w:iCs/>
          <w:szCs w:val="18"/>
          <w:lang w:val="es-ES"/>
        </w:rPr>
        <w:t xml:space="preserve"> </w:t>
      </w:r>
      <w:r w:rsidRPr="00312D18">
        <w:rPr>
          <w:szCs w:val="18"/>
          <w:lang w:val="es-ES"/>
        </w:rPr>
        <w:t>expresiones culturales tradicionales, WIPO/GRTKF/IC/5/3, párr. 53.</w:t>
      </w:r>
    </w:p>
  </w:footnote>
  <w:footnote w:id="161">
    <w:p w:rsidR="00A02419" w:rsidRPr="00312D18" w:rsidRDefault="00A02419" w:rsidP="008059DA">
      <w:pPr>
        <w:pStyle w:val="FootnoteText"/>
        <w:ind w:left="567" w:hanging="567"/>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Disposiciones Tipo para leyes nacionales sobre la protección...”,1982, </w:t>
      </w:r>
      <w:r w:rsidRPr="00312D18">
        <w:rPr>
          <w:i/>
          <w:iCs/>
          <w:szCs w:val="18"/>
          <w:lang w:val="es-ES"/>
        </w:rPr>
        <w:t>op. cit.</w:t>
      </w:r>
      <w:r w:rsidRPr="00312D18">
        <w:rPr>
          <w:szCs w:val="18"/>
          <w:lang w:val="es-ES"/>
        </w:rPr>
        <w:t xml:space="preserve"> </w:t>
      </w:r>
      <w:r w:rsidRPr="00312D18">
        <w:rPr>
          <w:iCs/>
          <w:szCs w:val="18"/>
          <w:lang w:val="es-ES"/>
        </w:rPr>
        <w:t xml:space="preserve">en la nota 36, </w:t>
      </w:r>
      <w:r w:rsidRPr="00312D18">
        <w:rPr>
          <w:szCs w:val="18"/>
          <w:lang w:val="es-ES"/>
        </w:rPr>
        <w:t>Parte III, párr. 42.</w:t>
      </w:r>
    </w:p>
  </w:footnote>
  <w:footnote w:id="162">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Elementos de un sistema sui géneris de protección de los conocimientos tradicionales (WIPO/GRTKF/IC/4/8), párr. 27.</w:t>
      </w:r>
    </w:p>
  </w:footnote>
  <w:footnote w:id="163">
    <w:p w:rsidR="00A02419" w:rsidRPr="00EB595F" w:rsidRDefault="00A02419" w:rsidP="008059DA">
      <w:pPr>
        <w:pStyle w:val="FootnoteText"/>
        <w:ind w:left="550" w:hanging="550"/>
        <w:rPr>
          <w:szCs w:val="18"/>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“Análisis consolidado de las protección jurídica de las expresiones culturales tradicionales”, WIPO/GRTKF/IC/5/3, párr. </w:t>
      </w:r>
      <w:r w:rsidRPr="00EB595F">
        <w:rPr>
          <w:szCs w:val="18"/>
        </w:rPr>
        <w:t>54.</w:t>
      </w:r>
    </w:p>
  </w:footnote>
  <w:footnote w:id="164">
    <w:p w:rsidR="00A02419" w:rsidRPr="00EB595F" w:rsidRDefault="00A02419" w:rsidP="008059DA">
      <w:pPr>
        <w:pStyle w:val="FootnoteText"/>
        <w:ind w:left="550" w:hanging="550"/>
        <w:rPr>
          <w:szCs w:val="18"/>
        </w:rPr>
      </w:pPr>
      <w:r w:rsidRPr="00312D18">
        <w:rPr>
          <w:rStyle w:val="FootnoteReference"/>
          <w:szCs w:val="18"/>
          <w:lang w:val="es-ES"/>
        </w:rPr>
        <w:footnoteRef/>
      </w:r>
      <w:r w:rsidRPr="00EB595F">
        <w:rPr>
          <w:szCs w:val="18"/>
        </w:rPr>
        <w:t xml:space="preserve"> </w:t>
      </w:r>
      <w:r w:rsidRPr="00EB595F">
        <w:rPr>
          <w:szCs w:val="18"/>
        </w:rPr>
        <w:tab/>
      </w:r>
      <w:proofErr w:type="gramStart"/>
      <w:r w:rsidRPr="00EB595F">
        <w:rPr>
          <w:szCs w:val="18"/>
        </w:rPr>
        <w:t>Véase también Marc G. Stevenson “</w:t>
      </w:r>
      <w:r w:rsidRPr="00EB595F">
        <w:rPr>
          <w:i/>
          <w:iCs/>
          <w:szCs w:val="18"/>
        </w:rPr>
        <w:t>Indigenous Knowledge in Environmental Assessments”</w:t>
      </w:r>
      <w:r w:rsidRPr="00EB595F">
        <w:rPr>
          <w:szCs w:val="18"/>
        </w:rPr>
        <w:t>, 49 ARCTIC 278, 1996, pág.</w:t>
      </w:r>
      <w:proofErr w:type="gramEnd"/>
      <w:r w:rsidRPr="00EB595F">
        <w:rPr>
          <w:szCs w:val="18"/>
        </w:rPr>
        <w:t xml:space="preserve"> 281.</w:t>
      </w:r>
    </w:p>
  </w:footnote>
  <w:footnote w:id="165">
    <w:p w:rsidR="00A02419" w:rsidRPr="00312D18" w:rsidRDefault="00A02419" w:rsidP="008059DA">
      <w:pPr>
        <w:pStyle w:val="FootnoteText"/>
        <w:ind w:left="567" w:hanging="567"/>
        <w:rPr>
          <w:szCs w:val="18"/>
          <w:lang w:val="es-ES"/>
        </w:rPr>
      </w:pPr>
      <w:r w:rsidRPr="00312D18">
        <w:rPr>
          <w:rStyle w:val="FootnoteReference"/>
          <w:szCs w:val="18"/>
          <w:lang w:val="es-ES"/>
        </w:rPr>
        <w:footnoteRef/>
      </w:r>
      <w:r w:rsidRPr="00EB595F">
        <w:rPr>
          <w:szCs w:val="18"/>
        </w:rPr>
        <w:tab/>
        <w:t>Véase Fikret Berkes, “</w:t>
      </w:r>
      <w:r w:rsidRPr="00EB595F">
        <w:rPr>
          <w:i/>
          <w:szCs w:val="18"/>
        </w:rPr>
        <w:t xml:space="preserve">Traditional Ecological Knowledge in Perspective.  </w:t>
      </w:r>
      <w:r w:rsidRPr="00312D18">
        <w:rPr>
          <w:i/>
          <w:szCs w:val="18"/>
          <w:lang w:val="es-ES"/>
        </w:rPr>
        <w:t>Traditional Ecological Knowledge:  Concepts and Cases”</w:t>
      </w:r>
      <w:r w:rsidRPr="00312D18">
        <w:rPr>
          <w:szCs w:val="18"/>
          <w:lang w:val="es-ES"/>
        </w:rPr>
        <w:t>.  Programa Internacional sobre Conocimientos Ecológicos Tradicionales Centro Internacional de Investigaciones para el Desarrollo, Otawa.</w:t>
      </w:r>
    </w:p>
  </w:footnote>
  <w:footnote w:id="166">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“Informe de la OMPI relativo a las misiones exploratorias sobre propiedad intelectual y conocimientos tradicionales (1998</w:t>
      </w:r>
      <w:r w:rsidRPr="00312D18">
        <w:rPr>
          <w:szCs w:val="18"/>
          <w:lang w:val="es-ES"/>
        </w:rPr>
        <w:noBreakHyphen/>
        <w:t>1999):  Conocimientos tradicionales:  Necesidades y expectativas en materia de propiedad intelectual”, pág. 25, disponible en:  http://www.wipo.int/tk/en/ffm/report/index.html.</w:t>
      </w:r>
    </w:p>
  </w:footnote>
  <w:footnote w:id="167">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ab/>
        <w:t xml:space="preserve">Más información disponible en </w:t>
      </w:r>
      <w:hyperlink r:id="rId13" w:history="1">
        <w:r w:rsidRPr="00312D18">
          <w:rPr>
            <w:rStyle w:val="Hyperlink"/>
            <w:szCs w:val="18"/>
            <w:lang w:val="es-ES"/>
          </w:rPr>
          <w:t>http://www.tkdl.res.in/tkdl/langdefault/common/Abouttkdl.asp?GL=Eng</w:t>
        </w:r>
      </w:hyperlink>
      <w:r w:rsidRPr="00312D18">
        <w:rPr>
          <w:szCs w:val="18"/>
          <w:lang w:val="es-ES"/>
        </w:rPr>
        <w:t>.</w:t>
      </w:r>
    </w:p>
  </w:footnote>
  <w:footnote w:id="168">
    <w:p w:rsidR="00A02419" w:rsidRPr="00EB595F" w:rsidRDefault="00A02419" w:rsidP="008059DA">
      <w:pPr>
        <w:pStyle w:val="FootnoteText"/>
        <w:ind w:left="550" w:hanging="550"/>
        <w:rPr>
          <w:szCs w:val="18"/>
        </w:rPr>
      </w:pPr>
      <w:r w:rsidRPr="00312D18">
        <w:rPr>
          <w:rStyle w:val="FootnoteReference"/>
          <w:szCs w:val="18"/>
          <w:lang w:val="es-ES"/>
        </w:rPr>
        <w:footnoteRef/>
      </w:r>
      <w:r w:rsidRPr="00EB595F">
        <w:rPr>
          <w:szCs w:val="18"/>
        </w:rPr>
        <w:t xml:space="preserve"> </w:t>
      </w:r>
      <w:r w:rsidRPr="00EB595F">
        <w:rPr>
          <w:szCs w:val="18"/>
        </w:rPr>
        <w:tab/>
        <w:t>Véase “</w:t>
      </w:r>
      <w:r w:rsidRPr="00EB595F">
        <w:rPr>
          <w:i/>
          <w:iCs/>
          <w:szCs w:val="18"/>
        </w:rPr>
        <w:t>The Role of Registers &amp; Databases in the Protection of Traditional Knowledge:  A Comparative Analysis</w:t>
      </w:r>
      <w:r w:rsidRPr="00EB595F">
        <w:rPr>
          <w:iCs/>
          <w:szCs w:val="18"/>
        </w:rPr>
        <w:t>”, I</w:t>
      </w:r>
      <w:r w:rsidRPr="00EB595F">
        <w:rPr>
          <w:szCs w:val="18"/>
        </w:rPr>
        <w:t>nforme UNU-IAS, enero de 2004, pág. 18.</w:t>
      </w:r>
    </w:p>
  </w:footnote>
  <w:footnote w:id="169">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w:t>
      </w:r>
      <w:r w:rsidRPr="00312D18">
        <w:rPr>
          <w:iCs/>
          <w:szCs w:val="18"/>
          <w:lang w:val="es-ES"/>
        </w:rPr>
        <w:t>Informe</w:t>
      </w:r>
      <w:r w:rsidRPr="00312D18">
        <w:rPr>
          <w:szCs w:val="18"/>
          <w:lang w:val="es-ES"/>
        </w:rPr>
        <w:t xml:space="preserve"> de la OMPI relativo a las misiones exploratorias sobre propiedad intelectual y conocimientos tradicionales (1998 1999)</w:t>
      </w:r>
      <w:proofErr w:type="gramStart"/>
      <w:r w:rsidRPr="00312D18">
        <w:rPr>
          <w:szCs w:val="18"/>
          <w:lang w:val="es-ES"/>
        </w:rPr>
        <w:t>:  Conocimientos</w:t>
      </w:r>
      <w:proofErr w:type="gramEnd"/>
      <w:r w:rsidRPr="00312D18">
        <w:rPr>
          <w:szCs w:val="18"/>
          <w:lang w:val="es-ES"/>
        </w:rPr>
        <w:t xml:space="preserve"> tradicionales:  Necesidades y expectativas en materia de propiedad intelectual”, pág 26.</w:t>
      </w:r>
    </w:p>
  </w:footnote>
  <w:footnote w:id="170">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“Lista y breve explicación técnica de las diversas formas que pueden presentar los conocimientos tradicionales”, WIPO/GRTKF/IC/17/INF/9, párrafos 43 y 44 del Anexo.</w:t>
      </w:r>
    </w:p>
  </w:footnote>
  <w:footnote w:id="171">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Ídem.</w:t>
      </w:r>
    </w:p>
  </w:footnote>
  <w:footnote w:id="172">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 xml:space="preserve">Más información disponible en </w:t>
      </w:r>
      <w:hyperlink r:id="rId14" w:history="1">
        <w:r w:rsidRPr="00312D18">
          <w:rPr>
            <w:rStyle w:val="Hyperlink"/>
            <w:szCs w:val="18"/>
            <w:lang w:val="es-ES"/>
          </w:rPr>
          <w:t>http://www.tkdl.res.in/tkdl/langdefault/common/TKRC.asp?GL=Eng</w:t>
        </w:r>
      </w:hyperlink>
      <w:r w:rsidRPr="00312D18">
        <w:rPr>
          <w:szCs w:val="18"/>
          <w:lang w:val="es-ES"/>
        </w:rPr>
        <w:t>.</w:t>
      </w:r>
    </w:p>
  </w:footnote>
  <w:footnote w:id="173">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Pautas generales de la OMS para las metodologías de investigación y evaluación de la medicina tradicional, WHO/EDM/TRM/2000.1, pág. 1.</w:t>
      </w:r>
    </w:p>
  </w:footnote>
  <w:footnote w:id="174">
    <w:p w:rsidR="00A02419" w:rsidRPr="00312D18" w:rsidRDefault="00A02419" w:rsidP="008059DA">
      <w:pPr>
        <w:pStyle w:val="FootnoteText"/>
        <w:ind w:left="550" w:hanging="550"/>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La estrategia de la OMS sobre medicina tradicional, 2002-2005.</w:t>
      </w:r>
    </w:p>
  </w:footnote>
  <w:footnote w:id="175">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Proyecto de glosario, Comisión Nacional para la UNESCO</w:t>
      </w:r>
      <w:r w:rsidRPr="00312D18">
        <w:rPr>
          <w:rStyle w:val="FootnoteReference"/>
          <w:szCs w:val="18"/>
          <w:lang w:val="es-ES"/>
        </w:rPr>
        <w:t>.</w:t>
      </w:r>
    </w:p>
  </w:footnote>
  <w:footnote w:id="176">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Véanse los artículos 10 a 13 del ITPGRFA.</w:t>
      </w:r>
    </w:p>
  </w:footnote>
  <w:footnote w:id="177">
    <w:p w:rsidR="00A02419" w:rsidRPr="00312D18" w:rsidRDefault="00A02419" w:rsidP="008059DA">
      <w:pPr>
        <w:pStyle w:val="FootnoteText"/>
        <w:rPr>
          <w:szCs w:val="18"/>
          <w:lang w:val="es-ES"/>
        </w:rPr>
      </w:pPr>
      <w:r w:rsidRPr="00312D18">
        <w:rPr>
          <w:rStyle w:val="FootnoteReference"/>
          <w:szCs w:val="18"/>
          <w:lang w:val="es-ES"/>
        </w:rPr>
        <w:footnoteRef/>
      </w:r>
      <w:r w:rsidRPr="00312D18">
        <w:rPr>
          <w:szCs w:val="18"/>
          <w:lang w:val="es-ES"/>
        </w:rPr>
        <w:t xml:space="preserve"> </w:t>
      </w:r>
      <w:r w:rsidRPr="00312D18">
        <w:rPr>
          <w:szCs w:val="18"/>
          <w:lang w:val="es-ES"/>
        </w:rPr>
        <w:tab/>
        <w:t>Véase el documento WIPO/GRTKF/IC/3/9.</w:t>
      </w:r>
    </w:p>
  </w:footnote>
  <w:footnote w:id="178">
    <w:p w:rsidR="00A02419" w:rsidRPr="00EB595F" w:rsidRDefault="00A02419" w:rsidP="008059DA">
      <w:pPr>
        <w:pStyle w:val="FootnoteText"/>
        <w:ind w:left="550" w:hanging="550"/>
        <w:rPr>
          <w:szCs w:val="18"/>
        </w:rPr>
      </w:pPr>
      <w:r w:rsidRPr="00312D18">
        <w:rPr>
          <w:rStyle w:val="FootnoteReference"/>
          <w:szCs w:val="18"/>
          <w:lang w:val="es-ES"/>
        </w:rPr>
        <w:footnoteRef/>
      </w:r>
      <w:r w:rsidRPr="00312D18">
        <w:rPr>
          <w:szCs w:val="18"/>
          <w:lang w:val="es-ES"/>
        </w:rPr>
        <w:t xml:space="preserve"> </w:t>
      </w:r>
      <w:r w:rsidRPr="00312D18">
        <w:rPr>
          <w:szCs w:val="18"/>
          <w:lang w:val="es-ES"/>
        </w:rPr>
        <w:tab/>
        <w:t>Véase el “Análisis consolidado de la protección jurídica de las expresiones culturales tradicionales”, WIPO/GRTKF/IC/5/3, párr. </w:t>
      </w:r>
      <w:r w:rsidRPr="00EB595F">
        <w:rPr>
          <w:szCs w:val="18"/>
        </w:rPr>
        <w:t>7.</w:t>
      </w:r>
    </w:p>
  </w:footnote>
  <w:footnote w:id="179">
    <w:p w:rsidR="00A02419" w:rsidRPr="00EB595F" w:rsidRDefault="00A02419" w:rsidP="008059DA">
      <w:pPr>
        <w:pStyle w:val="FootnoteText"/>
        <w:ind w:left="550" w:hanging="550"/>
        <w:rPr>
          <w:szCs w:val="18"/>
        </w:rPr>
      </w:pPr>
      <w:r w:rsidRPr="00312D18">
        <w:rPr>
          <w:rStyle w:val="FootnoteReference"/>
          <w:szCs w:val="18"/>
          <w:lang w:val="es-ES"/>
        </w:rPr>
        <w:footnoteRef/>
      </w:r>
      <w:r w:rsidRPr="00EB595F">
        <w:rPr>
          <w:szCs w:val="18"/>
        </w:rPr>
        <w:t xml:space="preserve"> </w:t>
      </w:r>
      <w:r w:rsidRPr="00EB595F">
        <w:rPr>
          <w:szCs w:val="18"/>
        </w:rPr>
        <w:tab/>
        <w:t>Daniel Gervais, “</w:t>
      </w:r>
      <w:r w:rsidRPr="00EB595F">
        <w:rPr>
          <w:i/>
          <w:szCs w:val="18"/>
        </w:rPr>
        <w:t xml:space="preserve">The TRIPS Agreement.  </w:t>
      </w:r>
      <w:proofErr w:type="gramStart"/>
      <w:r w:rsidRPr="00EB595F">
        <w:rPr>
          <w:i/>
          <w:szCs w:val="18"/>
        </w:rPr>
        <w:t>Drafting and Analysis”</w:t>
      </w:r>
      <w:r w:rsidRPr="00EB595F">
        <w:rPr>
          <w:szCs w:val="18"/>
        </w:rPr>
        <w:t>, 3ª edición, Sweet &amp; Maxwell, pág.</w:t>
      </w:r>
      <w:proofErr w:type="gramEnd"/>
      <w:r w:rsidRPr="00EB595F">
        <w:rPr>
          <w:szCs w:val="18"/>
        </w:rPr>
        <w:t xml:space="preserve"> 132.</w:t>
      </w:r>
    </w:p>
  </w:footnote>
  <w:footnote w:id="180">
    <w:p w:rsidR="00A02419" w:rsidRPr="00312D18" w:rsidRDefault="00A02419" w:rsidP="008059DA">
      <w:pPr>
        <w:pStyle w:val="FootnoteText"/>
        <w:ind w:left="567" w:hanging="567"/>
        <w:rPr>
          <w:szCs w:val="18"/>
          <w:lang w:val="es-ES"/>
        </w:rPr>
      </w:pPr>
      <w:r w:rsidRPr="00312D18">
        <w:rPr>
          <w:rStyle w:val="FootnoteReference"/>
          <w:szCs w:val="18"/>
          <w:lang w:val="es-ES"/>
        </w:rPr>
        <w:footnoteRef/>
      </w:r>
      <w:r w:rsidRPr="00312D18">
        <w:rPr>
          <w:szCs w:val="18"/>
          <w:lang w:val="es-ES"/>
        </w:rPr>
        <w:tab/>
      </w:r>
      <w:r w:rsidRPr="00312D18">
        <w:rPr>
          <w:color w:val="000000"/>
          <w:szCs w:val="18"/>
          <w:lang w:val="es-ES"/>
        </w:rPr>
        <w:t xml:space="preserve">Guía de la OMPI para la catalogación de conocimientos tradicionales – borrador de consulta, disponible en:  </w:t>
      </w:r>
      <w:hyperlink r:id="rId15" w:history="1">
        <w:r w:rsidRPr="00312D18">
          <w:rPr>
            <w:rStyle w:val="Hyperlink"/>
            <w:szCs w:val="18"/>
            <w:lang w:val="es-ES"/>
          </w:rPr>
          <w:t>http://www.wipo.int/tk/en/tk/TKToolkit.html</w:t>
        </w:r>
      </w:hyperlink>
      <w:r w:rsidRPr="00312D18">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Default="00A02419" w:rsidP="00A02419">
    <w:pPr>
      <w:jc w:val="right"/>
      <w:rPr>
        <w:lang w:val="pt-BR"/>
      </w:rPr>
    </w:pPr>
    <w:r w:rsidRPr="00A02419">
      <w:rPr>
        <w:lang w:val="es-ES"/>
      </w:rPr>
      <w:t>WIPO/GRTKF/IC/3</w:t>
    </w:r>
    <w:r w:rsidR="00312D18">
      <w:rPr>
        <w:lang w:val="es-ES"/>
      </w:rPr>
      <w:t>2</w:t>
    </w:r>
    <w:r w:rsidRPr="00A02419">
      <w:rPr>
        <w:lang w:val="es-ES"/>
      </w:rPr>
      <w:t>/INF/7</w:t>
    </w:r>
  </w:p>
  <w:p w:rsidR="00A02419" w:rsidRPr="003255B0" w:rsidRDefault="00A02419" w:rsidP="00A02419">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EB595F">
      <w:rPr>
        <w:noProof/>
        <w:lang w:val="pt-BR"/>
      </w:rPr>
      <w:t>2</w:t>
    </w:r>
    <w:r>
      <w:fldChar w:fldCharType="end"/>
    </w:r>
  </w:p>
  <w:p w:rsidR="00A02419" w:rsidRPr="003255B0" w:rsidRDefault="00A02419" w:rsidP="00A0241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Pr="007A191F" w:rsidRDefault="00A02419" w:rsidP="00A610A6">
    <w:pPr>
      <w:pStyle w:val="Header"/>
      <w:jc w:val="right"/>
      <w:rPr>
        <w:lang w:val="es-ES"/>
      </w:rPr>
    </w:pPr>
    <w:r w:rsidRPr="007A191F">
      <w:rPr>
        <w:lang w:val="es-ES"/>
      </w:rPr>
      <w:t>WIPO/GRTKF/IC/3</w:t>
    </w:r>
    <w:r w:rsidR="00312D18">
      <w:rPr>
        <w:lang w:val="es-ES"/>
      </w:rPr>
      <w:t>2</w:t>
    </w:r>
    <w:r w:rsidRPr="007A191F">
      <w:rPr>
        <w:lang w:val="es-ES"/>
      </w:rPr>
      <w:t>/INF/7</w:t>
    </w:r>
  </w:p>
  <w:p w:rsidR="00A02419" w:rsidRPr="007A191F" w:rsidRDefault="00A02419" w:rsidP="00743012">
    <w:pPr>
      <w:pStyle w:val="Header"/>
      <w:jc w:val="right"/>
      <w:rPr>
        <w:lang w:val="es-ES"/>
      </w:rPr>
    </w:pPr>
    <w:r w:rsidRPr="007A191F">
      <w:rPr>
        <w:lang w:val="es-ES"/>
      </w:rPr>
      <w:t xml:space="preserve">Anexo, página </w:t>
    </w:r>
    <w:r>
      <w:rPr>
        <w:rStyle w:val="PageNumber"/>
      </w:rPr>
      <w:fldChar w:fldCharType="begin"/>
    </w:r>
    <w:r w:rsidRPr="007A191F">
      <w:rPr>
        <w:rStyle w:val="PageNumber"/>
        <w:lang w:val="es-ES"/>
      </w:rPr>
      <w:instrText xml:space="preserve"> PAGE </w:instrText>
    </w:r>
    <w:r>
      <w:rPr>
        <w:rStyle w:val="PageNumber"/>
      </w:rPr>
      <w:fldChar w:fldCharType="separate"/>
    </w:r>
    <w:r w:rsidR="00DF081B">
      <w:rPr>
        <w:rStyle w:val="PageNumber"/>
        <w:noProof/>
        <w:lang w:val="es-ES"/>
      </w:rPr>
      <w:t>45</w:t>
    </w:r>
    <w:r>
      <w:rPr>
        <w:rStyle w:val="PageNumber"/>
      </w:rPr>
      <w:fldChar w:fldCharType="end"/>
    </w:r>
  </w:p>
  <w:p w:rsidR="00A02419" w:rsidRPr="007A191F" w:rsidRDefault="00A02419" w:rsidP="0074301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19" w:rsidRDefault="00A02419" w:rsidP="00A610A6">
    <w:pPr>
      <w:pStyle w:val="Header"/>
      <w:jc w:val="right"/>
    </w:pPr>
    <w:r>
      <w:t>WIPO/GRTKF/IC/3</w:t>
    </w:r>
    <w:r w:rsidR="00312D18">
      <w:t>2</w:t>
    </w:r>
    <w:r>
      <w:t>/INF/7</w:t>
    </w:r>
  </w:p>
  <w:p w:rsidR="00A02419" w:rsidRDefault="00A02419" w:rsidP="006B30AB">
    <w:pPr>
      <w:pStyle w:val="Header"/>
      <w:jc w:val="right"/>
    </w:pPr>
    <w:r>
      <w:t>ANEXO</w:t>
    </w:r>
  </w:p>
  <w:p w:rsidR="00A02419" w:rsidRDefault="00A02419"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1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67D4C"/>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D18"/>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6BDC"/>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0721C"/>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960BC"/>
    <w:rsid w:val="006A4F48"/>
    <w:rsid w:val="006A6A01"/>
    <w:rsid w:val="006A6CCE"/>
    <w:rsid w:val="006B0EBA"/>
    <w:rsid w:val="006B1B0F"/>
    <w:rsid w:val="006B1D6C"/>
    <w:rsid w:val="006B23B7"/>
    <w:rsid w:val="006B30AB"/>
    <w:rsid w:val="006B66F3"/>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3A0F"/>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91F"/>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B6F79"/>
    <w:rsid w:val="009C3A72"/>
    <w:rsid w:val="009C52A3"/>
    <w:rsid w:val="009D2A69"/>
    <w:rsid w:val="009D33B6"/>
    <w:rsid w:val="009D7DCF"/>
    <w:rsid w:val="009E231B"/>
    <w:rsid w:val="009E2791"/>
    <w:rsid w:val="009E3F6F"/>
    <w:rsid w:val="009E45BE"/>
    <w:rsid w:val="009F3471"/>
    <w:rsid w:val="009F499F"/>
    <w:rsid w:val="009F7048"/>
    <w:rsid w:val="00A02419"/>
    <w:rsid w:val="00A11477"/>
    <w:rsid w:val="00A1185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A21C6"/>
    <w:rsid w:val="00AB3B57"/>
    <w:rsid w:val="00AB452A"/>
    <w:rsid w:val="00AC13F5"/>
    <w:rsid w:val="00AC205C"/>
    <w:rsid w:val="00AC3FC0"/>
    <w:rsid w:val="00AD09E7"/>
    <w:rsid w:val="00AD22FC"/>
    <w:rsid w:val="00AD5604"/>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04E2"/>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081B"/>
    <w:rsid w:val="00DF49B7"/>
    <w:rsid w:val="00DF526A"/>
    <w:rsid w:val="00DF5BC9"/>
    <w:rsid w:val="00E0349D"/>
    <w:rsid w:val="00E04EDE"/>
    <w:rsid w:val="00E0717C"/>
    <w:rsid w:val="00E13C76"/>
    <w:rsid w:val="00E13FAB"/>
    <w:rsid w:val="00E150D8"/>
    <w:rsid w:val="00E240D9"/>
    <w:rsid w:val="00E30817"/>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B595F"/>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A575-317C-4D1D-BC42-6A293B31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25243</Words>
  <Characters>142189</Characters>
  <Application>Microsoft Office Word</Application>
  <DocSecurity>0</DocSecurity>
  <Lines>1184</Lines>
  <Paragraphs>334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167098</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CEVALLOS DUQUE Nilo</cp:lastModifiedBy>
  <cp:revision>12</cp:revision>
  <cp:lastPrinted>2016-03-03T14:25:00Z</cp:lastPrinted>
  <dcterms:created xsi:type="dcterms:W3CDTF">2016-10-14T08:25:00Z</dcterms:created>
  <dcterms:modified xsi:type="dcterms:W3CDTF">2016-10-14T09:02:00Z</dcterms:modified>
</cp:coreProperties>
</file>