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5346A1" w:rsidTr="00D64FD1">
        <w:trPr>
          <w:trHeight w:val="2410"/>
        </w:trPr>
        <w:tc>
          <w:tcPr>
            <w:tcW w:w="4513" w:type="dxa"/>
            <w:tcBorders>
              <w:bottom w:val="single" w:sz="4" w:space="0" w:color="auto"/>
            </w:tcBorders>
            <w:tcMar>
              <w:bottom w:w="170" w:type="dxa"/>
            </w:tcMar>
          </w:tcPr>
          <w:p w:rsidR="00EC4E49" w:rsidRPr="005346A1"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5346A1" w:rsidRDefault="00A11425" w:rsidP="00485C67">
            <w:pPr>
              <w:rPr>
                <w:lang w:val="es-ES"/>
              </w:rPr>
            </w:pPr>
            <w:r w:rsidRPr="005346A1">
              <w:rPr>
                <w:noProof/>
                <w:lang w:eastAsia="en-US"/>
              </w:rPr>
              <w:drawing>
                <wp:inline distT="0" distB="0" distL="0" distR="0" wp14:anchorId="1FE1A485" wp14:editId="2E714BB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46A1" w:rsidRDefault="00A11425" w:rsidP="00916EE2">
            <w:pPr>
              <w:jc w:val="right"/>
              <w:rPr>
                <w:lang w:val="es-ES"/>
              </w:rPr>
            </w:pPr>
            <w:r w:rsidRPr="005346A1">
              <w:rPr>
                <w:b/>
                <w:sz w:val="40"/>
                <w:szCs w:val="40"/>
                <w:lang w:val="es-ES"/>
              </w:rPr>
              <w:t>S</w:t>
            </w:r>
          </w:p>
        </w:tc>
      </w:tr>
      <w:tr w:rsidR="0014698C" w:rsidRPr="005346A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46A1" w:rsidRDefault="00231FD1" w:rsidP="00A40D33">
            <w:pPr>
              <w:jc w:val="right"/>
              <w:rPr>
                <w:rFonts w:ascii="Arial Black" w:hAnsi="Arial Black"/>
                <w:caps/>
                <w:sz w:val="15"/>
                <w:lang w:val="es-ES"/>
              </w:rPr>
            </w:pPr>
            <w:bookmarkStart w:id="1" w:name="Code"/>
            <w:bookmarkEnd w:id="1"/>
            <w:proofErr w:type="spellStart"/>
            <w:r w:rsidRPr="005346A1">
              <w:rPr>
                <w:rFonts w:ascii="Arial Black" w:hAnsi="Arial Black"/>
                <w:caps/>
                <w:sz w:val="15"/>
                <w:lang w:val="es-ES"/>
              </w:rPr>
              <w:t>WIPO</w:t>
            </w:r>
            <w:proofErr w:type="spellEnd"/>
            <w:r w:rsidRPr="005346A1">
              <w:rPr>
                <w:rFonts w:ascii="Arial Black" w:hAnsi="Arial Black"/>
                <w:caps/>
                <w:sz w:val="15"/>
                <w:lang w:val="es-ES"/>
              </w:rPr>
              <w:t>/</w:t>
            </w:r>
            <w:proofErr w:type="spellStart"/>
            <w:r w:rsidRPr="005346A1">
              <w:rPr>
                <w:rFonts w:ascii="Arial Black" w:hAnsi="Arial Black"/>
                <w:caps/>
                <w:sz w:val="15"/>
                <w:lang w:val="es-ES"/>
              </w:rPr>
              <w:t>GRTKF</w:t>
            </w:r>
            <w:proofErr w:type="spellEnd"/>
            <w:r w:rsidRPr="005346A1">
              <w:rPr>
                <w:rFonts w:ascii="Arial Black" w:hAnsi="Arial Black"/>
                <w:caps/>
                <w:sz w:val="15"/>
                <w:lang w:val="es-ES"/>
              </w:rPr>
              <w:t>/</w:t>
            </w:r>
            <w:proofErr w:type="spellStart"/>
            <w:r w:rsidRPr="005346A1">
              <w:rPr>
                <w:rFonts w:ascii="Arial Black" w:hAnsi="Arial Black"/>
                <w:caps/>
                <w:sz w:val="15"/>
                <w:lang w:val="es-ES"/>
              </w:rPr>
              <w:t>IC</w:t>
            </w:r>
            <w:proofErr w:type="spellEnd"/>
            <w:r w:rsidRPr="005346A1">
              <w:rPr>
                <w:rFonts w:ascii="Arial Black" w:hAnsi="Arial Black"/>
                <w:caps/>
                <w:sz w:val="15"/>
                <w:lang w:val="es-ES"/>
              </w:rPr>
              <w:t>/</w:t>
            </w:r>
            <w:r w:rsidR="000964E1" w:rsidRPr="005346A1">
              <w:rPr>
                <w:rFonts w:ascii="Arial Black" w:hAnsi="Arial Black"/>
                <w:caps/>
                <w:sz w:val="15"/>
                <w:lang w:val="es-ES"/>
              </w:rPr>
              <w:t>3</w:t>
            </w:r>
            <w:r w:rsidR="00A40D33">
              <w:rPr>
                <w:rFonts w:ascii="Arial Black" w:hAnsi="Arial Black"/>
                <w:caps/>
                <w:sz w:val="15"/>
                <w:lang w:val="es-ES"/>
              </w:rPr>
              <w:t>4</w:t>
            </w:r>
            <w:r w:rsidR="00FB1F55" w:rsidRPr="005346A1">
              <w:rPr>
                <w:rFonts w:ascii="Arial Black" w:hAnsi="Arial Black"/>
                <w:caps/>
                <w:sz w:val="15"/>
                <w:lang w:val="es-ES"/>
              </w:rPr>
              <w:t>/</w:t>
            </w:r>
            <w:proofErr w:type="spellStart"/>
            <w:r w:rsidR="00FD16AB">
              <w:rPr>
                <w:rFonts w:ascii="Arial Black" w:hAnsi="Arial Black"/>
                <w:caps/>
                <w:sz w:val="15"/>
                <w:lang w:val="es-ES"/>
              </w:rPr>
              <w:t>INF</w:t>
            </w:r>
            <w:proofErr w:type="spellEnd"/>
            <w:r w:rsidR="00FD16AB">
              <w:rPr>
                <w:rFonts w:ascii="Arial Black" w:hAnsi="Arial Black"/>
                <w:caps/>
                <w:sz w:val="15"/>
                <w:lang w:val="es-ES"/>
              </w:rPr>
              <w:t>/</w:t>
            </w:r>
            <w:r w:rsidR="008F7FE0">
              <w:rPr>
                <w:rFonts w:ascii="Arial Black" w:hAnsi="Arial Black"/>
                <w:caps/>
                <w:sz w:val="15"/>
                <w:lang w:val="es-ES"/>
              </w:rPr>
              <w:t>7</w:t>
            </w:r>
          </w:p>
        </w:tc>
      </w:tr>
      <w:tr w:rsidR="0014698C" w:rsidRPr="005346A1" w:rsidTr="00916EE2">
        <w:trPr>
          <w:trHeight w:hRule="exact" w:val="170"/>
        </w:trPr>
        <w:tc>
          <w:tcPr>
            <w:tcW w:w="9356" w:type="dxa"/>
            <w:gridSpan w:val="3"/>
            <w:noWrap/>
            <w:tcMar>
              <w:left w:w="0" w:type="dxa"/>
              <w:right w:w="0" w:type="dxa"/>
            </w:tcMar>
            <w:vAlign w:val="bottom"/>
          </w:tcPr>
          <w:p w:rsidR="008B2CC1" w:rsidRPr="005346A1" w:rsidRDefault="008B2CC1" w:rsidP="00B4005E">
            <w:pPr>
              <w:jc w:val="right"/>
              <w:rPr>
                <w:rFonts w:ascii="Arial Black" w:hAnsi="Arial Black"/>
                <w:caps/>
                <w:sz w:val="15"/>
                <w:lang w:val="es-ES"/>
              </w:rPr>
            </w:pPr>
            <w:r w:rsidRPr="005346A1">
              <w:rPr>
                <w:rFonts w:ascii="Arial Black" w:hAnsi="Arial Black"/>
                <w:caps/>
                <w:sz w:val="15"/>
                <w:lang w:val="es-ES"/>
              </w:rPr>
              <w:t>ORIGINAL:</w:t>
            </w:r>
            <w:r w:rsidR="00A42DAF" w:rsidRPr="005346A1">
              <w:rPr>
                <w:rFonts w:ascii="Arial Black" w:hAnsi="Arial Black"/>
                <w:caps/>
                <w:sz w:val="15"/>
                <w:lang w:val="es-ES"/>
              </w:rPr>
              <w:t xml:space="preserve"> </w:t>
            </w:r>
            <w:r w:rsidRPr="005346A1">
              <w:rPr>
                <w:rFonts w:ascii="Arial Black" w:hAnsi="Arial Black"/>
                <w:caps/>
                <w:sz w:val="15"/>
                <w:lang w:val="es-ES"/>
              </w:rPr>
              <w:t xml:space="preserve"> </w:t>
            </w:r>
            <w:bookmarkStart w:id="2" w:name="Original"/>
            <w:bookmarkEnd w:id="2"/>
            <w:r w:rsidR="00A11425" w:rsidRPr="005346A1">
              <w:rPr>
                <w:rFonts w:ascii="Arial Black" w:hAnsi="Arial Black"/>
                <w:caps/>
                <w:sz w:val="15"/>
                <w:lang w:val="es-ES"/>
              </w:rPr>
              <w:t>INGLÉS</w:t>
            </w:r>
          </w:p>
        </w:tc>
      </w:tr>
      <w:tr w:rsidR="0014698C" w:rsidRPr="005346A1" w:rsidTr="00916EE2">
        <w:trPr>
          <w:trHeight w:hRule="exact" w:val="198"/>
        </w:trPr>
        <w:tc>
          <w:tcPr>
            <w:tcW w:w="9356" w:type="dxa"/>
            <w:gridSpan w:val="3"/>
            <w:tcMar>
              <w:left w:w="0" w:type="dxa"/>
              <w:right w:w="0" w:type="dxa"/>
            </w:tcMar>
            <w:vAlign w:val="bottom"/>
          </w:tcPr>
          <w:p w:rsidR="008B2CC1" w:rsidRPr="005346A1" w:rsidRDefault="00A11425" w:rsidP="00A40D33">
            <w:pPr>
              <w:jc w:val="right"/>
              <w:rPr>
                <w:rFonts w:ascii="Arial Black" w:hAnsi="Arial Black"/>
                <w:caps/>
                <w:sz w:val="15"/>
                <w:lang w:val="es-ES"/>
              </w:rPr>
            </w:pPr>
            <w:r w:rsidRPr="005346A1">
              <w:rPr>
                <w:rFonts w:ascii="Arial Black" w:hAnsi="Arial Black"/>
                <w:caps/>
                <w:sz w:val="15"/>
                <w:lang w:val="es-ES"/>
              </w:rPr>
              <w:t>FECHA</w:t>
            </w:r>
            <w:r w:rsidR="008B2CC1" w:rsidRPr="005346A1">
              <w:rPr>
                <w:rFonts w:ascii="Arial Black" w:hAnsi="Arial Black"/>
                <w:caps/>
                <w:sz w:val="15"/>
                <w:lang w:val="es-ES"/>
              </w:rPr>
              <w:t>:</w:t>
            </w:r>
            <w:r w:rsidR="004E4447" w:rsidRPr="005346A1">
              <w:rPr>
                <w:rFonts w:ascii="Arial Black" w:hAnsi="Arial Black"/>
                <w:caps/>
                <w:sz w:val="15"/>
                <w:lang w:val="es-ES"/>
              </w:rPr>
              <w:t xml:space="preserve">  </w:t>
            </w:r>
            <w:bookmarkStart w:id="3" w:name="Date"/>
            <w:bookmarkEnd w:id="3"/>
            <w:r w:rsidR="00A40D33">
              <w:rPr>
                <w:rFonts w:ascii="Arial Black" w:hAnsi="Arial Black"/>
                <w:caps/>
                <w:sz w:val="15"/>
                <w:lang w:val="es-ES"/>
              </w:rPr>
              <w:t>2</w:t>
            </w:r>
            <w:r w:rsidR="000964E1" w:rsidRPr="005346A1">
              <w:rPr>
                <w:rFonts w:ascii="Arial Black" w:hAnsi="Arial Black"/>
                <w:caps/>
                <w:sz w:val="15"/>
                <w:lang w:val="es-ES"/>
              </w:rPr>
              <w:t xml:space="preserve"> DE </w:t>
            </w:r>
            <w:r w:rsidR="00A40D33">
              <w:rPr>
                <w:rFonts w:ascii="Arial Black" w:hAnsi="Arial Black"/>
                <w:caps/>
                <w:sz w:val="15"/>
                <w:lang w:val="es-ES"/>
              </w:rPr>
              <w:t>marzo</w:t>
            </w:r>
            <w:r w:rsidRPr="005346A1">
              <w:rPr>
                <w:rFonts w:ascii="Arial Black" w:hAnsi="Arial Black"/>
                <w:caps/>
                <w:sz w:val="15"/>
                <w:lang w:val="es-ES"/>
              </w:rPr>
              <w:t xml:space="preserve"> DE</w:t>
            </w:r>
            <w:r w:rsidR="007157D1" w:rsidRPr="005346A1">
              <w:rPr>
                <w:rFonts w:ascii="Arial Black" w:hAnsi="Arial Black"/>
                <w:caps/>
                <w:sz w:val="15"/>
                <w:lang w:val="es-ES"/>
              </w:rPr>
              <w:t xml:space="preserve"> 201</w:t>
            </w:r>
            <w:r w:rsidR="00A40D33">
              <w:rPr>
                <w:rFonts w:ascii="Arial Black" w:hAnsi="Arial Black"/>
                <w:caps/>
                <w:sz w:val="15"/>
                <w:lang w:val="es-ES"/>
              </w:rPr>
              <w:t>7</w:t>
            </w:r>
          </w:p>
        </w:tc>
      </w:tr>
    </w:tbl>
    <w:p w:rsidR="00AF565C" w:rsidRPr="005346A1" w:rsidRDefault="00AF565C" w:rsidP="00BE77C3">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AF565C">
      <w:pPr>
        <w:rPr>
          <w:b/>
          <w:sz w:val="28"/>
          <w:szCs w:val="28"/>
          <w:lang w:val="es-ES"/>
        </w:rPr>
      </w:pPr>
      <w:r w:rsidRPr="005346A1">
        <w:rPr>
          <w:b/>
          <w:sz w:val="28"/>
          <w:szCs w:val="28"/>
          <w:lang w:val="es-ES"/>
        </w:rPr>
        <w:t>Comité Intergubernamental sobre Propiedad Intelectual y Recursos Genéticos, Conocimientos Tradicionales y Folclore</w:t>
      </w:r>
    </w:p>
    <w:p w:rsidR="00AF565C" w:rsidRPr="005346A1" w:rsidRDefault="00AF565C" w:rsidP="003845C1">
      <w:pPr>
        <w:rPr>
          <w:lang w:val="es-ES"/>
        </w:rPr>
      </w:pPr>
    </w:p>
    <w:p w:rsidR="00AF565C" w:rsidRPr="005346A1" w:rsidRDefault="00AF565C" w:rsidP="003845C1">
      <w:pPr>
        <w:rPr>
          <w:lang w:val="es-ES"/>
        </w:rPr>
      </w:pPr>
    </w:p>
    <w:p w:rsidR="00AF565C" w:rsidRPr="005346A1" w:rsidRDefault="000964E1" w:rsidP="00AF565C">
      <w:pPr>
        <w:rPr>
          <w:b/>
          <w:sz w:val="24"/>
          <w:szCs w:val="24"/>
          <w:lang w:val="es-ES"/>
        </w:rPr>
      </w:pPr>
      <w:r w:rsidRPr="005346A1">
        <w:rPr>
          <w:b/>
          <w:sz w:val="24"/>
          <w:szCs w:val="24"/>
          <w:lang w:val="es-ES"/>
        </w:rPr>
        <w:t xml:space="preserve">Trigésima </w:t>
      </w:r>
      <w:r w:rsidR="00A40D33">
        <w:rPr>
          <w:b/>
          <w:sz w:val="24"/>
          <w:szCs w:val="24"/>
          <w:lang w:val="es-ES"/>
        </w:rPr>
        <w:t>cuarta</w:t>
      </w:r>
      <w:r w:rsidR="00231FD1" w:rsidRPr="005346A1">
        <w:rPr>
          <w:b/>
          <w:sz w:val="24"/>
          <w:szCs w:val="24"/>
          <w:lang w:val="es-ES"/>
        </w:rPr>
        <w:t xml:space="preserve"> </w:t>
      </w:r>
      <w:r w:rsidR="00AF565C" w:rsidRPr="005346A1">
        <w:rPr>
          <w:b/>
          <w:sz w:val="24"/>
          <w:szCs w:val="24"/>
          <w:lang w:val="es-ES"/>
        </w:rPr>
        <w:t>sesión</w:t>
      </w:r>
    </w:p>
    <w:p w:rsidR="00AF565C" w:rsidRPr="005346A1" w:rsidRDefault="00B30BEE" w:rsidP="00AF565C">
      <w:pPr>
        <w:rPr>
          <w:b/>
          <w:sz w:val="24"/>
          <w:szCs w:val="24"/>
          <w:lang w:val="es-ES"/>
        </w:rPr>
      </w:pPr>
      <w:r w:rsidRPr="005346A1">
        <w:rPr>
          <w:b/>
          <w:sz w:val="24"/>
          <w:szCs w:val="24"/>
          <w:lang w:val="es-ES"/>
        </w:rPr>
        <w:t xml:space="preserve">Ginebra, </w:t>
      </w:r>
      <w:r w:rsidR="00A40D33">
        <w:rPr>
          <w:b/>
          <w:sz w:val="24"/>
          <w:szCs w:val="24"/>
          <w:lang w:val="es-ES"/>
        </w:rPr>
        <w:t>1</w:t>
      </w:r>
      <w:r w:rsidR="000964E1" w:rsidRPr="005346A1">
        <w:rPr>
          <w:b/>
          <w:sz w:val="24"/>
          <w:szCs w:val="24"/>
          <w:lang w:val="es-ES"/>
        </w:rPr>
        <w:t>2</w:t>
      </w:r>
      <w:r w:rsidR="00A40D33">
        <w:rPr>
          <w:b/>
          <w:sz w:val="24"/>
          <w:szCs w:val="24"/>
          <w:lang w:val="es-ES"/>
        </w:rPr>
        <w:t xml:space="preserve"> a 16 </w:t>
      </w:r>
      <w:r w:rsidR="005346A1" w:rsidRPr="005346A1">
        <w:rPr>
          <w:b/>
          <w:sz w:val="24"/>
          <w:szCs w:val="24"/>
          <w:lang w:val="es-ES"/>
        </w:rPr>
        <w:t xml:space="preserve">de </w:t>
      </w:r>
      <w:r w:rsidR="00A40D33">
        <w:rPr>
          <w:b/>
          <w:sz w:val="24"/>
          <w:szCs w:val="24"/>
          <w:lang w:val="es-ES"/>
        </w:rPr>
        <w:t>junio</w:t>
      </w:r>
      <w:r w:rsidR="005346A1" w:rsidRPr="005346A1">
        <w:rPr>
          <w:b/>
          <w:sz w:val="24"/>
          <w:szCs w:val="24"/>
          <w:lang w:val="es-ES"/>
        </w:rPr>
        <w:t xml:space="preserve"> </w:t>
      </w:r>
      <w:r w:rsidR="005346A1">
        <w:rPr>
          <w:b/>
          <w:sz w:val="24"/>
          <w:szCs w:val="24"/>
          <w:lang w:val="es-ES"/>
        </w:rPr>
        <w:t>de 2017</w:t>
      </w:r>
    </w:p>
    <w:p w:rsidR="00AF565C" w:rsidRPr="005346A1" w:rsidRDefault="00AF565C" w:rsidP="008B2CC1">
      <w:pPr>
        <w:rPr>
          <w:lang w:val="es-ES"/>
        </w:rPr>
      </w:pPr>
    </w:p>
    <w:p w:rsidR="00C0409B" w:rsidRPr="00AA21C6" w:rsidRDefault="00C0409B" w:rsidP="00C0409B">
      <w:pPr>
        <w:rPr>
          <w:caps/>
          <w:sz w:val="24"/>
          <w:lang w:val="es-ES"/>
        </w:rPr>
      </w:pPr>
      <w:r w:rsidRPr="00AA21C6">
        <w:rPr>
          <w:caps/>
          <w:sz w:val="24"/>
          <w:lang w:val="es-ES"/>
        </w:rPr>
        <w:t>GLOSARIO DE LOS TÉRMINOS MÁS IMPORTANTES RELACIONADOS CON LA PROPIEDAD INTELECTUAL Y LOS RECURSOS GENÉTICOS, LOS CONOCIMIENTOS TRADICIONALES Y LAS EXPRESIONES CULTURALES TRADICIONALES</w:t>
      </w:r>
    </w:p>
    <w:p w:rsidR="00C0409B" w:rsidRPr="00AA21C6" w:rsidRDefault="00C0409B" w:rsidP="00C0409B">
      <w:pPr>
        <w:rPr>
          <w:caps/>
          <w:sz w:val="24"/>
          <w:lang w:val="es-ES"/>
        </w:rPr>
      </w:pPr>
    </w:p>
    <w:p w:rsidR="00C0409B" w:rsidRPr="00AA21C6" w:rsidRDefault="00C0409B" w:rsidP="00C0409B">
      <w:pPr>
        <w:rPr>
          <w:i/>
          <w:lang w:val="es-ES"/>
        </w:rPr>
      </w:pPr>
      <w:bookmarkStart w:id="4" w:name="Prepared"/>
      <w:bookmarkEnd w:id="4"/>
      <w:r w:rsidRPr="00AA21C6">
        <w:rPr>
          <w:i/>
          <w:lang w:val="es-ES"/>
        </w:rPr>
        <w:t>Documento preparado por la Secretaría</w:t>
      </w:r>
    </w:p>
    <w:p w:rsidR="00C0409B" w:rsidRPr="00AA21C6" w:rsidRDefault="00C0409B" w:rsidP="00C0409B">
      <w:pPr>
        <w:rPr>
          <w:i/>
          <w:lang w:val="es-ES"/>
        </w:rPr>
      </w:pPr>
    </w:p>
    <w:p w:rsidR="00C0409B" w:rsidRPr="00AA21C6" w:rsidRDefault="00C0409B" w:rsidP="00C0409B">
      <w:pPr>
        <w:rPr>
          <w:i/>
          <w:lang w:val="es-ES"/>
        </w:rPr>
      </w:pPr>
    </w:p>
    <w:p w:rsidR="00C0409B" w:rsidRPr="00AA21C6" w:rsidRDefault="00C0409B" w:rsidP="00C0409B">
      <w:pPr>
        <w:rPr>
          <w:i/>
          <w:lang w:val="es-ES"/>
        </w:rPr>
      </w:pPr>
    </w:p>
    <w:p w:rsidR="00C0409B" w:rsidRPr="00AA21C6" w:rsidRDefault="00C0409B" w:rsidP="00C0409B">
      <w:pPr>
        <w:rPr>
          <w:b/>
          <w:lang w:val="es-ES"/>
        </w:rPr>
      </w:pPr>
      <w:r w:rsidRPr="00AA21C6">
        <w:rPr>
          <w:b/>
          <w:lang w:val="es-ES"/>
        </w:rPr>
        <w:t>INTRODUCCIÓN</w:t>
      </w:r>
    </w:p>
    <w:p w:rsidR="00C0409B" w:rsidRPr="00AA21C6" w:rsidRDefault="00C0409B" w:rsidP="00C0409B">
      <w:pPr>
        <w:rPr>
          <w:lang w:val="es-ES"/>
        </w:rPr>
      </w:pPr>
    </w:p>
    <w:p w:rsidR="00C0409B" w:rsidRDefault="00C0409B" w:rsidP="00C0409B">
      <w:pPr>
        <w:numPr>
          <w:ilvl w:val="0"/>
          <w:numId w:val="48"/>
        </w:numPr>
        <w:rPr>
          <w:szCs w:val="22"/>
          <w:lang w:val="es-ES"/>
        </w:rPr>
      </w:pPr>
      <w:r w:rsidRPr="00AA21C6">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AA21C6">
        <w:rPr>
          <w:vertAlign w:val="superscript"/>
          <w:lang w:val="es-ES"/>
        </w:rPr>
        <w:footnoteReference w:id="2"/>
      </w:r>
      <w:r w:rsidRPr="00AA21C6">
        <w:rPr>
          <w:szCs w:val="22"/>
          <w:lang w:val="es-ES"/>
        </w:rPr>
        <w:t xml:space="preserve"> y los pusiera a disposición del CIG.</w:t>
      </w:r>
    </w:p>
    <w:p w:rsidR="00C0409B" w:rsidRDefault="00C0409B" w:rsidP="00C0409B">
      <w:pPr>
        <w:rPr>
          <w:szCs w:val="22"/>
          <w:lang w:val="es-ES"/>
        </w:rPr>
      </w:pPr>
    </w:p>
    <w:p w:rsidR="00C0409B" w:rsidRPr="00AA21C6" w:rsidRDefault="00C0409B" w:rsidP="00C0409B">
      <w:pPr>
        <w:numPr>
          <w:ilvl w:val="0"/>
          <w:numId w:val="48"/>
        </w:numPr>
        <w:rPr>
          <w:szCs w:val="22"/>
          <w:lang w:val="es-ES"/>
        </w:rPr>
      </w:pPr>
      <w:r>
        <w:rPr>
          <w:szCs w:val="22"/>
          <w:lang w:val="es-ES"/>
        </w:rPr>
        <w:t>En su decimonovena sesión, celebrada del 18 al 22 de julio de 2011, el CIG “</w:t>
      </w:r>
      <w:r w:rsidRPr="00AD5604">
        <w:rPr>
          <w:szCs w:val="22"/>
          <w:lang w:val="es-ES"/>
        </w:rPr>
        <w:t xml:space="preserve">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w:t>
      </w:r>
      <w:r>
        <w:rPr>
          <w:szCs w:val="22"/>
          <w:lang w:val="es-ES"/>
        </w:rPr>
        <w:t>la siguiente sesión del Comité.”</w:t>
      </w:r>
      <w:r>
        <w:rPr>
          <w:rStyle w:val="FootnoteReference"/>
          <w:szCs w:val="22"/>
          <w:lang w:val="es-ES"/>
        </w:rPr>
        <w:footnoteReference w:id="3"/>
      </w:r>
    </w:p>
    <w:p w:rsidR="00C0409B" w:rsidRPr="00AA21C6" w:rsidRDefault="00C0409B" w:rsidP="00C0409B">
      <w:pPr>
        <w:rPr>
          <w:szCs w:val="22"/>
          <w:lang w:val="es-ES"/>
        </w:rPr>
      </w:pPr>
    </w:p>
    <w:p w:rsidR="00C0409B" w:rsidRPr="00AA21C6" w:rsidRDefault="00C0409B" w:rsidP="00C0409B">
      <w:pPr>
        <w:numPr>
          <w:ilvl w:val="0"/>
          <w:numId w:val="48"/>
        </w:numPr>
        <w:rPr>
          <w:szCs w:val="22"/>
          <w:lang w:val="es-ES"/>
        </w:rPr>
      </w:pPr>
      <w:r w:rsidRPr="00AA21C6">
        <w:rPr>
          <w:lang w:val="es-ES"/>
        </w:rPr>
        <w:t>D</w:t>
      </w:r>
      <w:r>
        <w:rPr>
          <w:lang w:val="es-ES"/>
        </w:rPr>
        <w:t>e conformidad con esa decisión y d</w:t>
      </w:r>
      <w:r w:rsidRPr="00AA21C6">
        <w:rPr>
          <w:lang w:val="es-ES"/>
        </w:rPr>
        <w:t>ado que varios de los términos contenidos en dichos glosarios guardaban relación con los tres temas, la Secretaría consolidó los</w:t>
      </w:r>
      <w:r>
        <w:rPr>
          <w:lang w:val="es-ES"/>
        </w:rPr>
        <w:t xml:space="preserve"> t</w:t>
      </w:r>
      <w:r w:rsidRPr="00AA21C6">
        <w:rPr>
          <w:lang w:val="es-ES"/>
        </w:rPr>
        <w:t xml:space="preserve">res glosarios en uno solo y </w:t>
      </w:r>
      <w:r>
        <w:rPr>
          <w:lang w:val="es-ES"/>
        </w:rPr>
        <w:t xml:space="preserve">actualizó algunas de las definiciones incluidas en él.  El glosario consolidado se ha puesto </w:t>
      </w:r>
      <w:r w:rsidRPr="00AA21C6">
        <w:rPr>
          <w:lang w:val="es-ES"/>
        </w:rPr>
        <w:t xml:space="preserve">a </w:t>
      </w:r>
      <w:r w:rsidRPr="00AA21C6">
        <w:rPr>
          <w:lang w:val="es-ES"/>
        </w:rPr>
        <w:lastRenderedPageBreak/>
        <w:t>disposición como document</w:t>
      </w:r>
      <w:r>
        <w:rPr>
          <w:lang w:val="es-ES"/>
        </w:rPr>
        <w:t>o</w:t>
      </w:r>
      <w:r w:rsidRPr="00AA21C6">
        <w:rPr>
          <w:lang w:val="es-ES"/>
        </w:rPr>
        <w:t xml:space="preserve"> de información </w:t>
      </w:r>
      <w:r>
        <w:rPr>
          <w:lang w:val="es-ES"/>
        </w:rPr>
        <w:t>para</w:t>
      </w:r>
      <w:r w:rsidRPr="00AA21C6">
        <w:rPr>
          <w:lang w:val="es-ES"/>
        </w:rPr>
        <w:t xml:space="preserve"> las sesiones </w:t>
      </w:r>
      <w:r>
        <w:rPr>
          <w:lang w:val="es-ES"/>
        </w:rPr>
        <w:t xml:space="preserve">anteriores </w:t>
      </w:r>
      <w:r w:rsidRPr="00AA21C6">
        <w:rPr>
          <w:lang w:val="es-ES"/>
        </w:rPr>
        <w:t>de</w:t>
      </w:r>
      <w:r>
        <w:rPr>
          <w:lang w:val="es-ES"/>
        </w:rPr>
        <w:t>l</w:t>
      </w:r>
      <w:r w:rsidRPr="00AA21C6">
        <w:rPr>
          <w:lang w:val="es-ES"/>
        </w:rPr>
        <w:t xml:space="preserve"> CIG.  El </w:t>
      </w:r>
      <w:r>
        <w:rPr>
          <w:lang w:val="es-ES"/>
        </w:rPr>
        <w:t xml:space="preserve">mismo </w:t>
      </w:r>
      <w:r w:rsidRPr="00AA21C6">
        <w:rPr>
          <w:lang w:val="es-ES"/>
        </w:rPr>
        <w:t>gl</w:t>
      </w:r>
      <w:r>
        <w:rPr>
          <w:lang w:val="es-ES"/>
        </w:rPr>
        <w:t>o</w:t>
      </w:r>
      <w:r w:rsidRPr="00AA21C6">
        <w:rPr>
          <w:lang w:val="es-ES"/>
        </w:rPr>
        <w:t>sario figura en el Anexo del presente documento</w:t>
      </w:r>
      <w:r>
        <w:rPr>
          <w:szCs w:val="22"/>
          <w:lang w:val="es-ES"/>
        </w:rPr>
        <w:t>.</w:t>
      </w:r>
    </w:p>
    <w:p w:rsidR="00C0409B" w:rsidRPr="00AA21C6" w:rsidRDefault="00C0409B" w:rsidP="00C0409B">
      <w:pPr>
        <w:rPr>
          <w:szCs w:val="22"/>
          <w:lang w:val="es-ES"/>
        </w:rPr>
      </w:pPr>
    </w:p>
    <w:p w:rsidR="00C0409B" w:rsidRPr="0003210E" w:rsidRDefault="00C0409B" w:rsidP="00C0409B">
      <w:pPr>
        <w:numPr>
          <w:ilvl w:val="0"/>
          <w:numId w:val="48"/>
        </w:numPr>
        <w:rPr>
          <w:szCs w:val="22"/>
          <w:lang w:val="es-ES"/>
        </w:rPr>
      </w:pPr>
      <w:r w:rsidRPr="0003210E">
        <w:rPr>
          <w:lang w:val="es-ES"/>
        </w:rPr>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03210E">
        <w:rPr>
          <w:szCs w:val="22"/>
          <w:lang w:val="es-ES"/>
        </w:rPr>
        <w:t>.</w:t>
      </w:r>
    </w:p>
    <w:p w:rsidR="00C0409B" w:rsidRPr="00AA21C6" w:rsidRDefault="00C0409B" w:rsidP="00C0409B">
      <w:pPr>
        <w:rPr>
          <w:szCs w:val="22"/>
          <w:lang w:val="es-ES"/>
        </w:rPr>
      </w:pPr>
    </w:p>
    <w:p w:rsidR="00C0409B" w:rsidRPr="00AA21C6" w:rsidRDefault="00C0409B" w:rsidP="00C0409B">
      <w:pPr>
        <w:numPr>
          <w:ilvl w:val="0"/>
          <w:numId w:val="48"/>
        </w:numPr>
        <w:rPr>
          <w:szCs w:val="22"/>
          <w:lang w:val="es-ES"/>
        </w:rPr>
      </w:pPr>
      <w:r w:rsidRPr="00AA21C6">
        <w:rPr>
          <w:lang w:val="es-ES"/>
        </w:rPr>
        <w:t>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AA21C6">
        <w:rPr>
          <w:szCs w:val="22"/>
          <w:lang w:val="es-ES"/>
        </w:rPr>
        <w:t>.</w:t>
      </w:r>
    </w:p>
    <w:p w:rsidR="00C0409B" w:rsidRPr="00AA21C6" w:rsidRDefault="00C0409B" w:rsidP="00C0409B">
      <w:pPr>
        <w:rPr>
          <w:szCs w:val="22"/>
          <w:u w:val="single"/>
          <w:lang w:val="es-ES"/>
        </w:rPr>
      </w:pPr>
    </w:p>
    <w:p w:rsidR="00C0409B" w:rsidRPr="00AA21C6" w:rsidRDefault="00C0409B" w:rsidP="00765094">
      <w:pPr>
        <w:pStyle w:val="Endofdocument-Annex"/>
        <w:tabs>
          <w:tab w:val="left" w:pos="6096"/>
        </w:tabs>
        <w:rPr>
          <w:i/>
          <w:lang w:val="es-ES"/>
        </w:rPr>
      </w:pPr>
      <w:r w:rsidRPr="00EB595F">
        <w:rPr>
          <w:i/>
          <w:lang w:val="es-ES"/>
        </w:rPr>
        <w:t>6.</w:t>
      </w:r>
      <w:r w:rsidRPr="00AA21C6">
        <w:rPr>
          <w:lang w:val="es-ES"/>
        </w:rPr>
        <w:tab/>
      </w:r>
      <w:r w:rsidRPr="00AA21C6">
        <w:rPr>
          <w:i/>
          <w:lang w:val="es-ES"/>
        </w:rPr>
        <w:t>Se invita al CIG a tomar nota del presente documento y de su Anexo.</w:t>
      </w:r>
    </w:p>
    <w:p w:rsidR="00C0409B" w:rsidRPr="00AA21C6" w:rsidRDefault="00C0409B" w:rsidP="00C0409B">
      <w:pPr>
        <w:pStyle w:val="Endofdocument-Annex"/>
        <w:rPr>
          <w:i/>
          <w:lang w:val="es-ES"/>
        </w:rPr>
      </w:pPr>
    </w:p>
    <w:p w:rsidR="00C0409B" w:rsidRPr="00AA21C6" w:rsidRDefault="00C0409B" w:rsidP="00C0409B">
      <w:pPr>
        <w:pStyle w:val="Endofdocument-Annex"/>
        <w:rPr>
          <w:i/>
          <w:lang w:val="es-ES"/>
        </w:rPr>
      </w:pPr>
    </w:p>
    <w:p w:rsidR="00C0409B" w:rsidRPr="00AA21C6" w:rsidRDefault="00C0409B" w:rsidP="00C0409B">
      <w:pPr>
        <w:pStyle w:val="Endofdocument-Annex"/>
        <w:rPr>
          <w:i/>
          <w:lang w:val="es-ES"/>
        </w:rPr>
      </w:pPr>
    </w:p>
    <w:p w:rsidR="00C0409B" w:rsidRPr="00AA21C6" w:rsidRDefault="00C0409B" w:rsidP="00C0409B">
      <w:pPr>
        <w:pStyle w:val="Endofdocument-Annex"/>
        <w:rPr>
          <w:lang w:val="es-ES"/>
        </w:rPr>
      </w:pPr>
      <w:r w:rsidRPr="00AA21C6">
        <w:rPr>
          <w:lang w:val="es-ES"/>
        </w:rPr>
        <w:t>[Sigue el Anexo]</w:t>
      </w:r>
    </w:p>
    <w:p w:rsidR="00C0409B" w:rsidRPr="00AA21C6" w:rsidRDefault="00C0409B" w:rsidP="00C0409B">
      <w:pPr>
        <w:pStyle w:val="Endofdocument-Annex"/>
        <w:rPr>
          <w:lang w:val="es-ES"/>
        </w:rPr>
      </w:pPr>
    </w:p>
    <w:p w:rsidR="00C0409B" w:rsidRPr="00AA21C6" w:rsidRDefault="00C0409B" w:rsidP="00C0409B">
      <w:pPr>
        <w:pStyle w:val="Endofdocument-Annex"/>
        <w:rPr>
          <w:lang w:val="es-ES"/>
        </w:rPr>
        <w:sectPr w:rsidR="00C0409B" w:rsidRPr="00AA21C6" w:rsidSect="00C0409B">
          <w:headerReference w:type="default" r:id="rId10"/>
          <w:pgSz w:w="11907" w:h="16840" w:code="9"/>
          <w:pgMar w:top="567" w:right="640" w:bottom="840" w:left="1418" w:header="510" w:footer="1021" w:gutter="0"/>
          <w:cols w:space="720"/>
          <w:titlePg/>
        </w:sectPr>
      </w:pPr>
    </w:p>
    <w:p w:rsidR="00C0409B" w:rsidRPr="00AA21C6" w:rsidRDefault="00C0409B" w:rsidP="00C0409B">
      <w:pPr>
        <w:pStyle w:val="ONUMFS"/>
        <w:numPr>
          <w:ilvl w:val="0"/>
          <w:numId w:val="0"/>
        </w:numPr>
        <w:rPr>
          <w:szCs w:val="22"/>
          <w:lang w:val="es-ES"/>
        </w:rPr>
      </w:pPr>
      <w:r w:rsidRPr="00AA21C6">
        <w:rPr>
          <w:szCs w:val="22"/>
          <w:lang w:val="es-ES"/>
        </w:rPr>
        <w:lastRenderedPageBreak/>
        <w:t>GLOSARIO DE LOS TÉRMINOS MÁS IMPORTANTES EN RELACIÓN CON LA PROPIEDAD INTELECTUAL Y LOS RECURSOS GENÉTICOS, LOS CONOCIMIENTOS TRADICIONALES Y LAS EXPRESIONES CULTURALES TRADICIONALES</w:t>
      </w:r>
    </w:p>
    <w:p w:rsidR="00C0409B" w:rsidRPr="00AA21C6" w:rsidRDefault="00C0409B" w:rsidP="00C0409B">
      <w:pPr>
        <w:rPr>
          <w:szCs w:val="22"/>
          <w:lang w:val="es-ES"/>
        </w:rPr>
      </w:pPr>
    </w:p>
    <w:p w:rsidR="00C0409B" w:rsidRPr="00AA21C6" w:rsidRDefault="00C0409B" w:rsidP="00C0409B">
      <w:pPr>
        <w:pStyle w:val="ONUMFS"/>
        <w:numPr>
          <w:ilvl w:val="0"/>
          <w:numId w:val="0"/>
        </w:numPr>
        <w:rPr>
          <w:b/>
          <w:bCs/>
          <w:szCs w:val="22"/>
          <w:lang w:val="es-ES"/>
        </w:rPr>
      </w:pPr>
      <w:r w:rsidRPr="00AA21C6">
        <w:rPr>
          <w:b/>
          <w:bCs/>
          <w:szCs w:val="22"/>
          <w:lang w:val="es-ES"/>
        </w:rPr>
        <w:t>Acceso y participación en los beneficios</w:t>
      </w:r>
      <w:r w:rsidRPr="00AA21C6">
        <w:rPr>
          <w:rStyle w:val="FootnoteReference"/>
          <w:b/>
          <w:bCs/>
          <w:szCs w:val="22"/>
          <w:lang w:val="es-ES"/>
        </w:rPr>
        <w:footnoteReference w:customMarkFollows="1" w:id="4"/>
        <w:t>*</w:t>
      </w:r>
    </w:p>
    <w:p w:rsidR="00C0409B" w:rsidRPr="00AA21C6" w:rsidRDefault="00C0409B" w:rsidP="00C0409B">
      <w:pPr>
        <w:pStyle w:val="ONUMFS"/>
        <w:numPr>
          <w:ilvl w:val="0"/>
          <w:numId w:val="0"/>
        </w:numPr>
        <w:rPr>
          <w:szCs w:val="22"/>
          <w:lang w:val="es-ES"/>
        </w:rPr>
      </w:pPr>
      <w:r w:rsidRPr="00AA21C6">
        <w:rPr>
          <w:szCs w:val="22"/>
          <w:lang w:val="es-ES"/>
        </w:rPr>
        <w:t xml:space="preserve">El </w:t>
      </w:r>
      <w:r w:rsidRPr="00672806">
        <w:rPr>
          <w:i/>
          <w:szCs w:val="22"/>
          <w:lang w:val="es-ES"/>
        </w:rPr>
        <w:t>Convenio sobre la Diversidad Biológica</w:t>
      </w:r>
      <w:r w:rsidRPr="00AA21C6">
        <w:rPr>
          <w:szCs w:val="22"/>
          <w:lang w:val="es-ES"/>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(Artículo 1)</w:t>
      </w:r>
    </w:p>
    <w:p w:rsidR="00C0409B" w:rsidRPr="00AA21C6" w:rsidRDefault="00C0409B" w:rsidP="00C0409B">
      <w:pPr>
        <w:pStyle w:val="ONUMFS"/>
        <w:numPr>
          <w:ilvl w:val="0"/>
          <w:numId w:val="0"/>
        </w:numPr>
        <w:rPr>
          <w:szCs w:val="22"/>
          <w:lang w:val="es-ES"/>
        </w:rPr>
      </w:pPr>
      <w:r w:rsidRPr="00AA21C6">
        <w:rPr>
          <w:szCs w:val="22"/>
          <w:lang w:val="es-ES"/>
        </w:rPr>
        <w:t xml:space="preserve">El </w:t>
      </w:r>
      <w:r w:rsidRPr="00672806">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C0409B" w:rsidRPr="00AA21C6" w:rsidRDefault="00C0409B" w:rsidP="00C0409B">
      <w:pPr>
        <w:pStyle w:val="ONUMFS"/>
        <w:numPr>
          <w:ilvl w:val="0"/>
          <w:numId w:val="0"/>
        </w:numPr>
        <w:rPr>
          <w:szCs w:val="22"/>
          <w:lang w:val="es-ES"/>
        </w:rPr>
      </w:pPr>
      <w:r w:rsidRPr="00AA21C6">
        <w:rPr>
          <w:szCs w:val="22"/>
          <w:lang w:val="es-ES"/>
        </w:rPr>
        <w:t xml:space="preserve">En lo que respecta a los recursos fitogenéticos para la alimentación y la agricultura, el </w:t>
      </w:r>
      <w:r w:rsidRPr="00672806">
        <w:rPr>
          <w:i/>
          <w:szCs w:val="22"/>
          <w:lang w:val="es-ES"/>
        </w:rPr>
        <w:t>Tratado Internacional sobre los Recursos Fitogenéticos para la Alimentación y la Agricultura</w:t>
      </w:r>
      <w:r w:rsidRPr="00AA21C6">
        <w:rPr>
          <w:szCs w:val="22"/>
          <w:lang w:val="es-ES"/>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 de la </w:t>
      </w:r>
      <w:r w:rsidRPr="00672806">
        <w:rPr>
          <w:i/>
          <w:szCs w:val="22"/>
          <w:lang w:val="es-ES"/>
        </w:rPr>
        <w:t>Decisión 391 de la Comunidad Andina acerca de un Régimen Común sobre Acceso a los Recursos Genéticos</w:t>
      </w:r>
      <w:r w:rsidRPr="00AA21C6">
        <w:rPr>
          <w:szCs w:val="22"/>
          <w:lang w:val="es-ES"/>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C0409B" w:rsidRPr="00AA21C6" w:rsidRDefault="00C0409B" w:rsidP="00C0409B">
      <w:pPr>
        <w:pStyle w:val="ONUMFS"/>
        <w:numPr>
          <w:ilvl w:val="0"/>
          <w:numId w:val="0"/>
        </w:numPr>
        <w:rPr>
          <w:szCs w:val="22"/>
          <w:lang w:val="es-ES"/>
        </w:rPr>
      </w:pPr>
      <w:r w:rsidRPr="00AA21C6">
        <w:rPr>
          <w:szCs w:val="22"/>
          <w:lang w:val="es-ES"/>
        </w:rPr>
        <w:t xml:space="preserve">Los beneficios pueden ser monetarios y no monetarios, incluidos pero sin limitarse a aquellos indicados en el Anexo al </w:t>
      </w:r>
      <w:r w:rsidRPr="00672806">
        <w:rPr>
          <w:i/>
          <w:szCs w:val="22"/>
          <w:lang w:val="es-ES"/>
        </w:rPr>
        <w:t>Protocolo de Nagoya</w:t>
      </w:r>
      <w:r w:rsidRPr="00AA21C6">
        <w:rPr>
          <w:szCs w:val="22"/>
          <w:lang w:val="es-ES"/>
        </w:rPr>
        <w:t>.</w:t>
      </w:r>
      <w:r w:rsidRPr="00AA21C6">
        <w:rPr>
          <w:rStyle w:val="FootnoteReference"/>
          <w:szCs w:val="22"/>
          <w:lang w:val="es-ES"/>
        </w:rPr>
        <w:footnoteReference w:id="5"/>
      </w:r>
      <w:r w:rsidRPr="00AA21C6">
        <w:rPr>
          <w:szCs w:val="22"/>
          <w:lang w:val="es-ES"/>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AA21C6">
        <w:rPr>
          <w:rStyle w:val="FootnoteReference"/>
          <w:szCs w:val="22"/>
          <w:lang w:val="es-ES"/>
        </w:rPr>
        <w:footnoteReference w:id="6"/>
      </w:r>
    </w:p>
    <w:p w:rsidR="00C0409B" w:rsidRPr="00AA21C6" w:rsidRDefault="00C0409B" w:rsidP="00C0409B">
      <w:pPr>
        <w:pStyle w:val="ONUMFS"/>
        <w:numPr>
          <w:ilvl w:val="0"/>
          <w:numId w:val="0"/>
        </w:numPr>
        <w:rPr>
          <w:b/>
          <w:bCs/>
          <w:szCs w:val="22"/>
          <w:lang w:val="es-ES"/>
        </w:rPr>
      </w:pPr>
      <w:r w:rsidRPr="00AA21C6">
        <w:rPr>
          <w:b/>
          <w:bCs/>
          <w:szCs w:val="22"/>
          <w:lang w:val="es-ES"/>
        </w:rPr>
        <w:t>Adaptación</w:t>
      </w:r>
    </w:p>
    <w:p w:rsidR="00C0409B" w:rsidRPr="00AA21C6" w:rsidRDefault="00C0409B" w:rsidP="00C0409B">
      <w:pPr>
        <w:pStyle w:val="ONUMFS"/>
        <w:numPr>
          <w:ilvl w:val="0"/>
          <w:numId w:val="0"/>
        </w:numPr>
        <w:rPr>
          <w:szCs w:val="22"/>
          <w:lang w:val="es-ES"/>
        </w:rPr>
      </w:pPr>
      <w:bookmarkStart w:id="5" w:name="_Ref289433821"/>
      <w:bookmarkEnd w:id="5"/>
      <w:r w:rsidRPr="00AA21C6">
        <w:rPr>
          <w:szCs w:val="22"/>
          <w:lang w:val="es-ES"/>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w:t>
      </w:r>
      <w:r w:rsidRPr="00AA21C6">
        <w:rPr>
          <w:szCs w:val="22"/>
          <w:lang w:val="es-ES"/>
        </w:rPr>
        <w:lastRenderedPageBreak/>
        <w:t>obra preexistente y los nuevos, añadidos como resultado de la modificación, quedan fusionados.</w:t>
      </w:r>
      <w:r w:rsidRPr="00AA21C6">
        <w:rPr>
          <w:rStyle w:val="FootnoteReference"/>
          <w:szCs w:val="22"/>
          <w:lang w:val="es-ES"/>
        </w:rPr>
        <w:footnoteReference w:id="7"/>
      </w:r>
      <w:r w:rsidRPr="00AA21C6">
        <w:rPr>
          <w:szCs w:val="22"/>
          <w:lang w:val="es-ES"/>
        </w:rPr>
        <w:t xml:space="preserve">  En el artículo 12 del </w:t>
      </w:r>
      <w:r w:rsidRPr="00672806">
        <w:rPr>
          <w:i/>
          <w:szCs w:val="22"/>
          <w:lang w:val="es-ES"/>
        </w:rPr>
        <w:t>Convenio de Berna para la Protección de las Obras Literarias y Artísticas</w:t>
      </w:r>
      <w:r w:rsidRPr="00AA21C6">
        <w:rPr>
          <w:szCs w:val="22"/>
          <w:lang w:val="es-ES"/>
        </w:rPr>
        <w:t xml:space="preserve"> (1971) se establece que los autores de obras literarias o artísticas gozarán del derecho exclusivo de autorizar las adaptaciones, arreglos y otras transformaciones de sus obras.  Según </w:t>
      </w:r>
      <w:r w:rsidRPr="00672806">
        <w:rPr>
          <w:szCs w:val="22"/>
          <w:lang w:val="es-ES"/>
        </w:rPr>
        <w:t xml:space="preserve">el </w:t>
      </w:r>
      <w:r w:rsidRPr="00672806">
        <w:rPr>
          <w:iCs/>
          <w:szCs w:val="22"/>
          <w:lang w:val="es-ES"/>
        </w:rPr>
        <w:t>Diccionario de la Lengua Española</w:t>
      </w:r>
      <w:r w:rsidRPr="00672806">
        <w:rPr>
          <w:szCs w:val="22"/>
          <w:lang w:val="es-ES"/>
        </w:rPr>
        <w:t xml:space="preserve"> de la Real Academia Española y también el </w:t>
      </w:r>
      <w:r w:rsidRPr="00672806">
        <w:rPr>
          <w:iCs/>
          <w:szCs w:val="22"/>
          <w:lang w:val="es-ES"/>
        </w:rPr>
        <w:t>Black’s Law Dictionary</w:t>
      </w:r>
      <w:r w:rsidRPr="00AA21C6">
        <w:rPr>
          <w:iCs/>
          <w:szCs w:val="22"/>
          <w:lang w:val="es-ES"/>
        </w:rPr>
        <w:t xml:space="preserve">, </w:t>
      </w:r>
      <w:r w:rsidRPr="00AA21C6">
        <w:rPr>
          <w:szCs w:val="22"/>
          <w:lang w:val="es-ES"/>
        </w:rPr>
        <w:t>los titulares de las obras protegidas gozan del derecho exclusivo de realizar obras derivadas o adaptaciones de dichas obras.</w:t>
      </w:r>
      <w:r w:rsidRPr="00AA21C6">
        <w:rPr>
          <w:rStyle w:val="FootnoteReference"/>
          <w:iCs/>
          <w:szCs w:val="22"/>
          <w:lang w:val="es-ES"/>
        </w:rPr>
        <w:footnoteReference w:id="8"/>
      </w:r>
    </w:p>
    <w:p w:rsidR="00C0409B" w:rsidRPr="00AA21C6" w:rsidRDefault="00C0409B" w:rsidP="00C0409B">
      <w:pPr>
        <w:pStyle w:val="ONUMFS"/>
        <w:numPr>
          <w:ilvl w:val="0"/>
          <w:numId w:val="0"/>
        </w:numPr>
        <w:rPr>
          <w:b/>
          <w:szCs w:val="22"/>
          <w:lang w:val="es-ES"/>
        </w:rPr>
      </w:pPr>
      <w:r w:rsidRPr="00AA21C6">
        <w:rPr>
          <w:b/>
          <w:szCs w:val="22"/>
          <w:lang w:val="es-ES"/>
        </w:rPr>
        <w:t>Aprobación y participación</w:t>
      </w:r>
    </w:p>
    <w:p w:rsidR="00C0409B" w:rsidRPr="00AA21C6" w:rsidRDefault="00C0409B" w:rsidP="00C0409B">
      <w:pPr>
        <w:pStyle w:val="ONUMFS"/>
        <w:numPr>
          <w:ilvl w:val="0"/>
          <w:numId w:val="0"/>
        </w:numPr>
        <w:rPr>
          <w:szCs w:val="22"/>
          <w:lang w:val="es-ES"/>
        </w:rPr>
      </w:pPr>
      <w:r w:rsidRPr="00AA21C6">
        <w:rPr>
          <w:szCs w:val="22"/>
          <w:lang w:val="es-ES"/>
        </w:rPr>
        <w:t xml:space="preserve">No existe una definición estandarizada de esta expresión.  En un determinado contexto se ha sostenido que, si bien en el artículo 8.j) del </w:t>
      </w:r>
      <w:r w:rsidRPr="00765094">
        <w:rPr>
          <w:i/>
          <w:szCs w:val="22"/>
          <w:lang w:val="es-ES"/>
        </w:rPr>
        <w:t>Convenio sobre la Diversidad Biológica</w:t>
      </w:r>
      <w:r w:rsidRPr="00AA21C6">
        <w:rPr>
          <w:szCs w:val="22"/>
          <w:lang w:val="es-ES"/>
        </w:rPr>
        <w:t xml:space="preserve"> (1992) figura la frase “la aprobación y la participación”, diversas decisiones interpretativas que se adoptaron sobre ese mismo artículo 8.j) concluyen de forma invariable que significa “consentimiento fundamentado previo.”</w:t>
      </w:r>
      <w:r w:rsidRPr="00AA21C6">
        <w:rPr>
          <w:rStyle w:val="FootnoteReference"/>
          <w:szCs w:val="22"/>
          <w:lang w:val="es-ES"/>
        </w:rPr>
        <w:footnoteReference w:id="9"/>
      </w:r>
    </w:p>
    <w:p w:rsidR="00C0409B" w:rsidRPr="00AA21C6" w:rsidRDefault="00C0409B" w:rsidP="00C0409B">
      <w:pPr>
        <w:pStyle w:val="ONUMFS"/>
        <w:numPr>
          <w:ilvl w:val="0"/>
          <w:numId w:val="0"/>
        </w:numPr>
        <w:rPr>
          <w:b/>
          <w:caps/>
          <w:szCs w:val="22"/>
          <w:lang w:val="es-ES"/>
        </w:rPr>
      </w:pPr>
      <w:r w:rsidRPr="00AA21C6">
        <w:rPr>
          <w:b/>
          <w:szCs w:val="22"/>
          <w:lang w:val="es-ES"/>
        </w:rPr>
        <w:t>Conocimientos tradicionales conexos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1.2.a) de la “Contribución de los países de ideas afines a los objetivos y principios sobre la protección de los recursos genéticos y </w:t>
      </w:r>
      <w:r w:rsidRPr="00AA21C6">
        <w:rPr>
          <w:snapToGrid w:val="0"/>
          <w:szCs w:val="22"/>
          <w:lang w:val="es-ES"/>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C0409B" w:rsidRPr="00AA21C6" w:rsidRDefault="00C0409B" w:rsidP="00C0409B">
      <w:pPr>
        <w:pStyle w:val="ONUMFS"/>
        <w:numPr>
          <w:ilvl w:val="0"/>
          <w:numId w:val="0"/>
        </w:numPr>
        <w:rPr>
          <w:b/>
          <w:szCs w:val="22"/>
          <w:lang w:val="es-ES"/>
        </w:rPr>
      </w:pPr>
      <w:r w:rsidRPr="00AA21C6">
        <w:rPr>
          <w:b/>
          <w:szCs w:val="22"/>
          <w:lang w:val="es-ES"/>
        </w:rPr>
        <w:t>Beneficiarios</w:t>
      </w:r>
    </w:p>
    <w:p w:rsidR="00C0409B" w:rsidRPr="00AA21C6" w:rsidRDefault="00C0409B" w:rsidP="00C0409B">
      <w:pPr>
        <w:pStyle w:val="ONUMFS"/>
        <w:numPr>
          <w:ilvl w:val="0"/>
          <w:numId w:val="0"/>
        </w:numPr>
        <w:rPr>
          <w:szCs w:val="22"/>
          <w:lang w:val="es-ES"/>
        </w:rPr>
      </w:pPr>
      <w:r w:rsidRPr="00AA21C6">
        <w:rPr>
          <w:szCs w:val="22"/>
          <w:lang w:val="es-ES"/>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AA21C6">
        <w:rPr>
          <w:rStyle w:val="FootnoteReference"/>
          <w:szCs w:val="22"/>
          <w:lang w:val="es-ES"/>
        </w:rPr>
        <w:footnoteReference w:id="10"/>
      </w:r>
    </w:p>
    <w:p w:rsidR="00C0409B" w:rsidRPr="00AA21C6" w:rsidRDefault="00C0409B" w:rsidP="00C0409B">
      <w:pPr>
        <w:pStyle w:val="ONUMFS"/>
        <w:numPr>
          <w:ilvl w:val="0"/>
          <w:numId w:val="0"/>
        </w:numPr>
        <w:rPr>
          <w:szCs w:val="22"/>
          <w:lang w:val="es-ES"/>
        </w:rPr>
      </w:pPr>
      <w:r w:rsidRPr="00AA21C6">
        <w:rPr>
          <w:szCs w:val="22"/>
          <w:lang w:val="es-ES"/>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C0409B" w:rsidRPr="00AA21C6" w:rsidRDefault="00C0409B" w:rsidP="00C0409B">
      <w:pPr>
        <w:pStyle w:val="ONUMFS"/>
        <w:numPr>
          <w:ilvl w:val="0"/>
          <w:numId w:val="0"/>
        </w:numPr>
        <w:rPr>
          <w:szCs w:val="22"/>
          <w:lang w:val="es-ES"/>
        </w:rPr>
      </w:pPr>
      <w:r w:rsidRPr="00AA21C6">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783849" w:rsidRDefault="00C0409B" w:rsidP="00C0409B">
      <w:pPr>
        <w:pStyle w:val="ONUMFS"/>
        <w:keepNext/>
        <w:keepLines/>
        <w:numPr>
          <w:ilvl w:val="0"/>
          <w:numId w:val="0"/>
        </w:numPr>
        <w:rPr>
          <w:b/>
          <w:szCs w:val="22"/>
          <w:lang w:val="es-ES"/>
        </w:rPr>
      </w:pPr>
      <w:r w:rsidRPr="00AA21C6">
        <w:rPr>
          <w:b/>
          <w:snapToGrid w:val="0"/>
          <w:szCs w:val="22"/>
          <w:lang w:val="es-ES"/>
        </w:rPr>
        <w:lastRenderedPageBreak/>
        <w:t>Diversidad biológica</w:t>
      </w:r>
    </w:p>
    <w:p w:rsidR="00C0409B" w:rsidRPr="00783849" w:rsidRDefault="00C0409B" w:rsidP="00C0409B">
      <w:pPr>
        <w:pStyle w:val="ONUMFS"/>
        <w:keepNext/>
        <w:keepLines/>
        <w:numPr>
          <w:ilvl w:val="0"/>
          <w:numId w:val="0"/>
        </w:numPr>
        <w:rPr>
          <w:b/>
          <w:szCs w:val="22"/>
          <w:lang w:val="es-ES"/>
        </w:rPr>
      </w:pPr>
      <w:r w:rsidRPr="00AA21C6">
        <w:rPr>
          <w:szCs w:val="22"/>
          <w:lang w:val="es-ES"/>
        </w:rPr>
        <w:t xml:space="preserve">En el </w:t>
      </w:r>
      <w:r w:rsidRPr="00AA21C6">
        <w:rPr>
          <w:snapToGrid w:val="0"/>
          <w:szCs w:val="22"/>
          <w:lang w:val="es-ES"/>
        </w:rPr>
        <w:t xml:space="preserve">artículo 2 del </w:t>
      </w:r>
      <w:r w:rsidRPr="00765094">
        <w:rPr>
          <w:i/>
          <w:snapToGrid w:val="0"/>
          <w:szCs w:val="22"/>
          <w:lang w:val="es-ES"/>
        </w:rPr>
        <w:t>Convenio sobre la Diversidad Biológica</w:t>
      </w:r>
      <w:r w:rsidRPr="00AA21C6">
        <w:rPr>
          <w:snapToGrid w:val="0"/>
          <w:szCs w:val="22"/>
          <w:lang w:val="es-ES"/>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C0409B" w:rsidRPr="00AA21C6" w:rsidRDefault="00C0409B" w:rsidP="00C0409B">
      <w:pPr>
        <w:pStyle w:val="ONUMFS"/>
        <w:numPr>
          <w:ilvl w:val="0"/>
          <w:numId w:val="0"/>
        </w:numPr>
        <w:rPr>
          <w:b/>
          <w:szCs w:val="22"/>
          <w:lang w:val="es-ES"/>
        </w:rPr>
      </w:pPr>
      <w:r w:rsidRPr="00AA21C6">
        <w:rPr>
          <w:b/>
          <w:bCs/>
          <w:szCs w:val="22"/>
          <w:lang w:val="es-ES"/>
        </w:rPr>
        <w:t>Materia biológica</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765094">
        <w:rPr>
          <w:i/>
          <w:szCs w:val="22"/>
          <w:lang w:val="es-ES"/>
        </w:rPr>
        <w:t>Directiva de la Unión Europea sobre la protección jurídica de las invenciones biotecnológicas</w:t>
      </w:r>
      <w:r w:rsidRPr="00AA21C6">
        <w:rPr>
          <w:szCs w:val="22"/>
          <w:lang w:val="es-ES"/>
        </w:rPr>
        <w:t>, el término se define como “toda materia que contenga información genética y sea autorreproducible o reproducible en un sistema biológico”.</w:t>
      </w:r>
      <w:r w:rsidRPr="00AA21C6">
        <w:rPr>
          <w:rStyle w:val="FootnoteReference"/>
          <w:szCs w:val="22"/>
          <w:lang w:val="es-ES"/>
        </w:rPr>
        <w:footnoteReference w:id="11"/>
      </w:r>
      <w:r w:rsidRPr="00AA21C6">
        <w:rPr>
          <w:szCs w:val="22"/>
          <w:lang w:val="es-ES"/>
        </w:rPr>
        <w:t xml:space="preserve">  Con arreglo al Código de Reglamentos Federales estadounidense, debería incluirse, con respecto a este término, “material capaz de autorreproducirse directa o indirectamente”.</w:t>
      </w:r>
      <w:r w:rsidRPr="00AA21C6">
        <w:rPr>
          <w:rStyle w:val="FootnoteReference"/>
          <w:szCs w:val="22"/>
          <w:lang w:val="es-ES"/>
        </w:rPr>
        <w:footnoteReference w:id="12"/>
      </w:r>
      <w:r w:rsidRPr="00AA21C6">
        <w:rPr>
          <w:szCs w:val="22"/>
          <w:lang w:val="es-ES"/>
        </w:rPr>
        <w:t xml:space="preserve">  En el </w:t>
      </w:r>
      <w:r w:rsidRPr="00765094">
        <w:rPr>
          <w:i/>
          <w:snapToGrid w:val="0"/>
          <w:szCs w:val="22"/>
          <w:lang w:val="es-ES"/>
        </w:rPr>
        <w:t>Convenio sobre la Diversidad Biológica</w:t>
      </w:r>
      <w:r w:rsidRPr="00AA21C6">
        <w:rPr>
          <w:snapToGrid w:val="0"/>
          <w:szCs w:val="22"/>
          <w:lang w:val="es-ES"/>
        </w:rPr>
        <w:t xml:space="preserve"> (1992) </w:t>
      </w:r>
      <w:r w:rsidRPr="00AA21C6">
        <w:rPr>
          <w:szCs w:val="22"/>
          <w:lang w:val="es-ES"/>
        </w:rPr>
        <w:t>se utilizan los términos “recursos biológicos”, “material genético” y “recursos genéticos”.</w:t>
      </w:r>
    </w:p>
    <w:p w:rsidR="00C0409B" w:rsidRPr="00AA21C6" w:rsidRDefault="00C0409B" w:rsidP="00C0409B">
      <w:pPr>
        <w:pStyle w:val="ONUMFS"/>
        <w:numPr>
          <w:ilvl w:val="0"/>
          <w:numId w:val="0"/>
        </w:numPr>
        <w:rPr>
          <w:b/>
          <w:szCs w:val="22"/>
          <w:lang w:val="es-ES"/>
        </w:rPr>
      </w:pPr>
      <w:r w:rsidRPr="00AA21C6">
        <w:rPr>
          <w:b/>
          <w:bCs/>
          <w:szCs w:val="22"/>
          <w:lang w:val="es-ES"/>
        </w:rPr>
        <w:t>Recursos biológicos</w:t>
      </w:r>
    </w:p>
    <w:p w:rsidR="00C0409B" w:rsidRPr="00AA21C6" w:rsidRDefault="00C0409B" w:rsidP="00C0409B">
      <w:pPr>
        <w:pStyle w:val="ONUMFS"/>
        <w:numPr>
          <w:ilvl w:val="0"/>
          <w:numId w:val="0"/>
        </w:numPr>
        <w:rPr>
          <w:szCs w:val="22"/>
          <w:lang w:val="es-ES"/>
        </w:rPr>
      </w:pPr>
      <w:r w:rsidRPr="00AA21C6">
        <w:rPr>
          <w:szCs w:val="22"/>
          <w:lang w:val="es-ES"/>
        </w:rPr>
        <w:t xml:space="preserve">Según la definición del artículo 2 del </w:t>
      </w:r>
      <w:r w:rsidRPr="00765094">
        <w:rPr>
          <w:i/>
          <w:snapToGrid w:val="0"/>
          <w:szCs w:val="22"/>
          <w:lang w:val="es-ES"/>
        </w:rPr>
        <w:t>Convenio sobre la Diversidad Biológica</w:t>
      </w:r>
      <w:r w:rsidRPr="00AA21C6">
        <w:rPr>
          <w:snapToGrid w:val="0"/>
          <w:szCs w:val="22"/>
          <w:lang w:val="es-ES"/>
        </w:rPr>
        <w:t xml:space="preserve"> (1992)</w:t>
      </w:r>
      <w:r w:rsidRPr="00AA21C6">
        <w:rPr>
          <w:szCs w:val="22"/>
          <w:lang w:val="es-ES"/>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 de la </w:t>
      </w:r>
      <w:r w:rsidRPr="00765094">
        <w:rPr>
          <w:i/>
          <w:szCs w:val="22"/>
          <w:lang w:val="es-ES"/>
        </w:rPr>
        <w:t>Decisión 391 de la Comunidad Andina acerca de un Régimen Común sobre Acceso a los Recursos Genéticos</w:t>
      </w:r>
      <w:r w:rsidRPr="00AA21C6">
        <w:rPr>
          <w:szCs w:val="22"/>
          <w:lang w:val="es-ES"/>
        </w:rPr>
        <w:t>, el término se define como “individuos, organismos o partes de éstos, poblaciones o cualquier componente biótico de valor o utilidad real o potencial que contiene el recurso genético u otros recursos derivados”.</w:t>
      </w:r>
    </w:p>
    <w:p w:rsidR="00C0409B" w:rsidRPr="00AA21C6" w:rsidRDefault="00C0409B" w:rsidP="00C0409B">
      <w:pPr>
        <w:pStyle w:val="ONUMFS"/>
        <w:numPr>
          <w:ilvl w:val="0"/>
          <w:numId w:val="0"/>
        </w:numPr>
        <w:rPr>
          <w:b/>
          <w:bCs/>
          <w:szCs w:val="22"/>
          <w:lang w:val="es-ES"/>
        </w:rPr>
      </w:pPr>
      <w:r w:rsidRPr="00AA21C6">
        <w:rPr>
          <w:b/>
          <w:bCs/>
          <w:szCs w:val="22"/>
          <w:lang w:val="es-ES"/>
        </w:rPr>
        <w:t>Invenciones biotecnológicas</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765094">
        <w:rPr>
          <w:i/>
          <w:szCs w:val="22"/>
          <w:lang w:val="es-ES"/>
        </w:rPr>
        <w:t>Directiva de la Unión Europea sobre la protección jurídica de las invenciones biotecnológicas</w:t>
      </w:r>
      <w:r w:rsidRPr="00AA21C6">
        <w:rPr>
          <w:szCs w:val="22"/>
          <w:lang w:val="es-ES"/>
        </w:rPr>
        <w:t>, el término se define como “invenciones que tengan por objeto un producto que esté compuesto o que contenga materia biológica o un procedimiento mediante el cual se produzca, transforme o utilice la materia biológica”.</w:t>
      </w:r>
      <w:r w:rsidRPr="00AA21C6">
        <w:rPr>
          <w:rStyle w:val="FootnoteReference"/>
          <w:szCs w:val="22"/>
          <w:lang w:val="es-ES"/>
        </w:rPr>
        <w:footnoteReference w:id="13"/>
      </w:r>
      <w:r w:rsidRPr="00AA21C6">
        <w:rPr>
          <w:szCs w:val="22"/>
          <w:lang w:val="es-ES"/>
        </w:rPr>
        <w:t xml:space="preserve">  Las invenciones biotecnológicas se clasifican en tres categorías:  procesos para la creación o modificación de organismos vivos y material biológico, el resultado de tales procesos y la utilización de dichos resultados.</w:t>
      </w:r>
      <w:r w:rsidRPr="00AA21C6">
        <w:rPr>
          <w:rStyle w:val="FootnoteReference"/>
          <w:szCs w:val="22"/>
          <w:lang w:val="es-ES"/>
        </w:rPr>
        <w:footnoteReference w:id="14"/>
      </w:r>
      <w:r w:rsidRPr="00AA21C6">
        <w:rPr>
          <w:szCs w:val="22"/>
          <w:lang w:val="es-ES"/>
        </w:rPr>
        <w:t xml:space="preserve"> </w:t>
      </w:r>
    </w:p>
    <w:p w:rsidR="00C0409B" w:rsidRPr="00AA21C6" w:rsidRDefault="00C0409B" w:rsidP="00C0409B">
      <w:pPr>
        <w:pStyle w:val="ONUMFS"/>
        <w:numPr>
          <w:ilvl w:val="0"/>
          <w:numId w:val="0"/>
        </w:numPr>
        <w:rPr>
          <w:b/>
          <w:bCs/>
          <w:szCs w:val="22"/>
          <w:lang w:val="es-ES"/>
        </w:rPr>
      </w:pPr>
      <w:r w:rsidRPr="00AA21C6">
        <w:rPr>
          <w:b/>
          <w:bCs/>
          <w:szCs w:val="22"/>
          <w:lang w:val="es-ES"/>
        </w:rPr>
        <w:t>Biotecnología</w:t>
      </w:r>
    </w:p>
    <w:p w:rsidR="00C0409B" w:rsidRPr="00AA21C6" w:rsidRDefault="00C0409B" w:rsidP="00C0409B">
      <w:pPr>
        <w:pStyle w:val="ONUMFS"/>
        <w:numPr>
          <w:ilvl w:val="0"/>
          <w:numId w:val="0"/>
        </w:numPr>
        <w:rPr>
          <w:szCs w:val="22"/>
          <w:lang w:val="es-ES"/>
        </w:rPr>
      </w:pPr>
      <w:r w:rsidRPr="00AA21C6">
        <w:rPr>
          <w:szCs w:val="22"/>
          <w:lang w:val="es-ES"/>
        </w:rPr>
        <w:t xml:space="preserve">Según el artículo 2 del </w:t>
      </w:r>
      <w:r w:rsidRPr="00765094">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w:t>
      </w:r>
      <w:r w:rsidRPr="00765094">
        <w:rPr>
          <w:rStyle w:val="Emphasis"/>
          <w:i w:val="0"/>
          <w:szCs w:val="22"/>
          <w:lang w:val="es-ES"/>
        </w:rPr>
        <w:t>biotecnología se entiende toda aplicación tecnológica que utilice sistemas biológicos y organismos vivos o sus derivados para la creación o modificación de productos o procesos para usos específicos”</w:t>
      </w:r>
      <w:r w:rsidRPr="00AA21C6">
        <w:rPr>
          <w:rStyle w:val="Emphasis"/>
          <w:szCs w:val="22"/>
          <w:lang w:val="es-ES"/>
        </w:rPr>
        <w:t xml:space="preserve">.  </w:t>
      </w:r>
      <w:r w:rsidRPr="00765094">
        <w:rPr>
          <w:rStyle w:val="Emphasis"/>
          <w:i w:val="0"/>
          <w:szCs w:val="22"/>
          <w:lang w:val="es-ES"/>
        </w:rPr>
        <w:t>En el artículo 2 del</w:t>
      </w:r>
      <w:r w:rsidRPr="00AA21C6">
        <w:rPr>
          <w:rStyle w:val="Emphasis"/>
          <w:szCs w:val="22"/>
          <w:lang w:val="es-ES"/>
        </w:rPr>
        <w:t xml:space="preserve"> </w:t>
      </w:r>
      <w:r w:rsidRPr="00765094">
        <w:rPr>
          <w:i/>
          <w:szCs w:val="22"/>
          <w:lang w:val="es-ES"/>
        </w:rPr>
        <w:t>Protocolo de Nagoya sobre Acceso a los Recursos Genéticos y Participación Justa y Equitativa en los Beneficios que se Deriven de su Utilización</w:t>
      </w:r>
      <w:r w:rsidRPr="00AA21C6">
        <w:rPr>
          <w:szCs w:val="22"/>
          <w:lang w:val="es-ES"/>
        </w:rPr>
        <w:t xml:space="preserve"> (2010) se utiliza la misma definición.</w:t>
      </w:r>
    </w:p>
    <w:p w:rsidR="00C0409B" w:rsidRPr="00765094" w:rsidRDefault="00C0409B" w:rsidP="00C0409B">
      <w:pPr>
        <w:pStyle w:val="ONUMFS"/>
        <w:keepNext/>
        <w:keepLines/>
        <w:numPr>
          <w:ilvl w:val="0"/>
          <w:numId w:val="0"/>
        </w:numPr>
        <w:rPr>
          <w:i/>
          <w:szCs w:val="22"/>
          <w:lang w:val="es-ES"/>
        </w:rPr>
      </w:pPr>
      <w:r w:rsidRPr="00765094">
        <w:rPr>
          <w:rStyle w:val="Emphasis"/>
          <w:i w:val="0"/>
          <w:szCs w:val="22"/>
          <w:lang w:val="es-ES"/>
        </w:rPr>
        <w:lastRenderedPageBreak/>
        <w:t xml:space="preserve">Según la </w:t>
      </w:r>
      <w:r w:rsidRPr="00765094">
        <w:rPr>
          <w:rStyle w:val="Emphasis"/>
          <w:szCs w:val="22"/>
          <w:lang w:val="es-ES"/>
        </w:rPr>
        <w:t>Declaración de la Organización para la Alimentación y la Agricultura (FAO) sobre biotecnología del año 2000</w:t>
      </w:r>
      <w:r w:rsidRPr="00765094">
        <w:rPr>
          <w:rStyle w:val="Emphasis"/>
          <w:i w:val="0"/>
          <w:szCs w:val="22"/>
          <w:lang w:val="es-ES"/>
        </w:rPr>
        <w:t>: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765094">
        <w:rPr>
          <w:szCs w:val="22"/>
          <w:lang w:val="es-ES"/>
        </w:rPr>
        <w:t>”.</w:t>
      </w:r>
      <w:r w:rsidRPr="00765094">
        <w:rPr>
          <w:rStyle w:val="FootnoteReference"/>
          <w:szCs w:val="22"/>
          <w:lang w:val="es-ES"/>
        </w:rPr>
        <w:footnoteReference w:id="15"/>
      </w:r>
    </w:p>
    <w:p w:rsidR="00C0409B" w:rsidRPr="00765094" w:rsidRDefault="00C0409B" w:rsidP="00C0409B">
      <w:pPr>
        <w:pStyle w:val="ONUMFS"/>
        <w:numPr>
          <w:ilvl w:val="0"/>
          <w:numId w:val="0"/>
        </w:numPr>
        <w:rPr>
          <w:i/>
          <w:szCs w:val="22"/>
          <w:lang w:val="es-ES"/>
        </w:rPr>
      </w:pPr>
      <w:r w:rsidRPr="00765094">
        <w:rPr>
          <w:rStyle w:val="Emphasis"/>
          <w:i w:val="0"/>
          <w:szCs w:val="22"/>
          <w:lang w:val="es-ES"/>
        </w:rPr>
        <w:t xml:space="preserve">En el artículo 3 del </w:t>
      </w:r>
      <w:r w:rsidRPr="00765094">
        <w:rPr>
          <w:rStyle w:val="Emphasis"/>
          <w:szCs w:val="22"/>
          <w:lang w:val="es-ES"/>
        </w:rPr>
        <w:t>Protocolo de Cartagena sobre Seguridad de la Biotecnología del Convenio sobre la Diversidad Biológica</w:t>
      </w:r>
      <w:r w:rsidRPr="00765094">
        <w:rPr>
          <w:rStyle w:val="Emphasis"/>
          <w:i w:val="0"/>
          <w:szCs w:val="22"/>
          <w:lang w:val="es-ES"/>
        </w:rPr>
        <w:t>,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C0409B" w:rsidRPr="00AA21C6" w:rsidRDefault="00C0409B" w:rsidP="00C0409B">
      <w:pPr>
        <w:pStyle w:val="ONUMFS"/>
        <w:numPr>
          <w:ilvl w:val="0"/>
          <w:numId w:val="0"/>
        </w:numPr>
        <w:rPr>
          <w:szCs w:val="22"/>
          <w:lang w:val="es-ES"/>
        </w:rPr>
      </w:pPr>
      <w:r w:rsidRPr="00AA21C6">
        <w:rPr>
          <w:szCs w:val="22"/>
          <w:lang w:val="es-ES"/>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AA21C6">
        <w:rPr>
          <w:rStyle w:val="Strong"/>
          <w:iCs/>
          <w:szCs w:val="22"/>
          <w:lang w:val="es-ES"/>
        </w:rPr>
        <w:t>.</w:t>
      </w:r>
      <w:r w:rsidRPr="00AA21C6">
        <w:rPr>
          <w:rStyle w:val="FootnoteReference"/>
          <w:bCs/>
          <w:iCs/>
          <w:szCs w:val="22"/>
          <w:lang w:val="es-ES"/>
        </w:rPr>
        <w:footnoteReference w:id="16"/>
      </w:r>
    </w:p>
    <w:p w:rsidR="00C0409B" w:rsidRPr="00AA21C6" w:rsidRDefault="00C0409B" w:rsidP="00C0409B">
      <w:pPr>
        <w:pStyle w:val="ONUMFS"/>
        <w:numPr>
          <w:ilvl w:val="0"/>
          <w:numId w:val="0"/>
        </w:numPr>
        <w:rPr>
          <w:b/>
          <w:bCs/>
          <w:szCs w:val="22"/>
          <w:lang w:val="es-ES"/>
        </w:rPr>
      </w:pPr>
      <w:r w:rsidRPr="00AA21C6">
        <w:rPr>
          <w:b/>
          <w:bCs/>
          <w:szCs w:val="22"/>
          <w:lang w:val="es-ES"/>
        </w:rPr>
        <w:t>Directrices de Bonn sobre el Acceso a los Recursos Genéticos y la Participación Justa y Equitativa en los Beneficios Provenientes de su Utilización</w:t>
      </w:r>
    </w:p>
    <w:p w:rsidR="00C0409B" w:rsidRPr="00AA21C6" w:rsidRDefault="00C0409B" w:rsidP="00C0409B">
      <w:pPr>
        <w:pStyle w:val="ONUMFS"/>
        <w:numPr>
          <w:ilvl w:val="0"/>
          <w:numId w:val="0"/>
        </w:numPr>
        <w:rPr>
          <w:szCs w:val="22"/>
          <w:lang w:val="es-ES"/>
        </w:rPr>
      </w:pPr>
      <w:r w:rsidRPr="00AA21C6">
        <w:rPr>
          <w:szCs w:val="22"/>
          <w:lang w:val="es-ES"/>
        </w:rPr>
        <w:t xml:space="preserve">Las </w:t>
      </w:r>
      <w:r w:rsidRPr="00765094">
        <w:rPr>
          <w:i/>
          <w:szCs w:val="22"/>
          <w:lang w:val="es-ES"/>
        </w:rPr>
        <w:t>Directrices de Bonn sobre el Acceso a los Recursos Genéticos y la Participación Justa y Equitativa en los Beneficios Provenientes de su Utilización</w:t>
      </w:r>
      <w:r w:rsidRPr="00AA21C6">
        <w:rPr>
          <w:szCs w:val="22"/>
          <w:lang w:val="es-ES"/>
        </w:rPr>
        <w:t xml:space="preserve"> fueron adoptadas en 2002 por la Conferencia de las Partes en el </w:t>
      </w:r>
      <w:r w:rsidRPr="00765094">
        <w:rPr>
          <w:i/>
          <w:szCs w:val="22"/>
          <w:lang w:val="es-ES"/>
        </w:rPr>
        <w:t>Convenio sobre la Diversidad Biológica</w:t>
      </w:r>
      <w:r w:rsidRPr="00AA21C6">
        <w:rPr>
          <w:szCs w:val="22"/>
          <w:lang w:val="es-ES"/>
        </w:rPr>
        <w:t xml:space="preserve"> a fin de proporcionar orientación acerca de la aplicación de las disposiciones previstas en los artículos 8.j), 10.c), 15, 16 y 19 del </w:t>
      </w:r>
      <w:r w:rsidRPr="00A120FA">
        <w:rPr>
          <w:szCs w:val="22"/>
          <w:lang w:val="es-ES"/>
        </w:rPr>
        <w:t xml:space="preserve">Convenio </w:t>
      </w:r>
      <w:r w:rsidRPr="00AA21C6">
        <w:rPr>
          <w:szCs w:val="22"/>
          <w:lang w:val="es-ES"/>
        </w:rPr>
        <w:t>(1992) relativos al acceso a los recursos genéticos y la participación en los beneficios.  Las directrices no son vinculantes y están destinadas a diversos sectores interesados.</w:t>
      </w:r>
      <w:r w:rsidRPr="00AA21C6">
        <w:rPr>
          <w:rStyle w:val="FootnoteReference"/>
          <w:szCs w:val="22"/>
          <w:lang w:val="es-ES"/>
        </w:rPr>
        <w:footnoteReference w:id="17"/>
      </w:r>
      <w:r w:rsidRPr="00AA21C6">
        <w:rPr>
          <w:szCs w:val="22"/>
          <w:lang w:val="es-ES"/>
        </w:rPr>
        <w:t xml:space="preserve">  Además, abarcan aspectos de procedimiento y reglamentación, en particular, en relación con el consentimiento fundamentado previo, y señalan formas monetarias y no monetarias de participación en los beneficios.</w:t>
      </w:r>
      <w:r w:rsidRPr="00AA21C6">
        <w:rPr>
          <w:rStyle w:val="FootnoteReference"/>
          <w:szCs w:val="22"/>
          <w:lang w:val="es-ES"/>
        </w:rPr>
        <w:footnoteReference w:id="18"/>
      </w:r>
    </w:p>
    <w:p w:rsidR="00C0409B" w:rsidRPr="00AA21C6" w:rsidRDefault="00C0409B" w:rsidP="00C0409B">
      <w:pPr>
        <w:pStyle w:val="ONUMFS"/>
        <w:numPr>
          <w:ilvl w:val="0"/>
          <w:numId w:val="0"/>
        </w:numPr>
        <w:rPr>
          <w:b/>
          <w:szCs w:val="22"/>
          <w:lang w:val="es-ES"/>
        </w:rPr>
      </w:pPr>
      <w:r w:rsidRPr="00AA21C6">
        <w:rPr>
          <w:b/>
          <w:bCs/>
          <w:szCs w:val="22"/>
          <w:lang w:val="es-ES"/>
        </w:rPr>
        <w:t xml:space="preserve">Mecanismo de facilitación del Convenio sobre la Diversidad Biológica </w:t>
      </w:r>
    </w:p>
    <w:p w:rsidR="00C0409B" w:rsidRPr="00AA21C6" w:rsidRDefault="00C0409B" w:rsidP="00C0409B">
      <w:pPr>
        <w:pStyle w:val="ONUMFS"/>
        <w:numPr>
          <w:ilvl w:val="0"/>
          <w:numId w:val="0"/>
        </w:numPr>
        <w:rPr>
          <w:szCs w:val="22"/>
          <w:lang w:val="es-ES"/>
        </w:rPr>
      </w:pPr>
      <w:r w:rsidRPr="00AA21C6">
        <w:rPr>
          <w:szCs w:val="22"/>
          <w:lang w:val="es-ES"/>
        </w:rPr>
        <w:t>Según el glosario que se utiliza en el Programa de Naciones Unidas para el Medio Ambiente, (PNUMA), el mecanismo de facilitación es un mecanismo que simplifica el intercambio de información o de transacciones entre diversas partes.</w:t>
      </w:r>
      <w:r w:rsidRPr="00AA21C6">
        <w:rPr>
          <w:rStyle w:val="FootnoteReference"/>
          <w:szCs w:val="22"/>
          <w:lang w:val="es-ES"/>
        </w:rPr>
        <w:footnoteReference w:id="19"/>
      </w:r>
      <w:r w:rsidRPr="00AA21C6">
        <w:rPr>
          <w:szCs w:val="22"/>
          <w:lang w:val="es-ES"/>
        </w:rPr>
        <w:t xml:space="preserve">  El mecanismo de facilitación del </w:t>
      </w:r>
      <w:r w:rsidRPr="006614B8">
        <w:rPr>
          <w:i/>
          <w:snapToGrid w:val="0"/>
          <w:szCs w:val="22"/>
          <w:lang w:val="es-ES"/>
        </w:rPr>
        <w:t>Convenio sobre la Diversidad Biológica</w:t>
      </w:r>
      <w:r w:rsidRPr="00AA21C6">
        <w:rPr>
          <w:i/>
          <w:snapToGrid w:val="0"/>
          <w:szCs w:val="22"/>
          <w:lang w:val="es-ES"/>
        </w:rPr>
        <w:t xml:space="preserve"> </w:t>
      </w:r>
      <w:r w:rsidRPr="00AA21C6">
        <w:rPr>
          <w:snapToGrid w:val="0"/>
          <w:szCs w:val="22"/>
          <w:lang w:val="es-ES"/>
        </w:rPr>
        <w:t>(1992) se estableció</w:t>
      </w:r>
      <w:r w:rsidRPr="00AA21C6">
        <w:rPr>
          <w:szCs w:val="22"/>
          <w:lang w:val="es-ES"/>
        </w:rPr>
        <w:t xml:space="preserve"> en virtud del artículo 18.3 del CDB.  Su finalidad es contribuir a la aplicación del Convenio mediante el fomento y la facilitación de la cooperación técnica y científica entre las partes, otros gobiernos y sectores interesados.</w:t>
      </w:r>
      <w:r w:rsidRPr="00AA21C6">
        <w:rPr>
          <w:rStyle w:val="FootnoteReference"/>
          <w:szCs w:val="22"/>
          <w:lang w:val="es-ES"/>
        </w:rPr>
        <w:footnoteReference w:id="20"/>
      </w:r>
    </w:p>
    <w:p w:rsidR="00C0409B" w:rsidRPr="00AA21C6" w:rsidRDefault="00C0409B" w:rsidP="00C0409B">
      <w:pPr>
        <w:pStyle w:val="ONUMFS"/>
        <w:keepNext/>
        <w:keepLines/>
        <w:numPr>
          <w:ilvl w:val="0"/>
          <w:numId w:val="0"/>
        </w:numPr>
        <w:rPr>
          <w:b/>
          <w:szCs w:val="22"/>
          <w:lang w:val="es-ES"/>
        </w:rPr>
      </w:pPr>
      <w:r w:rsidRPr="00AA21C6">
        <w:rPr>
          <w:b/>
          <w:bCs/>
          <w:szCs w:val="22"/>
          <w:lang w:val="es-ES"/>
        </w:rPr>
        <w:lastRenderedPageBreak/>
        <w:t>Conocimientos tradicionales codificados</w:t>
      </w:r>
    </w:p>
    <w:p w:rsidR="00C0409B" w:rsidRPr="00AA21C6" w:rsidRDefault="00C0409B" w:rsidP="00C0409B">
      <w:pPr>
        <w:pStyle w:val="ONUMFS"/>
        <w:keepNext/>
        <w:keepLines/>
        <w:numPr>
          <w:ilvl w:val="0"/>
          <w:numId w:val="0"/>
        </w:numPr>
        <w:rPr>
          <w:szCs w:val="22"/>
          <w:lang w:val="es-ES"/>
        </w:rPr>
      </w:pPr>
      <w:r w:rsidRPr="00AA21C6">
        <w:rPr>
          <w:szCs w:val="22"/>
          <w:lang w:val="es-ES"/>
        </w:rPr>
        <w:t>Por “conocimientos tradicionales codificados” se entiende “</w:t>
      </w:r>
      <w:r w:rsidRPr="00AA21C6">
        <w:rPr>
          <w:iCs/>
          <w:szCs w:val="22"/>
          <w:lang w:val="es-ES"/>
        </w:rPr>
        <w:t>conocimientos tradicionales que se presentan de una manera sistemática y estructurada, en la que los conocimientos están ordenados, organizados, clasificados y categorizados de alguna forma</w:t>
      </w:r>
      <w:r w:rsidRPr="00AA21C6">
        <w:rPr>
          <w:szCs w:val="22"/>
          <w:lang w:val="es-ES"/>
        </w:rPr>
        <w:t>”.</w:t>
      </w:r>
      <w:r w:rsidRPr="00AA21C6">
        <w:rPr>
          <w:rStyle w:val="FootnoteReference"/>
          <w:szCs w:val="22"/>
          <w:lang w:val="es-ES"/>
        </w:rPr>
        <w:footnoteReference w:id="21"/>
      </w:r>
    </w:p>
    <w:p w:rsidR="00C0409B" w:rsidRPr="00AA21C6" w:rsidRDefault="00C0409B" w:rsidP="00C0409B">
      <w:pPr>
        <w:pStyle w:val="ONUMFS"/>
        <w:numPr>
          <w:ilvl w:val="0"/>
          <w:numId w:val="0"/>
        </w:numPr>
        <w:rPr>
          <w:szCs w:val="22"/>
          <w:lang w:val="es-ES"/>
        </w:rPr>
      </w:pPr>
      <w:r w:rsidRPr="00AA21C6">
        <w:rPr>
          <w:szCs w:val="22"/>
          <w:lang w:val="es-ES"/>
        </w:rPr>
        <w:t xml:space="preserve">En el ámbito de la medicina tradicional, por ejemplo, el Equipo sobre Medicina Tradicional de la Organización Mundial de la Salud (OMS) distingue entre:  a) sistemas </w:t>
      </w:r>
      <w:r w:rsidRPr="006614B8">
        <w:rPr>
          <w:iCs/>
          <w:szCs w:val="22"/>
          <w:lang w:val="es-ES"/>
        </w:rPr>
        <w:t>codificados</w:t>
      </w:r>
      <w:r w:rsidRPr="00AA21C6">
        <w:rPr>
          <w:i/>
          <w:iCs/>
          <w:szCs w:val="22"/>
          <w:lang w:val="es-ES"/>
        </w:rPr>
        <w:t xml:space="preserve"> </w:t>
      </w:r>
      <w:r w:rsidRPr="00AA21C6">
        <w:rPr>
          <w:szCs w:val="22"/>
          <w:lang w:val="es-ES"/>
        </w:rPr>
        <w:t>de medicina tradicional, que han sido divulgados por escrito en antiguos textos y que pertenecen enteramente al dominio público, por ejemplo, la medicina Ayurveda divulgada en los antiguos textos sánscritos</w:t>
      </w:r>
      <w:r w:rsidRPr="00AA21C6">
        <w:rPr>
          <w:rStyle w:val="FootnoteReference"/>
          <w:szCs w:val="22"/>
          <w:lang w:val="es-ES"/>
        </w:rPr>
        <w:footnoteReference w:id="22"/>
      </w:r>
      <w:r w:rsidRPr="00AA21C6">
        <w:rPr>
          <w:szCs w:val="22"/>
          <w:lang w:val="es-ES"/>
        </w:rPr>
        <w:t xml:space="preserve"> o la medicina tradicional china divulgada en antiguos textos médicos chinos</w:t>
      </w:r>
      <w:r w:rsidRPr="00AA21C6">
        <w:rPr>
          <w:rStyle w:val="FootnoteReference"/>
          <w:szCs w:val="22"/>
          <w:lang w:val="es-ES"/>
        </w:rPr>
        <w:footnoteReference w:id="23"/>
      </w:r>
      <w:r w:rsidRPr="00AA21C6">
        <w:rPr>
          <w:szCs w:val="22"/>
          <w:lang w:val="es-ES"/>
        </w:rPr>
        <w:t xml:space="preserve"> y b) conocimientos de medicina tradicional </w:t>
      </w:r>
      <w:r w:rsidRPr="006614B8">
        <w:rPr>
          <w:iCs/>
          <w:szCs w:val="22"/>
          <w:lang w:val="es-ES"/>
        </w:rPr>
        <w:t>no codificados</w:t>
      </w:r>
      <w:r w:rsidRPr="00AA21C6">
        <w:rPr>
          <w:szCs w:val="22"/>
          <w:lang w:val="es-ES"/>
        </w:rPr>
        <w:t xml:space="preserve"> por escrito y que son mantenidos en secreto por los poseedores de conocimientos tradicionales, transmitiéndose oralmente de generación en generación.  Por ejemplo, en Asia meridional, los sistemas de conocimientos codificados incluyen el sistema </w:t>
      </w:r>
      <w:r w:rsidR="006614B8" w:rsidRPr="00AA21C6">
        <w:rPr>
          <w:szCs w:val="22"/>
          <w:lang w:val="es-ES"/>
        </w:rPr>
        <w:t xml:space="preserve">ayurvédico </w:t>
      </w:r>
      <w:r w:rsidRPr="00AA21C6">
        <w:rPr>
          <w:szCs w:val="22"/>
          <w:lang w:val="es-ES"/>
        </w:rPr>
        <w:t xml:space="preserve">de medicina, que está codificado en los 54 libros autorizados del sistema </w:t>
      </w:r>
      <w:r w:rsidR="006614B8" w:rsidRPr="00AA21C6">
        <w:rPr>
          <w:szCs w:val="22"/>
          <w:lang w:val="es-ES"/>
        </w:rPr>
        <w:t>ayurvédico</w:t>
      </w:r>
      <w:r w:rsidRPr="00AA21C6">
        <w:rPr>
          <w:szCs w:val="22"/>
          <w:lang w:val="es-ES"/>
        </w:rPr>
        <w:t xml:space="preserve">, el sistema </w:t>
      </w:r>
      <w:proofErr w:type="spellStart"/>
      <w:r w:rsidRPr="00AA21C6">
        <w:rPr>
          <w:szCs w:val="22"/>
          <w:lang w:val="es-ES"/>
        </w:rPr>
        <w:t>Siddha</w:t>
      </w:r>
      <w:proofErr w:type="spellEnd"/>
      <w:r w:rsidRPr="00AA21C6">
        <w:rPr>
          <w:szCs w:val="22"/>
          <w:lang w:val="es-ES"/>
        </w:rPr>
        <w:t>, codificado en 29 libros autorizados, y la tradición Unani Tibb, codificada en 13 libros autorizados.</w:t>
      </w:r>
      <w:r w:rsidRPr="00AA21C6">
        <w:rPr>
          <w:rStyle w:val="FootnoteReference"/>
          <w:szCs w:val="22"/>
          <w:lang w:val="es-ES"/>
        </w:rPr>
        <w:footnoteReference w:id="24"/>
      </w:r>
    </w:p>
    <w:p w:rsidR="00C0409B" w:rsidRPr="00AA21C6" w:rsidRDefault="00C0409B" w:rsidP="00C0409B">
      <w:pPr>
        <w:pStyle w:val="ONUMFS"/>
        <w:numPr>
          <w:ilvl w:val="0"/>
          <w:numId w:val="0"/>
        </w:numPr>
        <w:rPr>
          <w:szCs w:val="22"/>
          <w:lang w:val="es-ES"/>
        </w:rPr>
      </w:pPr>
      <w:r w:rsidRPr="00AA21C6">
        <w:rPr>
          <w:szCs w:val="22"/>
          <w:lang w:val="es-ES"/>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AA21C6">
        <w:rPr>
          <w:rStyle w:val="FootnoteReference"/>
          <w:szCs w:val="22"/>
          <w:lang w:val="es-ES"/>
        </w:rPr>
        <w:footnoteReference w:id="25"/>
      </w:r>
      <w:r w:rsidRPr="00AA21C6">
        <w:rPr>
          <w:szCs w:val="22"/>
          <w:lang w:val="es-ES"/>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C0409B" w:rsidRPr="00AA21C6" w:rsidRDefault="00C0409B" w:rsidP="00C0409B">
      <w:pPr>
        <w:pStyle w:val="ONUMFS"/>
        <w:numPr>
          <w:ilvl w:val="0"/>
          <w:numId w:val="0"/>
        </w:numPr>
        <w:rPr>
          <w:b/>
          <w:szCs w:val="22"/>
          <w:lang w:val="es-ES"/>
        </w:rPr>
      </w:pPr>
      <w:r w:rsidRPr="00AA21C6">
        <w:rPr>
          <w:b/>
          <w:bCs/>
          <w:szCs w:val="22"/>
          <w:lang w:val="es-ES"/>
        </w:rPr>
        <w:t>Consulta</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A120FA">
        <w:rPr>
          <w:iCs/>
          <w:szCs w:val="22"/>
          <w:lang w:val="es-ES"/>
        </w:rPr>
        <w:t>Diccionario de la lengua española</w:t>
      </w:r>
      <w:r w:rsidRPr="00A120FA">
        <w:rPr>
          <w:szCs w:val="22"/>
          <w:lang w:val="es-ES"/>
        </w:rPr>
        <w:t xml:space="preserve"> de la Real Academia Española, es “parecer o dictamen que por escrito o de palabra se pide o se da acerca de algo” y, a su vez, en el </w:t>
      </w:r>
      <w:r w:rsidRPr="00A120FA">
        <w:rPr>
          <w:iCs/>
          <w:szCs w:val="22"/>
          <w:lang w:val="es-ES"/>
        </w:rPr>
        <w:t>Diccionario de uso del español</w:t>
      </w:r>
      <w:r w:rsidRPr="00A120FA">
        <w:rPr>
          <w:szCs w:val="22"/>
          <w:lang w:val="es-ES"/>
        </w:rPr>
        <w:t xml:space="preserve"> de María</w:t>
      </w:r>
      <w:r w:rsidRPr="00AA21C6">
        <w:rPr>
          <w:szCs w:val="22"/>
          <w:lang w:val="es-ES"/>
        </w:rPr>
        <w:t xml:space="preserve"> Moliner “consultar” quiere decir “preguntar su opinión a otra u otras personas y tratar con ellas cierto asunto”.</w:t>
      </w:r>
    </w:p>
    <w:p w:rsidR="00C0409B" w:rsidRPr="00AA21C6" w:rsidRDefault="00C0409B" w:rsidP="00C0409B">
      <w:pPr>
        <w:pStyle w:val="ONUMFS"/>
        <w:numPr>
          <w:ilvl w:val="0"/>
          <w:numId w:val="0"/>
        </w:numPr>
        <w:rPr>
          <w:szCs w:val="22"/>
          <w:lang w:val="es-ES"/>
        </w:rPr>
      </w:pPr>
      <w:r w:rsidRPr="00AA21C6">
        <w:rPr>
          <w:szCs w:val="22"/>
          <w:lang w:val="es-ES"/>
        </w:rPr>
        <w:t xml:space="preserve">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w:t>
      </w:r>
      <w:r w:rsidRPr="00AA21C6">
        <w:rPr>
          <w:szCs w:val="22"/>
          <w:lang w:val="es-ES"/>
        </w:rPr>
        <w:lastRenderedPageBreak/>
        <w:t>del consentimiento, sino también a la persona encargada de dar ese consentimiento, y a su vez, ésta podrá conocer debidamente lo que pretenda autorizar.</w:t>
      </w:r>
      <w:r w:rsidRPr="00AA21C6">
        <w:rPr>
          <w:rStyle w:val="FootnoteReference"/>
          <w:szCs w:val="22"/>
          <w:lang w:val="es-ES"/>
        </w:rPr>
        <w:footnoteReference w:id="26"/>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6614B8">
        <w:rPr>
          <w:i/>
          <w:szCs w:val="22"/>
          <w:lang w:val="es-ES"/>
        </w:rPr>
        <w:t>Convenio Nº 169 sobre pueblos indígenas y tribales en países independientes</w:t>
      </w:r>
      <w:r w:rsidRPr="00AA21C6">
        <w:rPr>
          <w:szCs w:val="22"/>
          <w:lang w:val="es-ES"/>
        </w:rPr>
        <w:t xml:space="preserve"> (1989)</w:t>
      </w:r>
      <w:r w:rsidR="00A120FA">
        <w:rPr>
          <w:szCs w:val="22"/>
          <w:lang w:val="es-ES"/>
        </w:rPr>
        <w:t>,</w:t>
      </w:r>
      <w:r w:rsidR="00A120FA" w:rsidRPr="00A120FA">
        <w:rPr>
          <w:szCs w:val="22"/>
          <w:lang w:val="es-ES"/>
        </w:rPr>
        <w:t xml:space="preserve"> de la Organización Internacional del Trabajo (OIT), </w:t>
      </w:r>
      <w:r w:rsidRPr="00AA21C6">
        <w:rPr>
          <w:szCs w:val="22"/>
          <w:lang w:val="es-ES"/>
        </w:rPr>
        <w:t>se establece que las consultas deberán efectuarse “de buena fe y de una manera apropiada a las circunstancias, con la finalidad de llegar a un acuerdo o lograr el consentimiento acerca de las medidas propuestas” (artículo 6.2).</w:t>
      </w:r>
    </w:p>
    <w:p w:rsidR="00C0409B" w:rsidRPr="00AA21C6" w:rsidRDefault="00C0409B" w:rsidP="00C0409B">
      <w:pPr>
        <w:pStyle w:val="ONUMFS"/>
        <w:numPr>
          <w:ilvl w:val="0"/>
          <w:numId w:val="0"/>
        </w:numPr>
        <w:rPr>
          <w:b/>
          <w:szCs w:val="22"/>
          <w:lang w:val="es-ES"/>
        </w:rPr>
      </w:pPr>
      <w:r w:rsidRPr="00AA21C6">
        <w:rPr>
          <w:b/>
          <w:szCs w:val="22"/>
          <w:lang w:val="es-ES"/>
        </w:rPr>
        <w:t>Convenio sobre la Diversidad Biológica (CDB)</w:t>
      </w:r>
    </w:p>
    <w:p w:rsidR="00C0409B" w:rsidRPr="00AA21C6" w:rsidRDefault="00C0409B" w:rsidP="00C0409B">
      <w:pPr>
        <w:pStyle w:val="ONUMFS"/>
        <w:numPr>
          <w:ilvl w:val="0"/>
          <w:numId w:val="0"/>
        </w:numPr>
        <w:rPr>
          <w:szCs w:val="22"/>
          <w:lang w:val="es-ES"/>
        </w:rPr>
      </w:pPr>
      <w:r w:rsidRPr="00AA21C6">
        <w:rPr>
          <w:szCs w:val="22"/>
          <w:lang w:val="es-ES"/>
        </w:rPr>
        <w:t>Convenio internacional adoptado en 1992 durante la Conferencia de las Naciones Unidas sobre el Medio Ambiente y el Desarrollo, celebrada en Río de Janeiro (Brasil).  Conforme a su artículo 1, tiene por objetivos “</w:t>
      </w:r>
      <w:r w:rsidRPr="00AA21C6">
        <w:rPr>
          <w:iCs/>
          <w:szCs w:val="22"/>
          <w:lang w:val="es-ES"/>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AA21C6">
        <w:rPr>
          <w:szCs w:val="22"/>
          <w:lang w:val="es-ES"/>
        </w:rPr>
        <w:t>El CDB entró en vigor el 29 de diciembre de 1993.</w:t>
      </w:r>
    </w:p>
    <w:p w:rsidR="00C0409B" w:rsidRPr="00AA21C6" w:rsidRDefault="00C0409B" w:rsidP="00C0409B">
      <w:pPr>
        <w:pStyle w:val="ONUMFS"/>
        <w:numPr>
          <w:ilvl w:val="0"/>
          <w:numId w:val="0"/>
        </w:numPr>
        <w:rPr>
          <w:b/>
          <w:szCs w:val="22"/>
          <w:lang w:val="es-ES"/>
        </w:rPr>
      </w:pPr>
      <w:r w:rsidRPr="00AA21C6">
        <w:rPr>
          <w:b/>
          <w:bCs/>
          <w:szCs w:val="22"/>
          <w:lang w:val="es-ES"/>
        </w:rPr>
        <w:t>País de origen de los recursos genéticos</w:t>
      </w:r>
    </w:p>
    <w:p w:rsidR="00C0409B" w:rsidRPr="00AA21C6" w:rsidRDefault="00C0409B" w:rsidP="00C0409B">
      <w:pPr>
        <w:pStyle w:val="ONUMFS"/>
        <w:numPr>
          <w:ilvl w:val="0"/>
          <w:numId w:val="0"/>
        </w:numPr>
        <w:rPr>
          <w:szCs w:val="22"/>
          <w:lang w:val="es-ES"/>
        </w:rPr>
      </w:pPr>
      <w:r w:rsidRPr="00AA21C6">
        <w:rPr>
          <w:szCs w:val="22"/>
          <w:lang w:val="es-ES"/>
        </w:rPr>
        <w:t xml:space="preserve">Según el artículo 2 del </w:t>
      </w:r>
      <w:r w:rsidRPr="006614B8">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país de origen de recursos genéticos se entiende el país que posee esos recursos genéticos en condiciones </w:t>
      </w:r>
      <w:r w:rsidRPr="00AA21C6">
        <w:rPr>
          <w:i/>
          <w:iCs/>
          <w:szCs w:val="22"/>
          <w:lang w:val="es-ES"/>
        </w:rPr>
        <w:t>in situ</w:t>
      </w:r>
      <w:r w:rsidRPr="00AA21C6">
        <w:rPr>
          <w:szCs w:val="22"/>
          <w:lang w:val="es-ES"/>
        </w:rPr>
        <w:t xml:space="preserve">”.  En otras definiciones se incluyen recursos genéticos en condiciones </w:t>
      </w:r>
      <w:r w:rsidRPr="00AA21C6">
        <w:rPr>
          <w:i/>
          <w:iCs/>
          <w:szCs w:val="22"/>
          <w:lang w:val="es-ES"/>
        </w:rPr>
        <w:t>ex situ</w:t>
      </w:r>
      <w:r w:rsidRPr="00AA21C6">
        <w:rPr>
          <w:szCs w:val="22"/>
          <w:lang w:val="es-ES"/>
        </w:rPr>
        <w:t xml:space="preserve">.  Por ejemplo, en el artículo 1 de la </w:t>
      </w:r>
      <w:r w:rsidRPr="006614B8">
        <w:rPr>
          <w:i/>
          <w:szCs w:val="22"/>
          <w:lang w:val="es-ES"/>
        </w:rPr>
        <w:t>Decisión 391 de la Comunidad Andina acerca de un Régimen Común sobre Acceso a los Recursos Genéticos</w:t>
      </w:r>
      <w:r w:rsidRPr="00AA21C6">
        <w:rPr>
          <w:szCs w:val="22"/>
          <w:lang w:val="es-ES"/>
        </w:rPr>
        <w:t xml:space="preserve">, el término “país de origen” se define como “país que posee los recursos genéticos en condiciones </w:t>
      </w:r>
      <w:r w:rsidRPr="00AA21C6">
        <w:rPr>
          <w:i/>
          <w:iCs/>
          <w:szCs w:val="22"/>
          <w:lang w:val="es-ES"/>
        </w:rPr>
        <w:t>in situ</w:t>
      </w:r>
      <w:r w:rsidRPr="00AA21C6">
        <w:rPr>
          <w:szCs w:val="22"/>
          <w:lang w:val="es-ES"/>
        </w:rPr>
        <w:t xml:space="preserve">, incluyendo aquellos que habiendo estado en dichas condiciones, se encuentran en condiciones </w:t>
      </w:r>
      <w:r w:rsidRPr="00AA21C6">
        <w:rPr>
          <w:i/>
          <w:iCs/>
          <w:szCs w:val="22"/>
          <w:lang w:val="es-ES"/>
        </w:rPr>
        <w:t>ex situ</w:t>
      </w:r>
      <w:r w:rsidRPr="00AA21C6">
        <w:rPr>
          <w:szCs w:val="22"/>
          <w:lang w:val="es-ES"/>
        </w:rPr>
        <w:t>”.</w:t>
      </w:r>
    </w:p>
    <w:p w:rsidR="00C0409B" w:rsidRPr="00AA21C6" w:rsidRDefault="00C0409B" w:rsidP="00C0409B">
      <w:pPr>
        <w:pStyle w:val="ONUMFS"/>
        <w:numPr>
          <w:ilvl w:val="0"/>
          <w:numId w:val="0"/>
        </w:numPr>
        <w:rPr>
          <w:b/>
          <w:szCs w:val="22"/>
          <w:lang w:val="es-ES"/>
        </w:rPr>
      </w:pPr>
      <w:r w:rsidRPr="00AA21C6">
        <w:rPr>
          <w:b/>
          <w:bCs/>
          <w:szCs w:val="22"/>
          <w:lang w:val="es-ES"/>
        </w:rPr>
        <w:t>País que aporta recursos genéticos</w:t>
      </w:r>
    </w:p>
    <w:p w:rsidR="00C0409B" w:rsidRPr="00AA21C6" w:rsidRDefault="00C0409B" w:rsidP="00C0409B">
      <w:pPr>
        <w:pStyle w:val="ONUMFS"/>
        <w:numPr>
          <w:ilvl w:val="0"/>
          <w:numId w:val="0"/>
        </w:numPr>
        <w:rPr>
          <w:szCs w:val="22"/>
          <w:lang w:val="es-ES"/>
        </w:rPr>
      </w:pPr>
      <w:r w:rsidRPr="00AA21C6">
        <w:rPr>
          <w:szCs w:val="22"/>
          <w:lang w:val="es-ES"/>
        </w:rPr>
        <w:t xml:space="preserve">Según el artículo 2 del </w:t>
      </w:r>
      <w:r w:rsidRPr="006614B8">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país que aporta recursos genéticos se entiende el país que suministra recursos genéticos obtenidos de fuentes </w:t>
      </w:r>
      <w:r w:rsidRPr="00AA21C6">
        <w:rPr>
          <w:i/>
          <w:iCs/>
          <w:szCs w:val="22"/>
          <w:lang w:val="es-ES"/>
        </w:rPr>
        <w:t>in situ</w:t>
      </w:r>
      <w:r w:rsidRPr="00AA21C6">
        <w:rPr>
          <w:szCs w:val="22"/>
          <w:lang w:val="es-ES"/>
        </w:rPr>
        <w:t xml:space="preserve">, incluidas las poblaciones de especies silvestres y domesticadas, o de fuentes </w:t>
      </w:r>
      <w:r w:rsidRPr="00AA21C6">
        <w:rPr>
          <w:i/>
          <w:iCs/>
          <w:szCs w:val="22"/>
          <w:lang w:val="es-ES"/>
        </w:rPr>
        <w:t>ex situ</w:t>
      </w:r>
      <w:r w:rsidRPr="00AA21C6">
        <w:rPr>
          <w:szCs w:val="22"/>
          <w:lang w:val="es-ES"/>
        </w:rPr>
        <w:t>, que pueden tener o no su origen en ese país”.</w:t>
      </w:r>
    </w:p>
    <w:p w:rsidR="00C0409B" w:rsidRPr="00AA21C6" w:rsidRDefault="00C0409B" w:rsidP="00C0409B">
      <w:pPr>
        <w:pStyle w:val="ONUMFS"/>
        <w:numPr>
          <w:ilvl w:val="0"/>
          <w:numId w:val="0"/>
        </w:numPr>
        <w:rPr>
          <w:b/>
          <w:szCs w:val="22"/>
          <w:lang w:val="es-ES"/>
        </w:rPr>
      </w:pPr>
      <w:r w:rsidRPr="00AA21C6">
        <w:rPr>
          <w:b/>
          <w:bCs/>
          <w:szCs w:val="22"/>
          <w:lang w:val="es-ES"/>
        </w:rPr>
        <w:t>Comunidad cultural</w:t>
      </w:r>
    </w:p>
    <w:p w:rsidR="00C0409B" w:rsidRPr="00AA21C6" w:rsidRDefault="00C0409B" w:rsidP="00C0409B">
      <w:pPr>
        <w:pStyle w:val="ONUMFS"/>
        <w:numPr>
          <w:ilvl w:val="0"/>
          <w:numId w:val="0"/>
        </w:numPr>
        <w:rPr>
          <w:szCs w:val="22"/>
          <w:lang w:val="es-ES"/>
        </w:rPr>
      </w:pPr>
      <w:bookmarkStart w:id="6" w:name="_Ref289689074"/>
      <w:bookmarkEnd w:id="6"/>
      <w:r w:rsidRPr="00AA21C6">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AA21C6">
        <w:rPr>
          <w:rStyle w:val="FootnoteReference"/>
          <w:szCs w:val="22"/>
          <w:lang w:val="es-ES"/>
        </w:rPr>
        <w:footnoteReference w:id="27"/>
      </w:r>
    </w:p>
    <w:p w:rsidR="00C0409B" w:rsidRPr="00AA21C6" w:rsidRDefault="00C0409B" w:rsidP="00C0409B">
      <w:pPr>
        <w:pStyle w:val="ONUMFS"/>
        <w:numPr>
          <w:ilvl w:val="0"/>
          <w:numId w:val="0"/>
        </w:numPr>
        <w:rPr>
          <w:b/>
          <w:bCs/>
          <w:szCs w:val="22"/>
          <w:lang w:val="es-ES"/>
        </w:rPr>
      </w:pPr>
      <w:r w:rsidRPr="00AA21C6">
        <w:rPr>
          <w:b/>
          <w:bCs/>
          <w:szCs w:val="22"/>
          <w:lang w:val="es-ES"/>
        </w:rPr>
        <w:t>Diversidad cultural</w:t>
      </w:r>
    </w:p>
    <w:p w:rsidR="00C0409B" w:rsidRPr="00AA21C6" w:rsidRDefault="00C0409B" w:rsidP="00C0409B">
      <w:pPr>
        <w:pStyle w:val="ONUMFS"/>
        <w:numPr>
          <w:ilvl w:val="0"/>
          <w:numId w:val="0"/>
        </w:numPr>
        <w:rPr>
          <w:szCs w:val="22"/>
          <w:lang w:val="es-ES"/>
        </w:rPr>
      </w:pPr>
      <w:r w:rsidRPr="00AA21C6">
        <w:rPr>
          <w:szCs w:val="22"/>
          <w:lang w:val="es-ES"/>
        </w:rPr>
        <w:t xml:space="preserve">Según la </w:t>
      </w:r>
      <w:r w:rsidRPr="006614B8">
        <w:rPr>
          <w:i/>
          <w:szCs w:val="22"/>
          <w:lang w:val="es-ES"/>
        </w:rPr>
        <w:t>Convención sobre la Protección y la Promoción de la Diversidad de las Expresiones Culturales</w:t>
      </w:r>
      <w:r w:rsidRPr="00AA21C6">
        <w:rPr>
          <w:szCs w:val="22"/>
          <w:lang w:val="es-ES"/>
        </w:rPr>
        <w:t xml:space="preserve"> (2005),</w:t>
      </w:r>
      <w:r w:rsidR="00A120FA">
        <w:rPr>
          <w:szCs w:val="22"/>
          <w:lang w:val="es-ES"/>
        </w:rPr>
        <w:t xml:space="preserve"> </w:t>
      </w:r>
      <w:r w:rsidR="00A120FA" w:rsidRPr="00A120FA">
        <w:rPr>
          <w:szCs w:val="22"/>
          <w:lang w:val="es-ES"/>
        </w:rPr>
        <w:t>de la Organización de las Naciones Unidas para la Educación, la Ciencia y la Cultura (UNESCO)</w:t>
      </w:r>
      <w:r w:rsidR="00A120FA">
        <w:rPr>
          <w:szCs w:val="22"/>
          <w:lang w:val="es-ES"/>
        </w:rPr>
        <w:t>,</w:t>
      </w:r>
      <w:r w:rsidRPr="00AA21C6">
        <w:rPr>
          <w:szCs w:val="22"/>
          <w:lang w:val="es-ES"/>
        </w:rPr>
        <w:t xml:space="preserve"> por diversidad cultural se entiende “la multiplicidad de formas en que se expresan las culturas de los grupos y sociedades.  Estas expresiones se transmiten dentro y entre los grupos y las sociedades”.</w:t>
      </w:r>
      <w:r w:rsidRPr="00AA21C6">
        <w:rPr>
          <w:rStyle w:val="FootnoteReference"/>
          <w:szCs w:val="22"/>
          <w:lang w:val="es-ES"/>
        </w:rPr>
        <w:footnoteReference w:id="28"/>
      </w:r>
    </w:p>
    <w:p w:rsidR="00C0409B" w:rsidRPr="00AA21C6" w:rsidRDefault="00C0409B" w:rsidP="00C0409B">
      <w:pPr>
        <w:pStyle w:val="ONUMFS"/>
        <w:keepNext/>
        <w:keepLines/>
        <w:numPr>
          <w:ilvl w:val="0"/>
          <w:numId w:val="0"/>
        </w:numPr>
        <w:rPr>
          <w:b/>
          <w:bCs/>
          <w:szCs w:val="22"/>
          <w:lang w:val="es-ES"/>
        </w:rPr>
      </w:pPr>
      <w:r w:rsidRPr="00AA21C6">
        <w:rPr>
          <w:b/>
          <w:bCs/>
          <w:szCs w:val="22"/>
          <w:lang w:val="es-ES"/>
        </w:rPr>
        <w:lastRenderedPageBreak/>
        <w:t>Expresiones culturales</w:t>
      </w:r>
    </w:p>
    <w:p w:rsidR="00C0409B" w:rsidRPr="00AA21C6" w:rsidRDefault="00C0409B" w:rsidP="00C0409B">
      <w:pPr>
        <w:pStyle w:val="ONUMFS"/>
        <w:keepNext/>
        <w:keepLines/>
        <w:numPr>
          <w:ilvl w:val="0"/>
          <w:numId w:val="0"/>
        </w:numPr>
        <w:rPr>
          <w:szCs w:val="22"/>
          <w:lang w:val="es-ES"/>
        </w:rPr>
      </w:pPr>
      <w:r w:rsidRPr="00AA21C6">
        <w:rPr>
          <w:szCs w:val="22"/>
          <w:lang w:val="es-ES"/>
        </w:rPr>
        <w:t xml:space="preserve">Según la </w:t>
      </w:r>
      <w:r w:rsidRPr="006614B8">
        <w:rPr>
          <w:i/>
          <w:szCs w:val="22"/>
          <w:lang w:val="es-ES"/>
        </w:rPr>
        <w:t>Convención sobre la Protección y la Promoción de la Diversidad de las Expresiones Culturales</w:t>
      </w:r>
      <w:r w:rsidRPr="00AA21C6">
        <w:rPr>
          <w:szCs w:val="22"/>
          <w:lang w:val="es-ES"/>
        </w:rPr>
        <w:t xml:space="preserve">, </w:t>
      </w:r>
      <w:r w:rsidR="00A120FA">
        <w:rPr>
          <w:szCs w:val="22"/>
          <w:lang w:val="es-ES"/>
        </w:rPr>
        <w:t xml:space="preserve">de la UNESCO, </w:t>
      </w:r>
      <w:r w:rsidRPr="00AA21C6">
        <w:rPr>
          <w:szCs w:val="22"/>
          <w:lang w:val="es-ES"/>
        </w:rPr>
        <w:t>las expresiones culturales son “las expresiones resultantes de la creatividad de personas, grupos y sociedades, que poseen un contenido cultural”.</w:t>
      </w:r>
      <w:r w:rsidRPr="00AA21C6">
        <w:rPr>
          <w:rStyle w:val="FootnoteReference"/>
          <w:szCs w:val="22"/>
          <w:lang w:val="es-ES"/>
        </w:rPr>
        <w:footnoteReference w:id="29"/>
      </w:r>
    </w:p>
    <w:p w:rsidR="00C0409B" w:rsidRPr="00AA21C6" w:rsidRDefault="00C0409B" w:rsidP="00C0409B">
      <w:pPr>
        <w:pStyle w:val="ONUMFS"/>
        <w:numPr>
          <w:ilvl w:val="0"/>
          <w:numId w:val="0"/>
        </w:numPr>
        <w:rPr>
          <w:b/>
          <w:bCs/>
          <w:szCs w:val="22"/>
          <w:lang w:val="es-ES"/>
        </w:rPr>
      </w:pPr>
      <w:r w:rsidRPr="00AA21C6">
        <w:rPr>
          <w:b/>
          <w:bCs/>
          <w:szCs w:val="22"/>
          <w:lang w:val="es-ES"/>
        </w:rPr>
        <w:t>Patrimonio cultural</w:t>
      </w:r>
    </w:p>
    <w:p w:rsidR="00C0409B" w:rsidRPr="00AA21C6" w:rsidRDefault="00C0409B" w:rsidP="00C0409B">
      <w:pPr>
        <w:pStyle w:val="ONUMFS"/>
        <w:numPr>
          <w:ilvl w:val="0"/>
          <w:numId w:val="0"/>
        </w:numPr>
        <w:rPr>
          <w:szCs w:val="22"/>
          <w:lang w:val="es-ES"/>
        </w:rPr>
      </w:pPr>
      <w:r w:rsidRPr="00AA21C6">
        <w:rPr>
          <w:szCs w:val="22"/>
          <w:lang w:val="es-ES"/>
        </w:rPr>
        <w:t xml:space="preserve">Según el artículo 1 de la </w:t>
      </w:r>
      <w:r w:rsidRPr="006614B8">
        <w:rPr>
          <w:i/>
          <w:szCs w:val="22"/>
          <w:lang w:val="es-ES"/>
        </w:rPr>
        <w:t>Convención sobre la Protección del Patrimonio Mundial Cultural y Natural</w:t>
      </w:r>
      <w:r w:rsidRPr="00AA21C6">
        <w:rPr>
          <w:szCs w:val="22"/>
          <w:lang w:val="es-ES"/>
        </w:rPr>
        <w:t xml:space="preserve"> (1972), </w:t>
      </w:r>
      <w:r w:rsidR="00A120FA">
        <w:rPr>
          <w:szCs w:val="22"/>
          <w:lang w:val="es-ES"/>
        </w:rPr>
        <w:t xml:space="preserve">de la UNESCO, </w:t>
      </w:r>
      <w:r w:rsidRPr="00AA21C6">
        <w:rPr>
          <w:szCs w:val="22"/>
          <w:lang w:val="es-ES"/>
        </w:rPr>
        <w:t>el “patrimonio cultural” comprende lo siguiente:</w:t>
      </w:r>
    </w:p>
    <w:p w:rsidR="00C0409B" w:rsidRPr="00AA21C6" w:rsidRDefault="00C0409B" w:rsidP="00C0409B">
      <w:pPr>
        <w:pStyle w:val="ONUMFS"/>
        <w:numPr>
          <w:ilvl w:val="0"/>
          <w:numId w:val="0"/>
        </w:numPr>
        <w:ind w:left="567"/>
        <w:rPr>
          <w:i/>
          <w:iCs/>
          <w:szCs w:val="22"/>
          <w:lang w:val="es-ES"/>
        </w:rPr>
      </w:pPr>
      <w:r w:rsidRPr="00AA21C6">
        <w:rPr>
          <w:i/>
          <w:iCs/>
          <w:szCs w:val="22"/>
          <w:lang w:val="es-ES"/>
        </w:rPr>
        <w:t>“a)</w:t>
      </w:r>
      <w:r w:rsidRPr="00AA21C6">
        <w:rPr>
          <w:i/>
          <w:iCs/>
          <w:szCs w:val="22"/>
          <w:lang w:val="es-ES"/>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C0409B" w:rsidRPr="00AA21C6" w:rsidRDefault="00C0409B" w:rsidP="00C0409B">
      <w:pPr>
        <w:pStyle w:val="ONUMFS"/>
        <w:numPr>
          <w:ilvl w:val="0"/>
          <w:numId w:val="0"/>
        </w:numPr>
        <w:ind w:left="567"/>
        <w:rPr>
          <w:i/>
          <w:iCs/>
          <w:szCs w:val="22"/>
          <w:lang w:val="es-ES"/>
        </w:rPr>
      </w:pPr>
      <w:r w:rsidRPr="00AA21C6">
        <w:rPr>
          <w:i/>
          <w:iCs/>
          <w:szCs w:val="22"/>
          <w:lang w:val="es-ES"/>
        </w:rPr>
        <w:t>b)</w:t>
      </w:r>
      <w:r w:rsidRPr="00AA21C6">
        <w:rPr>
          <w:i/>
          <w:iCs/>
          <w:szCs w:val="22"/>
          <w:lang w:val="es-ES"/>
        </w:rPr>
        <w:tab/>
        <w:t>conjuntos:  grupos de construcciones, aisladas o reunidas, cuya arquitectura, unidad e integración en el paisaje les dé un valor universal excepcional desde el punto de vista de la historia, del arte o de la ciencia;</w:t>
      </w:r>
    </w:p>
    <w:p w:rsidR="00C0409B" w:rsidRPr="00AA21C6" w:rsidRDefault="00C0409B" w:rsidP="00C0409B">
      <w:pPr>
        <w:pStyle w:val="ONUMFS"/>
        <w:numPr>
          <w:ilvl w:val="0"/>
          <w:numId w:val="0"/>
        </w:numPr>
        <w:ind w:left="567"/>
        <w:rPr>
          <w:szCs w:val="22"/>
          <w:lang w:val="es-ES"/>
        </w:rPr>
      </w:pPr>
      <w:r w:rsidRPr="00AA21C6">
        <w:rPr>
          <w:i/>
          <w:iCs/>
          <w:szCs w:val="22"/>
          <w:lang w:val="es-ES"/>
        </w:rPr>
        <w:t>c)</w:t>
      </w:r>
      <w:r w:rsidRPr="00AA21C6">
        <w:rPr>
          <w:i/>
          <w:iCs/>
          <w:szCs w:val="22"/>
          <w:lang w:val="es-ES"/>
        </w:rPr>
        <w:tab/>
        <w:t>lugares:  obras del hombre u obras conjuntas del hombre y la naturaleza así como las zonas incluidos los lugares arqueológicos que tengan un valor universal excepcional desde el punto de vista histórico, estético, etnológico o antropológico.”</w:t>
      </w:r>
    </w:p>
    <w:p w:rsidR="00C0409B" w:rsidRPr="00AA21C6" w:rsidRDefault="00C0409B" w:rsidP="00C0409B">
      <w:pPr>
        <w:pStyle w:val="ONUMFS"/>
        <w:numPr>
          <w:ilvl w:val="0"/>
          <w:numId w:val="0"/>
        </w:numPr>
        <w:rPr>
          <w:b/>
          <w:bCs/>
          <w:szCs w:val="22"/>
          <w:lang w:val="es-ES"/>
        </w:rPr>
      </w:pPr>
      <w:r w:rsidRPr="00AA21C6">
        <w:rPr>
          <w:b/>
          <w:bCs/>
          <w:szCs w:val="22"/>
          <w:lang w:val="es-ES"/>
        </w:rPr>
        <w:t>Identidad cultural</w:t>
      </w:r>
    </w:p>
    <w:p w:rsidR="00C0409B" w:rsidRPr="00AA21C6" w:rsidRDefault="00C0409B" w:rsidP="00C0409B">
      <w:pPr>
        <w:pStyle w:val="ONUMFS"/>
        <w:numPr>
          <w:ilvl w:val="0"/>
          <w:numId w:val="0"/>
        </w:numPr>
        <w:rPr>
          <w:szCs w:val="22"/>
          <w:lang w:val="es-ES"/>
        </w:rPr>
      </w:pPr>
      <w:r w:rsidRPr="00AA21C6">
        <w:rPr>
          <w:szCs w:val="22"/>
          <w:lang w:val="es-ES"/>
        </w:rPr>
        <w:t>Designa la correspondencia que existe entre la comunidad (nacional, étnica, lingüística, etcétera) y su vida cultural, así como el derecho de la comunidad a la propia cultura.</w:t>
      </w:r>
      <w:r w:rsidRPr="00AA21C6">
        <w:rPr>
          <w:rStyle w:val="FootnoteReference"/>
          <w:szCs w:val="22"/>
          <w:lang w:val="es-ES"/>
        </w:rPr>
        <w:footnoteReference w:id="30"/>
      </w:r>
      <w:r w:rsidRPr="00AA21C6">
        <w:rPr>
          <w:szCs w:val="22"/>
          <w:lang w:val="es-ES"/>
        </w:rPr>
        <w:t xml:space="preserve">  En el </w:t>
      </w:r>
      <w:r w:rsidRPr="006614B8">
        <w:rPr>
          <w:i/>
          <w:szCs w:val="22"/>
          <w:lang w:val="es-ES"/>
        </w:rPr>
        <w:t>Convenio Nº 169 sobre pueblos indígenas y tribales en países independientes</w:t>
      </w:r>
      <w:r w:rsidRPr="00AA21C6">
        <w:rPr>
          <w:szCs w:val="22"/>
          <w:lang w:val="es-ES"/>
        </w:rPr>
        <w:t xml:space="preserve"> (1989)</w:t>
      </w:r>
      <w:r w:rsidR="00A120FA">
        <w:rPr>
          <w:szCs w:val="22"/>
          <w:lang w:val="es-ES"/>
        </w:rPr>
        <w:t>, de la OIT,</w:t>
      </w:r>
      <w:r w:rsidRPr="00AA21C6">
        <w:rPr>
          <w:szCs w:val="22"/>
          <w:lang w:val="es-ES"/>
        </w:rPr>
        <w:t xml:space="preserve"> se establece que los gobiernos deberán promover “la plena efectividad de los derechos sociales, económicos y culturales de esos pueblos, respetando su identidad social y cultural, sus costumbres y tradiciones, y sus instituciones.”</w:t>
      </w:r>
      <w:r w:rsidRPr="00AA21C6">
        <w:rPr>
          <w:rStyle w:val="FootnoteReference"/>
          <w:szCs w:val="22"/>
          <w:lang w:val="es-ES"/>
        </w:rPr>
        <w:footnoteReference w:id="31"/>
      </w:r>
    </w:p>
    <w:p w:rsidR="00C0409B" w:rsidRPr="00AA21C6" w:rsidRDefault="00C0409B" w:rsidP="00C0409B">
      <w:pPr>
        <w:pStyle w:val="ONUMFS"/>
        <w:numPr>
          <w:ilvl w:val="0"/>
          <w:numId w:val="0"/>
        </w:numPr>
        <w:rPr>
          <w:b/>
          <w:bCs/>
          <w:szCs w:val="22"/>
          <w:lang w:val="es-ES"/>
        </w:rPr>
      </w:pPr>
      <w:r w:rsidRPr="00AA21C6">
        <w:rPr>
          <w:b/>
          <w:bCs/>
          <w:szCs w:val="22"/>
          <w:lang w:val="es-ES"/>
        </w:rPr>
        <w:t>Bienes culturales</w:t>
      </w:r>
    </w:p>
    <w:p w:rsidR="00C0409B" w:rsidRPr="00AA21C6" w:rsidRDefault="00C0409B" w:rsidP="00C0409B">
      <w:pPr>
        <w:pStyle w:val="ONUMFS"/>
        <w:numPr>
          <w:ilvl w:val="0"/>
          <w:numId w:val="0"/>
        </w:numPr>
        <w:rPr>
          <w:szCs w:val="22"/>
          <w:lang w:val="es-ES"/>
        </w:rPr>
      </w:pPr>
      <w:r w:rsidRPr="00AA21C6">
        <w:rPr>
          <w:szCs w:val="22"/>
          <w:lang w:val="es-ES"/>
        </w:rPr>
        <w:t xml:space="preserve">Según la </w:t>
      </w:r>
      <w:r w:rsidRPr="006614B8">
        <w:rPr>
          <w:i/>
          <w:szCs w:val="22"/>
          <w:lang w:val="es-ES"/>
        </w:rPr>
        <w:t>Convención sobre las medidas que deben adoptarse para prohibir e impedir la importación, la exportación y la transferencia de propiedad ilícitas de bienes culturales</w:t>
      </w:r>
      <w:r w:rsidRPr="00AA21C6">
        <w:rPr>
          <w:szCs w:val="22"/>
          <w:lang w:val="es-ES"/>
        </w:rPr>
        <w:t xml:space="preserve"> (1970),</w:t>
      </w:r>
      <w:r w:rsidR="00A120FA">
        <w:rPr>
          <w:szCs w:val="22"/>
          <w:lang w:val="es-ES"/>
        </w:rPr>
        <w:t xml:space="preserve"> de la UNESCO,</w:t>
      </w:r>
      <w:r w:rsidRPr="00AA21C6">
        <w:rPr>
          <w:szCs w:val="22"/>
          <w:lang w:val="es-ES"/>
        </w:rPr>
        <w:t xml:space="preserve">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w:t>
      </w:r>
      <w:r w:rsidRPr="00AA21C6">
        <w:rPr>
          <w:szCs w:val="22"/>
          <w:lang w:val="es-ES"/>
        </w:rPr>
        <w:lastRenderedPageBreak/>
        <w:t>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C0409B" w:rsidRPr="00AA21C6" w:rsidRDefault="00C0409B" w:rsidP="00C0409B">
      <w:pPr>
        <w:pStyle w:val="ONUMFS"/>
        <w:numPr>
          <w:ilvl w:val="0"/>
          <w:numId w:val="0"/>
        </w:numPr>
        <w:rPr>
          <w:b/>
          <w:bCs/>
          <w:szCs w:val="22"/>
          <w:lang w:val="es-ES"/>
        </w:rPr>
      </w:pPr>
      <w:r w:rsidRPr="00AA21C6">
        <w:rPr>
          <w:b/>
          <w:bCs/>
          <w:szCs w:val="22"/>
          <w:lang w:val="es-ES"/>
        </w:rPr>
        <w:t>Custodio</w:t>
      </w:r>
    </w:p>
    <w:p w:rsidR="00C0409B" w:rsidRPr="00AA21C6" w:rsidRDefault="00C0409B" w:rsidP="00C0409B">
      <w:pPr>
        <w:pStyle w:val="ONUMFS"/>
        <w:numPr>
          <w:ilvl w:val="0"/>
          <w:numId w:val="0"/>
        </w:numPr>
        <w:rPr>
          <w:szCs w:val="22"/>
          <w:lang w:val="es-ES"/>
        </w:rPr>
      </w:pPr>
      <w:r w:rsidRPr="00AA21C6">
        <w:rPr>
          <w:szCs w:val="22"/>
          <w:lang w:val="es-ES"/>
        </w:rPr>
        <w:t xml:space="preserve">En </w:t>
      </w:r>
      <w:r w:rsidRPr="00A120FA">
        <w:rPr>
          <w:szCs w:val="22"/>
          <w:lang w:val="es-ES"/>
        </w:rPr>
        <w:t xml:space="preserve">el </w:t>
      </w:r>
      <w:r w:rsidRPr="00A120FA">
        <w:rPr>
          <w:iCs/>
          <w:szCs w:val="22"/>
          <w:lang w:val="es-ES"/>
        </w:rPr>
        <w:t>Diccionario Enciclopédico de Derecho Usual</w:t>
      </w:r>
      <w:r w:rsidRPr="00A120FA">
        <w:rPr>
          <w:szCs w:val="22"/>
          <w:lang w:val="es-ES"/>
        </w:rPr>
        <w:t xml:space="preserve"> de Guillermo Cabanellas se define el término “custodio” como “cuidador, guardián, vigilante, depositario”.  A su vez, en el </w:t>
      </w:r>
      <w:r w:rsidRPr="00A120FA">
        <w:rPr>
          <w:iCs/>
          <w:szCs w:val="22"/>
          <w:lang w:val="es-ES"/>
        </w:rPr>
        <w:t>Diccionario de la lengua española</w:t>
      </w:r>
      <w:r w:rsidRPr="00A120FA">
        <w:rPr>
          <w:szCs w:val="22"/>
          <w:lang w:val="es-ES"/>
        </w:rPr>
        <w:t xml:space="preserve"> de la Real Academia Española se define “custodio” como “encargado de custodiar”,</w:t>
      </w:r>
      <w:r w:rsidRPr="00AA21C6">
        <w:rPr>
          <w:szCs w:val="22"/>
          <w:lang w:val="es-ES"/>
        </w:rPr>
        <w:t xml:space="preserve">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7" w:name="sdfootnote15anc"/>
      <w:r w:rsidRPr="00AA21C6">
        <w:rPr>
          <w:szCs w:val="22"/>
          <w:lang w:val="es-ES"/>
        </w:rPr>
        <w:t>.</w:t>
      </w:r>
      <w:bookmarkEnd w:id="7"/>
    </w:p>
    <w:p w:rsidR="00C0409B" w:rsidRPr="00AA21C6" w:rsidRDefault="00C0409B" w:rsidP="00C0409B">
      <w:pPr>
        <w:pStyle w:val="ONUMFS"/>
        <w:numPr>
          <w:ilvl w:val="0"/>
          <w:numId w:val="0"/>
        </w:numPr>
        <w:rPr>
          <w:b/>
          <w:bCs/>
          <w:szCs w:val="22"/>
          <w:lang w:val="es-ES"/>
        </w:rPr>
      </w:pPr>
      <w:r w:rsidRPr="00AA21C6">
        <w:rPr>
          <w:b/>
          <w:bCs/>
          <w:szCs w:val="22"/>
          <w:lang w:val="es-ES"/>
        </w:rPr>
        <w:t>Contexto consuetudinario</w:t>
      </w:r>
    </w:p>
    <w:p w:rsidR="00C0409B" w:rsidRPr="00AA21C6" w:rsidRDefault="00C0409B" w:rsidP="00C0409B">
      <w:pPr>
        <w:pStyle w:val="ONUMFS"/>
        <w:numPr>
          <w:ilvl w:val="0"/>
          <w:numId w:val="0"/>
        </w:numPr>
        <w:rPr>
          <w:szCs w:val="22"/>
          <w:lang w:val="es-ES"/>
        </w:rPr>
      </w:pPr>
      <w:r w:rsidRPr="00AA21C6">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AA21C6">
        <w:rPr>
          <w:rStyle w:val="FootnoteReference"/>
          <w:szCs w:val="22"/>
          <w:lang w:val="es-ES"/>
        </w:rPr>
        <w:footnoteReference w:id="32"/>
      </w:r>
    </w:p>
    <w:p w:rsidR="00C0409B" w:rsidRPr="00AA21C6" w:rsidRDefault="00C0409B" w:rsidP="00C0409B">
      <w:pPr>
        <w:pStyle w:val="ONUMFS"/>
        <w:numPr>
          <w:ilvl w:val="0"/>
          <w:numId w:val="0"/>
        </w:numPr>
        <w:rPr>
          <w:b/>
          <w:bCs/>
          <w:szCs w:val="22"/>
          <w:lang w:val="es-ES"/>
        </w:rPr>
      </w:pPr>
      <w:r w:rsidRPr="00AA21C6">
        <w:rPr>
          <w:b/>
          <w:bCs/>
          <w:szCs w:val="22"/>
          <w:lang w:val="es-ES"/>
        </w:rPr>
        <w:t>Derecho y protocolos consuetudinarios</w:t>
      </w:r>
    </w:p>
    <w:p w:rsidR="00C0409B" w:rsidRPr="00AA21C6" w:rsidRDefault="00C0409B" w:rsidP="00C0409B">
      <w:pPr>
        <w:pStyle w:val="ONUMFS"/>
        <w:numPr>
          <w:ilvl w:val="0"/>
          <w:numId w:val="0"/>
        </w:numPr>
        <w:rPr>
          <w:szCs w:val="22"/>
          <w:lang w:val="es-ES"/>
        </w:rPr>
      </w:pPr>
      <w:r w:rsidRPr="00AA21C6">
        <w:rPr>
          <w:szCs w:val="22"/>
          <w:lang w:val="es-ES"/>
        </w:rPr>
        <w:t xml:space="preserve">En </w:t>
      </w:r>
      <w:r w:rsidRPr="00A120FA">
        <w:rPr>
          <w:szCs w:val="22"/>
          <w:lang w:val="es-ES"/>
        </w:rPr>
        <w:t xml:space="preserve">el </w:t>
      </w:r>
      <w:r w:rsidRPr="00A120FA">
        <w:rPr>
          <w:iCs/>
          <w:szCs w:val="22"/>
          <w:lang w:val="es-ES"/>
        </w:rPr>
        <w:t>Diccionario Enciclopédico de Derecho Usual</w:t>
      </w:r>
      <w:r w:rsidRPr="00A120FA">
        <w:rPr>
          <w:szCs w:val="22"/>
          <w:lang w:val="es-ES"/>
        </w:rPr>
        <w:t xml:space="preserve"> de Guillermo Cabanellas se define el Derec</w:t>
      </w:r>
      <w:r w:rsidRPr="00AA21C6">
        <w:rPr>
          <w:szCs w:val="22"/>
          <w:lang w:val="es-ES"/>
        </w:rPr>
        <w:t>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AA21C6">
        <w:rPr>
          <w:rStyle w:val="FootnoteReference"/>
          <w:szCs w:val="22"/>
          <w:lang w:val="es-ES"/>
        </w:rPr>
        <w:footnoteReference w:id="33"/>
      </w:r>
      <w:r w:rsidRPr="00AA21C6">
        <w:rPr>
          <w:szCs w:val="22"/>
          <w:lang w:val="es-ES"/>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C0409B" w:rsidRPr="00AA21C6" w:rsidRDefault="00C0409B" w:rsidP="00C0409B">
      <w:pPr>
        <w:pStyle w:val="ONUMFS"/>
        <w:keepLines/>
        <w:numPr>
          <w:ilvl w:val="0"/>
          <w:numId w:val="0"/>
        </w:numPr>
        <w:rPr>
          <w:szCs w:val="22"/>
          <w:lang w:val="es-ES"/>
        </w:rPr>
      </w:pPr>
      <w:r w:rsidRPr="00AA21C6">
        <w:rPr>
          <w:szCs w:val="22"/>
          <w:lang w:val="es-ES"/>
        </w:rPr>
        <w:lastRenderedPageBreak/>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AA21C6">
        <w:rPr>
          <w:rStyle w:val="FootnoteReference"/>
          <w:szCs w:val="22"/>
          <w:lang w:val="es-ES"/>
        </w:rPr>
        <w:footnoteReference w:id="34"/>
      </w:r>
      <w:r w:rsidRPr="00AA21C6">
        <w:rPr>
          <w:szCs w:val="22"/>
          <w:lang w:val="es-ES"/>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AA21C6">
        <w:rPr>
          <w:rStyle w:val="FootnoteReference"/>
          <w:szCs w:val="22"/>
          <w:lang w:val="es-ES"/>
        </w:rPr>
        <w:footnoteReference w:id="35"/>
      </w:r>
    </w:p>
    <w:p w:rsidR="00C0409B" w:rsidRPr="00AA21C6" w:rsidRDefault="00C0409B" w:rsidP="00C0409B">
      <w:pPr>
        <w:pStyle w:val="ONUMFS"/>
        <w:numPr>
          <w:ilvl w:val="0"/>
          <w:numId w:val="0"/>
        </w:numPr>
        <w:rPr>
          <w:szCs w:val="22"/>
          <w:lang w:val="es-ES"/>
        </w:rPr>
      </w:pPr>
      <w:r w:rsidRPr="00AA21C6">
        <w:rPr>
          <w:szCs w:val="22"/>
          <w:lang w:val="es-ES"/>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0409B" w:rsidRPr="00AA21C6" w:rsidRDefault="00C0409B" w:rsidP="00C0409B">
      <w:pPr>
        <w:pStyle w:val="ONUMFS"/>
        <w:numPr>
          <w:ilvl w:val="0"/>
          <w:numId w:val="0"/>
        </w:numPr>
        <w:rPr>
          <w:b/>
          <w:bCs/>
          <w:szCs w:val="22"/>
          <w:lang w:val="es-ES"/>
        </w:rPr>
      </w:pPr>
      <w:r w:rsidRPr="00AA21C6">
        <w:rPr>
          <w:b/>
          <w:bCs/>
          <w:szCs w:val="22"/>
          <w:lang w:val="es-ES"/>
        </w:rPr>
        <w:t>Prácticas consuetudinarias</w:t>
      </w:r>
    </w:p>
    <w:p w:rsidR="00C0409B" w:rsidRPr="00AA21C6" w:rsidRDefault="00C0409B" w:rsidP="00C0409B">
      <w:pPr>
        <w:pStyle w:val="ONUMFS"/>
        <w:numPr>
          <w:ilvl w:val="0"/>
          <w:numId w:val="0"/>
        </w:numPr>
        <w:rPr>
          <w:szCs w:val="22"/>
          <w:lang w:val="es-ES"/>
        </w:rPr>
      </w:pPr>
      <w:r w:rsidRPr="00AA21C6">
        <w:rPr>
          <w:szCs w:val="22"/>
          <w:lang w:val="es-ES"/>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AA21C6">
        <w:rPr>
          <w:rStyle w:val="FootnoteReference"/>
          <w:szCs w:val="22"/>
          <w:lang w:val="es-ES"/>
        </w:rPr>
        <w:footnoteReference w:id="36"/>
      </w:r>
    </w:p>
    <w:p w:rsidR="00C0409B" w:rsidRPr="00AA21C6" w:rsidRDefault="00C0409B" w:rsidP="00C0409B">
      <w:pPr>
        <w:pStyle w:val="ONUMFS"/>
        <w:numPr>
          <w:ilvl w:val="0"/>
          <w:numId w:val="0"/>
        </w:numPr>
        <w:rPr>
          <w:b/>
          <w:bCs/>
          <w:szCs w:val="22"/>
          <w:lang w:val="es-ES"/>
        </w:rPr>
      </w:pPr>
      <w:r w:rsidRPr="00AA21C6">
        <w:rPr>
          <w:b/>
          <w:bCs/>
          <w:szCs w:val="22"/>
          <w:lang w:val="es-ES"/>
        </w:rPr>
        <w:t>Base de datos de los acuerdos de acceso y de participación en los beneficios relacionados con la biodiversidad</w:t>
      </w:r>
    </w:p>
    <w:p w:rsidR="00C0409B" w:rsidRPr="00AA21C6" w:rsidRDefault="00C0409B" w:rsidP="00C0409B">
      <w:pPr>
        <w:pStyle w:val="ONUMFS"/>
        <w:numPr>
          <w:ilvl w:val="0"/>
          <w:numId w:val="0"/>
        </w:numPr>
        <w:rPr>
          <w:szCs w:val="22"/>
          <w:lang w:val="es-ES"/>
        </w:rPr>
      </w:pPr>
      <w:r w:rsidRPr="00AA21C6">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AA21C6">
        <w:rPr>
          <w:rStyle w:val="FootnoteReference"/>
          <w:szCs w:val="22"/>
          <w:lang w:val="es-ES"/>
        </w:rPr>
        <w:footnoteReference w:id="37"/>
      </w:r>
      <w:r w:rsidRPr="00AA21C6">
        <w:rPr>
          <w:szCs w:val="22"/>
          <w:vertAlign w:val="superscript"/>
          <w:lang w:val="es-ES"/>
        </w:rPr>
        <w:t xml:space="preserve"> </w:t>
      </w:r>
      <w:r w:rsidRPr="00AA21C6">
        <w:rPr>
          <w:szCs w:val="22"/>
          <w:lang w:val="es-ES"/>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w:t>
      </w:r>
      <w:r w:rsidRPr="00AA21C6">
        <w:rPr>
          <w:szCs w:val="22"/>
          <w:lang w:val="es-ES"/>
        </w:rPr>
        <w:lastRenderedPageBreak/>
        <w:t>acceso a los recursos genéticos y participación en los beneficios que se derivan de su utilización.</w:t>
      </w:r>
      <w:r w:rsidRPr="00AA21C6">
        <w:rPr>
          <w:rStyle w:val="FootnoteReference"/>
          <w:szCs w:val="22"/>
          <w:lang w:val="es-ES"/>
        </w:rPr>
        <w:footnoteReference w:id="38"/>
      </w:r>
    </w:p>
    <w:p w:rsidR="00C0409B" w:rsidRPr="00AA21C6" w:rsidRDefault="00C0409B" w:rsidP="00C0409B">
      <w:pPr>
        <w:pStyle w:val="ONUMFS"/>
        <w:keepNext/>
        <w:numPr>
          <w:ilvl w:val="0"/>
          <w:numId w:val="0"/>
        </w:numPr>
        <w:rPr>
          <w:b/>
          <w:bCs/>
          <w:szCs w:val="22"/>
          <w:lang w:val="es-ES"/>
        </w:rPr>
      </w:pPr>
      <w:r w:rsidRPr="00AA21C6">
        <w:rPr>
          <w:b/>
          <w:bCs/>
          <w:szCs w:val="22"/>
          <w:lang w:val="es-ES"/>
        </w:rPr>
        <w:t>Derivado</w:t>
      </w:r>
    </w:p>
    <w:p w:rsidR="00C0409B" w:rsidRPr="00AA21C6" w:rsidRDefault="00C0409B" w:rsidP="00C0409B">
      <w:pPr>
        <w:pStyle w:val="ONUMFS"/>
        <w:keepNext/>
        <w:numPr>
          <w:ilvl w:val="0"/>
          <w:numId w:val="0"/>
        </w:numPr>
        <w:rPr>
          <w:szCs w:val="22"/>
          <w:lang w:val="es-ES"/>
        </w:rPr>
      </w:pPr>
      <w:r w:rsidRPr="00AA21C6">
        <w:rPr>
          <w:szCs w:val="22"/>
          <w:lang w:val="es-ES"/>
        </w:rPr>
        <w:t xml:space="preserve">En el artículo 2.e) del </w:t>
      </w:r>
      <w:r w:rsidRPr="00953F7E">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rsidR="00C0409B" w:rsidRPr="00AA21C6" w:rsidRDefault="00C0409B" w:rsidP="00C0409B">
      <w:pPr>
        <w:pStyle w:val="ONUMFS"/>
        <w:numPr>
          <w:ilvl w:val="0"/>
          <w:numId w:val="0"/>
        </w:numPr>
        <w:rPr>
          <w:szCs w:val="22"/>
          <w:lang w:val="es-ES"/>
        </w:rPr>
      </w:pPr>
      <w:r w:rsidRPr="00AA21C6">
        <w:rPr>
          <w:szCs w:val="22"/>
          <w:lang w:val="es-ES"/>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  “compuesto bioquímico producido por la expresión genética o el metabolismo de los recursos biológicos o genéticos, incluso aunque no contenga unidades funcionales de la herencia”.</w:t>
      </w:r>
    </w:p>
    <w:p w:rsidR="00C0409B" w:rsidRPr="00AA21C6" w:rsidRDefault="00C0409B" w:rsidP="00C0409B">
      <w:pPr>
        <w:pStyle w:val="ONUMFS"/>
        <w:numPr>
          <w:ilvl w:val="0"/>
          <w:numId w:val="0"/>
        </w:numPr>
        <w:rPr>
          <w:b/>
          <w:bCs/>
          <w:szCs w:val="22"/>
          <w:lang w:val="es-ES"/>
        </w:rPr>
      </w:pPr>
      <w:r w:rsidRPr="00AA21C6">
        <w:rPr>
          <w:b/>
          <w:bCs/>
          <w:szCs w:val="22"/>
          <w:lang w:val="es-ES"/>
        </w:rPr>
        <w:t>Obra derivada</w:t>
      </w:r>
    </w:p>
    <w:p w:rsidR="00C0409B" w:rsidRPr="00AA21C6" w:rsidRDefault="00C0409B" w:rsidP="00C0409B">
      <w:pPr>
        <w:pStyle w:val="ONUMFS"/>
        <w:numPr>
          <w:ilvl w:val="0"/>
          <w:numId w:val="0"/>
        </w:numPr>
        <w:rPr>
          <w:szCs w:val="22"/>
          <w:lang w:val="es-ES"/>
        </w:rPr>
      </w:pPr>
      <w:bookmarkStart w:id="8" w:name="_Ref289432997"/>
      <w:bookmarkEnd w:id="8"/>
      <w:r w:rsidRPr="00AA21C6">
        <w:rPr>
          <w:szCs w:val="22"/>
          <w:lang w:val="es-ES"/>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953F7E">
        <w:rPr>
          <w:i/>
          <w:szCs w:val="22"/>
          <w:lang w:val="es-ES"/>
        </w:rPr>
        <w:t>Convenio de Berna para la Protección de las Obras Literarias y Artísticas</w:t>
      </w:r>
      <w:r w:rsidRPr="00AA21C6">
        <w:rPr>
          <w:szCs w:val="22"/>
          <w:lang w:val="es-ES"/>
        </w:rPr>
        <w:t xml:space="preserve"> (1971), sin perjuicio de los derechos del autor de la obra original.</w:t>
      </w:r>
      <w:r w:rsidRPr="00AA21C6">
        <w:rPr>
          <w:rStyle w:val="FootnoteReference"/>
          <w:szCs w:val="22"/>
          <w:lang w:val="es-ES"/>
        </w:rPr>
        <w:footnoteReference w:id="39"/>
      </w:r>
      <w:r w:rsidRPr="00AA21C6">
        <w:rPr>
          <w:szCs w:val="22"/>
          <w:lang w:val="es-ES"/>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672806">
        <w:rPr>
          <w:i/>
          <w:szCs w:val="22"/>
          <w:lang w:val="es-ES"/>
        </w:rPr>
        <w:t>Acuerdo sobre los Aspectos de los Derechos de Propiedad Intelectual relacionados con el Comercio</w:t>
      </w:r>
      <w:r w:rsidRPr="00AA21C6">
        <w:rPr>
          <w:szCs w:val="22"/>
          <w:lang w:val="es-ES"/>
        </w:rPr>
        <w:t xml:space="preserve"> (1994)</w:t>
      </w:r>
      <w:r w:rsidR="00672806">
        <w:rPr>
          <w:szCs w:val="22"/>
          <w:lang w:val="es-ES"/>
        </w:rPr>
        <w:t xml:space="preserve"> de la OMC</w:t>
      </w:r>
      <w:r w:rsidRPr="00AA21C6">
        <w:rPr>
          <w:szCs w:val="22"/>
          <w:lang w:val="es-ES"/>
        </w:rPr>
        <w:t xml:space="preserve"> (Acuerdo sobre los ADPIC) y del artículo 5 del </w:t>
      </w:r>
      <w:r w:rsidRPr="00672806">
        <w:rPr>
          <w:i/>
          <w:szCs w:val="22"/>
          <w:lang w:val="es-ES"/>
        </w:rPr>
        <w:t>Tratado de la OMPI sobre Derecho de Autor</w:t>
      </w:r>
      <w:r w:rsidRPr="00AA21C6">
        <w:rPr>
          <w:szCs w:val="22"/>
          <w:lang w:val="es-ES"/>
        </w:rPr>
        <w:t xml:space="preserve"> (1996) (WCT).</w:t>
      </w:r>
      <w:r w:rsidRPr="00AA21C6">
        <w:rPr>
          <w:rStyle w:val="FootnoteReference"/>
          <w:szCs w:val="22"/>
          <w:lang w:val="es-ES"/>
        </w:rPr>
        <w:footnoteReference w:id="40"/>
      </w:r>
    </w:p>
    <w:p w:rsidR="00C0409B" w:rsidRPr="00AA21C6" w:rsidRDefault="00C0409B" w:rsidP="00C0409B">
      <w:pPr>
        <w:pStyle w:val="ONUMFS"/>
        <w:numPr>
          <w:ilvl w:val="0"/>
          <w:numId w:val="0"/>
        </w:numPr>
        <w:rPr>
          <w:szCs w:val="22"/>
          <w:lang w:val="es-ES"/>
        </w:rPr>
      </w:pPr>
      <w:r w:rsidRPr="00AA21C6">
        <w:rPr>
          <w:szCs w:val="22"/>
          <w:lang w:val="es-ES"/>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AA21C6">
        <w:rPr>
          <w:rStyle w:val="FootnoteReference"/>
          <w:szCs w:val="22"/>
          <w:lang w:val="es-ES"/>
        </w:rPr>
        <w:footnoteReference w:id="41"/>
      </w:r>
      <w:r w:rsidRPr="00AA21C6">
        <w:rPr>
          <w:szCs w:val="22"/>
          <w:lang w:val="es-ES"/>
        </w:rPr>
        <w:t xml:space="preserve">  El </w:t>
      </w:r>
      <w:r w:rsidRPr="00672806">
        <w:rPr>
          <w:i/>
          <w:szCs w:val="22"/>
          <w:lang w:val="es-ES"/>
        </w:rPr>
        <w:t>Convenio de Berna</w:t>
      </w:r>
      <w:r w:rsidRPr="00AA21C6">
        <w:rPr>
          <w:szCs w:val="22"/>
          <w:lang w:val="es-ES"/>
        </w:rPr>
        <w:t xml:space="preserve"> otorga a las obras que son fruto de labores de compilación o de colección idéntica protección que a las demás obras derivadas.</w:t>
      </w:r>
      <w:r w:rsidRPr="00AA21C6">
        <w:rPr>
          <w:rStyle w:val="FootnoteReference"/>
          <w:szCs w:val="22"/>
          <w:lang w:val="es-ES"/>
        </w:rPr>
        <w:footnoteReference w:id="42"/>
      </w:r>
    </w:p>
    <w:p w:rsidR="00C0409B" w:rsidRPr="00AA21C6" w:rsidRDefault="00C0409B" w:rsidP="00C0409B">
      <w:pPr>
        <w:pStyle w:val="ONUMFS"/>
        <w:numPr>
          <w:ilvl w:val="0"/>
          <w:numId w:val="0"/>
        </w:numPr>
        <w:rPr>
          <w:szCs w:val="22"/>
          <w:lang w:val="es-ES"/>
        </w:rPr>
      </w:pPr>
      <w:r w:rsidRPr="00AA21C6">
        <w:rPr>
          <w:szCs w:val="22"/>
          <w:lang w:val="es-ES"/>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C0409B" w:rsidRPr="00AA21C6" w:rsidRDefault="00C0409B" w:rsidP="00C0409B">
      <w:pPr>
        <w:pStyle w:val="ONUMFS"/>
        <w:numPr>
          <w:ilvl w:val="0"/>
          <w:numId w:val="0"/>
        </w:numPr>
        <w:rPr>
          <w:szCs w:val="22"/>
          <w:lang w:val="es-ES"/>
        </w:rPr>
      </w:pPr>
      <w:r w:rsidRPr="00AA21C6">
        <w:rPr>
          <w:szCs w:val="22"/>
          <w:lang w:val="es-ES"/>
        </w:rPr>
        <w:t xml:space="preserve">En algunas legislaciones se recoge la figura de la obra derivada en el campo de las expresiones culturales tradicionales.  En el </w:t>
      </w:r>
      <w:r w:rsidRPr="00672806">
        <w:rPr>
          <w:i/>
          <w:szCs w:val="22"/>
          <w:lang w:val="es-ES"/>
        </w:rPr>
        <w:t>Marco Regional para el Pacífico relativo a la protección de los conocimientos tradicionales y las expresiones de la cultura</w:t>
      </w:r>
      <w:r w:rsidRPr="00AA21C6">
        <w:rPr>
          <w:szCs w:val="22"/>
          <w:lang w:val="es-ES"/>
        </w:rPr>
        <w:t xml:space="preserve"> (2002), se </w:t>
      </w:r>
      <w:r w:rsidRPr="00AA21C6">
        <w:rPr>
          <w:szCs w:val="22"/>
          <w:lang w:val="es-ES"/>
        </w:rPr>
        <w:lastRenderedPageBreak/>
        <w:t xml:space="preserve">establece explícitamente que es </w:t>
      </w:r>
      <w:r w:rsidRPr="00AA21C6">
        <w:rPr>
          <w:iCs/>
          <w:szCs w:val="22"/>
          <w:lang w:val="es-ES"/>
        </w:rPr>
        <w:t>“la creación o innovación de carácter intelectual que se inspira en los conocimientos tradicionales o las expresiones de cultura o se deriva de éstos</w:t>
      </w:r>
      <w:r w:rsidRPr="00AA21C6">
        <w:rPr>
          <w:i/>
          <w:iCs/>
          <w:szCs w:val="22"/>
          <w:lang w:val="es-ES"/>
        </w:rPr>
        <w:t>”</w:t>
      </w:r>
      <w:r w:rsidRPr="00AA21C6">
        <w:rPr>
          <w:iCs/>
          <w:szCs w:val="22"/>
          <w:lang w:val="es-ES"/>
        </w:rPr>
        <w:t>.</w:t>
      </w:r>
      <w:r w:rsidRPr="00AA21C6">
        <w:rPr>
          <w:rStyle w:val="FootnoteReference"/>
          <w:iCs/>
          <w:szCs w:val="22"/>
          <w:lang w:val="es-ES"/>
        </w:rPr>
        <w:footnoteReference w:id="43"/>
      </w:r>
    </w:p>
    <w:p w:rsidR="00C0409B" w:rsidRPr="00AA21C6" w:rsidRDefault="00C0409B" w:rsidP="00C0409B">
      <w:pPr>
        <w:pStyle w:val="ONUMFS"/>
        <w:keepNext/>
        <w:numPr>
          <w:ilvl w:val="0"/>
          <w:numId w:val="0"/>
        </w:numPr>
        <w:rPr>
          <w:b/>
          <w:szCs w:val="22"/>
          <w:lang w:val="es-ES"/>
        </w:rPr>
      </w:pPr>
      <w:r w:rsidRPr="00AA21C6">
        <w:rPr>
          <w:b/>
          <w:szCs w:val="22"/>
          <w:lang w:val="es-ES"/>
        </w:rPr>
        <w:t>Atentado a la obra</w:t>
      </w:r>
      <w:r w:rsidR="00672806">
        <w:rPr>
          <w:b/>
          <w:szCs w:val="22"/>
          <w:lang w:val="es-ES"/>
        </w:rPr>
        <w:t xml:space="preserve"> (o acto lesivo)</w:t>
      </w:r>
    </w:p>
    <w:p w:rsidR="00C0409B" w:rsidRPr="00AA21C6" w:rsidRDefault="00C0409B" w:rsidP="00C0409B">
      <w:pPr>
        <w:pStyle w:val="ONUMFS"/>
        <w:keepNext/>
        <w:numPr>
          <w:ilvl w:val="0"/>
          <w:numId w:val="0"/>
        </w:numPr>
        <w:rPr>
          <w:szCs w:val="22"/>
          <w:lang w:val="es-ES"/>
        </w:rPr>
      </w:pPr>
      <w:r w:rsidRPr="00AA21C6">
        <w:rPr>
          <w:szCs w:val="22"/>
          <w:lang w:val="es-ES"/>
        </w:rPr>
        <w:t>Con arreglo a lo que se establece en el artículo 6</w:t>
      </w:r>
      <w:r w:rsidRPr="00AA21C6">
        <w:rPr>
          <w:i/>
          <w:iCs/>
          <w:szCs w:val="22"/>
          <w:lang w:val="es-ES"/>
        </w:rPr>
        <w:t>bis</w:t>
      </w:r>
      <w:r w:rsidRPr="00AA21C6">
        <w:rPr>
          <w:szCs w:val="22"/>
          <w:lang w:val="es-ES"/>
        </w:rPr>
        <w:t xml:space="preserve"> del </w:t>
      </w:r>
      <w:r w:rsidRPr="00672806">
        <w:rPr>
          <w:i/>
          <w:szCs w:val="22"/>
          <w:lang w:val="es-ES"/>
        </w:rPr>
        <w:t>Convenio de Berna para la Protección de las Obras Literarias y Artísticas</w:t>
      </w:r>
      <w:r w:rsidRPr="00AA21C6">
        <w:rPr>
          <w:szCs w:val="22"/>
          <w:lang w:val="es-ES"/>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AA21C6">
        <w:rPr>
          <w:rStyle w:val="FootnoteReference"/>
          <w:szCs w:val="22"/>
          <w:lang w:val="es-ES"/>
        </w:rPr>
        <w:footnoteReference w:id="44"/>
      </w:r>
    </w:p>
    <w:p w:rsidR="00C0409B" w:rsidRPr="00AA21C6" w:rsidRDefault="00C0409B" w:rsidP="00C0409B">
      <w:pPr>
        <w:pStyle w:val="ONUMFS"/>
        <w:numPr>
          <w:ilvl w:val="0"/>
          <w:numId w:val="0"/>
        </w:numPr>
        <w:rPr>
          <w:b/>
          <w:szCs w:val="22"/>
          <w:lang w:val="es-ES"/>
        </w:rPr>
      </w:pPr>
      <w:r w:rsidRPr="00AA21C6">
        <w:rPr>
          <w:b/>
          <w:szCs w:val="22"/>
          <w:lang w:val="es-ES"/>
        </w:rPr>
        <w:t>Conocimientos tradicionales divulgados</w:t>
      </w:r>
    </w:p>
    <w:p w:rsidR="00C0409B" w:rsidRPr="00AA21C6" w:rsidRDefault="00C0409B" w:rsidP="00C0409B">
      <w:pPr>
        <w:pStyle w:val="ONUMFS"/>
        <w:numPr>
          <w:ilvl w:val="0"/>
          <w:numId w:val="0"/>
        </w:numPr>
        <w:rPr>
          <w:szCs w:val="22"/>
          <w:lang w:val="es-ES"/>
        </w:rPr>
      </w:pPr>
      <w:r w:rsidRPr="00AA21C6">
        <w:rPr>
          <w:szCs w:val="22"/>
          <w:lang w:val="es-ES"/>
        </w:rPr>
        <w:t>Por “conocimientos tradicionales divulgados” se entiende “los conocimientos tradicionales</w:t>
      </w:r>
      <w:r w:rsidRPr="00AA21C6">
        <w:rPr>
          <w:i/>
          <w:iCs/>
          <w:szCs w:val="22"/>
          <w:lang w:val="es-ES"/>
        </w:rPr>
        <w:t xml:space="preserve"> </w:t>
      </w:r>
      <w:r w:rsidRPr="00AA21C6">
        <w:rPr>
          <w:iCs/>
          <w:szCs w:val="22"/>
          <w:lang w:val="es-ES"/>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AA21C6">
        <w:rPr>
          <w:szCs w:val="22"/>
          <w:lang w:val="es-ES"/>
        </w:rPr>
        <w:t>”</w:t>
      </w:r>
      <w:r w:rsidRPr="00AA21C6">
        <w:rPr>
          <w:rStyle w:val="FootnoteReference"/>
          <w:szCs w:val="22"/>
          <w:lang w:val="es-ES"/>
        </w:rPr>
        <w:footnoteReference w:id="45"/>
      </w:r>
    </w:p>
    <w:p w:rsidR="00C0409B" w:rsidRPr="00AA21C6" w:rsidRDefault="00C0409B" w:rsidP="00C0409B">
      <w:pPr>
        <w:pStyle w:val="ONUMFS"/>
        <w:numPr>
          <w:ilvl w:val="0"/>
          <w:numId w:val="0"/>
        </w:numPr>
        <w:rPr>
          <w:szCs w:val="22"/>
          <w:lang w:val="es-ES"/>
        </w:rPr>
      </w:pPr>
      <w:r w:rsidRPr="00AA21C6">
        <w:rPr>
          <w:szCs w:val="22"/>
          <w:lang w:val="es-ES"/>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C0409B" w:rsidRPr="00AA21C6" w:rsidRDefault="00C0409B" w:rsidP="00C0409B">
      <w:pPr>
        <w:pStyle w:val="ONUMFS"/>
        <w:numPr>
          <w:ilvl w:val="0"/>
          <w:numId w:val="0"/>
        </w:numPr>
        <w:rPr>
          <w:b/>
          <w:szCs w:val="22"/>
          <w:lang w:val="es-ES"/>
        </w:rPr>
      </w:pPr>
      <w:r w:rsidRPr="00AA21C6">
        <w:rPr>
          <w:b/>
          <w:szCs w:val="22"/>
          <w:lang w:val="es-ES"/>
        </w:rPr>
        <w:t>Divulgación</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“divulgar” es </w:t>
      </w:r>
      <w:r w:rsidRPr="00AA21C6">
        <w:rPr>
          <w:iCs/>
          <w:szCs w:val="22"/>
          <w:lang w:val="es-ES"/>
        </w:rPr>
        <w:t>“publicar, extender, poner al alcance del público algo”</w:t>
      </w:r>
      <w:r w:rsidRPr="00AA21C6">
        <w:rPr>
          <w:szCs w:val="22"/>
          <w:lang w:val="es-ES"/>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AA21C6">
        <w:rPr>
          <w:rStyle w:val="FootnoteReference"/>
          <w:szCs w:val="22"/>
          <w:lang w:val="es-ES"/>
        </w:rPr>
        <w:footnoteReference w:id="46"/>
      </w:r>
      <w:r w:rsidRPr="00AA21C6">
        <w:rPr>
          <w:szCs w:val="22"/>
          <w:lang w:val="es-ES"/>
        </w:rPr>
        <w:t xml:space="preserve">  El reconocimiento de este derecho no es obligatorio en virtud de las normas internacionales de derecho autor.  En el </w:t>
      </w:r>
      <w:r w:rsidRPr="00672806">
        <w:rPr>
          <w:i/>
          <w:szCs w:val="22"/>
          <w:lang w:val="es-ES"/>
        </w:rPr>
        <w:t>Convenio de Berna para la Protección de las Obras Literarias y Artísticas</w:t>
      </w:r>
      <w:r w:rsidRPr="00AA21C6">
        <w:rPr>
          <w:szCs w:val="22"/>
          <w:lang w:val="es-ES"/>
        </w:rPr>
        <w:t xml:space="preserve"> (1971) se habla de la obra divulgada en el capítulo referido a las excepciones.  El autor posee el derecho a divulgar la obra a todo el mundo.</w:t>
      </w:r>
      <w:r w:rsidRPr="00AA21C6">
        <w:rPr>
          <w:rStyle w:val="FootnoteReference"/>
          <w:szCs w:val="22"/>
          <w:lang w:val="es-ES"/>
        </w:rPr>
        <w:footnoteReference w:id="47"/>
      </w:r>
      <w:r w:rsidRPr="00AA21C6">
        <w:rPr>
          <w:szCs w:val="22"/>
          <w:lang w:val="es-ES"/>
        </w:rPr>
        <w:t xml:space="preserve">  En virtud de determinadas legislaciones nacionales, el “derecho de divulgación” constituye un derecho moral.</w:t>
      </w:r>
    </w:p>
    <w:p w:rsidR="00C0409B" w:rsidRPr="00AA21C6" w:rsidRDefault="00C0409B" w:rsidP="00C0409B">
      <w:pPr>
        <w:pStyle w:val="ONUMFS"/>
        <w:numPr>
          <w:ilvl w:val="0"/>
          <w:numId w:val="0"/>
        </w:numPr>
        <w:rPr>
          <w:b/>
          <w:szCs w:val="22"/>
          <w:lang w:val="es-ES"/>
        </w:rPr>
      </w:pPr>
      <w:r w:rsidRPr="00AA21C6">
        <w:rPr>
          <w:b/>
          <w:szCs w:val="22"/>
          <w:lang w:val="es-ES"/>
        </w:rPr>
        <w:t>Requisitos de divulgación</w:t>
      </w:r>
    </w:p>
    <w:p w:rsidR="00C0409B" w:rsidRPr="00AA21C6" w:rsidRDefault="00C0409B" w:rsidP="00C0409B">
      <w:pPr>
        <w:pStyle w:val="ONUMFS"/>
        <w:numPr>
          <w:ilvl w:val="0"/>
          <w:numId w:val="0"/>
        </w:numPr>
        <w:rPr>
          <w:szCs w:val="22"/>
          <w:lang w:val="es-ES"/>
        </w:rPr>
      </w:pPr>
      <w:r w:rsidRPr="00AA21C6">
        <w:rPr>
          <w:szCs w:val="22"/>
          <w:lang w:val="es-ES"/>
        </w:rPr>
        <w:t>La divulgación forma parte de la base fundamental del Derecho de patentes.</w:t>
      </w:r>
      <w:bookmarkStart w:id="9" w:name="sdfootnote19anc"/>
      <w:r w:rsidRPr="00AA21C6">
        <w:rPr>
          <w:rStyle w:val="FootnoteReference"/>
          <w:szCs w:val="22"/>
          <w:lang w:val="es-ES"/>
        </w:rPr>
        <w:footnoteReference w:id="48"/>
      </w:r>
      <w:bookmarkEnd w:id="9"/>
      <w:r w:rsidRPr="00AA21C6">
        <w:rPr>
          <w:szCs w:val="22"/>
          <w:lang w:val="es-ES"/>
        </w:rPr>
        <w:t xml:space="preserve">  El Derecho de patentes impone una obligación general a los solicitantes de patentes, como se establece en el artículo 5 del </w:t>
      </w:r>
      <w:r w:rsidRPr="00672806">
        <w:rPr>
          <w:i/>
          <w:szCs w:val="22"/>
          <w:lang w:val="es-ES"/>
        </w:rPr>
        <w:t>Tratado de Cooperación en materia de Patentes</w:t>
      </w:r>
      <w:r w:rsidRPr="00AA21C6">
        <w:rPr>
          <w:szCs w:val="22"/>
          <w:lang w:val="es-ES"/>
        </w:rPr>
        <w:t xml:space="preserve">:  “[…] divulgar la invención de </w:t>
      </w:r>
      <w:r w:rsidRPr="00AA21C6">
        <w:rPr>
          <w:szCs w:val="22"/>
          <w:lang w:val="es-ES"/>
        </w:rPr>
        <w:lastRenderedPageBreak/>
        <w:t>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AA21C6">
        <w:rPr>
          <w:rStyle w:val="FootnoteReference"/>
          <w:szCs w:val="22"/>
          <w:lang w:val="es-ES"/>
        </w:rPr>
        <w:footnoteReference w:id="49"/>
      </w:r>
    </w:p>
    <w:p w:rsidR="00C0409B" w:rsidRPr="00AA21C6" w:rsidRDefault="00C0409B" w:rsidP="00C0409B">
      <w:pPr>
        <w:pStyle w:val="ONUMFS"/>
        <w:numPr>
          <w:ilvl w:val="0"/>
          <w:numId w:val="0"/>
        </w:numPr>
        <w:rPr>
          <w:szCs w:val="22"/>
          <w:lang w:val="es-ES"/>
        </w:rPr>
      </w:pPr>
      <w:r w:rsidRPr="00AA21C6">
        <w:rPr>
          <w:szCs w:val="22"/>
          <w:lang w:val="es-ES"/>
        </w:rPr>
        <w:t>Se han examinado tres amplias funciones en relación con los métodos de divulgación relativos a los RR.GG. y CC.TT.:</w:t>
      </w:r>
    </w:p>
    <w:p w:rsidR="00C0409B" w:rsidRPr="00AA21C6" w:rsidRDefault="00C0409B" w:rsidP="00C0409B">
      <w:pPr>
        <w:pStyle w:val="ONUMFS"/>
        <w:numPr>
          <w:ilvl w:val="0"/>
          <w:numId w:val="0"/>
        </w:numPr>
        <w:ind w:left="567"/>
        <w:rPr>
          <w:szCs w:val="22"/>
          <w:lang w:val="es-ES"/>
        </w:rPr>
      </w:pPr>
      <w:r w:rsidRPr="00AA21C6">
        <w:rPr>
          <w:szCs w:val="22"/>
          <w:lang w:val="es-ES"/>
        </w:rPr>
        <w:t>–</w:t>
      </w:r>
      <w:r w:rsidRPr="00AA21C6">
        <w:rPr>
          <w:szCs w:val="22"/>
          <w:lang w:val="es-ES"/>
        </w:rPr>
        <w:tab/>
        <w:t>divulgar los RR.GG./CC.TT. utilizados realmente en el proceso de puesta a punto de la invención (función descriptiva o de transparencia, relativa a los RR.GG./CC.TT. como tales y a su relación con la invención);</w:t>
      </w:r>
    </w:p>
    <w:p w:rsidR="00C0409B" w:rsidRPr="00AA21C6" w:rsidRDefault="00C0409B" w:rsidP="00C0409B">
      <w:pPr>
        <w:pStyle w:val="ONUMFS"/>
        <w:numPr>
          <w:ilvl w:val="0"/>
          <w:numId w:val="0"/>
        </w:numPr>
        <w:ind w:left="567"/>
        <w:rPr>
          <w:szCs w:val="22"/>
          <w:lang w:val="es-ES"/>
        </w:rPr>
      </w:pPr>
      <w:r w:rsidRPr="00AA21C6">
        <w:rPr>
          <w:szCs w:val="22"/>
          <w:lang w:val="es-ES"/>
        </w:rPr>
        <w:t>–</w:t>
      </w:r>
      <w:r w:rsidRPr="00AA21C6">
        <w:rPr>
          <w:szCs w:val="22"/>
          <w:lang w:val="es-ES"/>
        </w:rPr>
        <w:tab/>
        <w:t>divulgar la fuente u or</w:t>
      </w:r>
      <w:r w:rsidR="008D49E2">
        <w:rPr>
          <w:szCs w:val="22"/>
          <w:lang w:val="es-ES"/>
        </w:rPr>
        <w:t xml:space="preserve">igen real de los RR.GG./CC.TT. </w:t>
      </w:r>
      <w:r w:rsidRPr="00AA21C6">
        <w:rPr>
          <w:szCs w:val="22"/>
          <w:lang w:val="es-ES"/>
        </w:rPr>
        <w:t>(divulgación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C0409B" w:rsidRPr="00AA21C6" w:rsidRDefault="00C0409B" w:rsidP="00C0409B">
      <w:pPr>
        <w:pStyle w:val="ONUMFS"/>
        <w:numPr>
          <w:ilvl w:val="0"/>
          <w:numId w:val="0"/>
        </w:numPr>
        <w:ind w:left="567"/>
        <w:rPr>
          <w:szCs w:val="22"/>
          <w:lang w:val="es-ES"/>
        </w:rPr>
      </w:pPr>
      <w:r w:rsidRPr="00AA21C6">
        <w:rPr>
          <w:szCs w:val="22"/>
          <w:lang w:val="es-ES"/>
        </w:rPr>
        <w:t>–</w:t>
      </w:r>
      <w:r w:rsidRPr="00AA21C6">
        <w:rPr>
          <w:szCs w:val="22"/>
          <w:lang w:val="es-ES"/>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AA21C6">
        <w:rPr>
          <w:rStyle w:val="FootnoteReference"/>
          <w:szCs w:val="22"/>
          <w:lang w:val="es-ES"/>
        </w:rPr>
        <w:footnoteReference w:id="50"/>
      </w:r>
    </w:p>
    <w:p w:rsidR="00C0409B" w:rsidRPr="00AA21C6" w:rsidRDefault="00C0409B" w:rsidP="00C0409B">
      <w:pPr>
        <w:pStyle w:val="ONUMFS"/>
        <w:numPr>
          <w:ilvl w:val="0"/>
          <w:numId w:val="0"/>
        </w:numPr>
        <w:rPr>
          <w:szCs w:val="22"/>
          <w:lang w:val="es-ES"/>
        </w:rPr>
      </w:pPr>
      <w:r w:rsidRPr="00AA21C6">
        <w:rPr>
          <w:szCs w:val="22"/>
          <w:lang w:val="es-ES"/>
        </w:rPr>
        <w:t xml:space="preserve">Por invitación de la Conferencia de las Partes en el </w:t>
      </w:r>
      <w:r w:rsidRPr="00672806">
        <w:rPr>
          <w:i/>
          <w:szCs w:val="22"/>
          <w:lang w:val="es-ES"/>
        </w:rPr>
        <w:t>Convenio sobre la Diversidad Biológica</w:t>
      </w:r>
      <w:r w:rsidRPr="00AA21C6">
        <w:rPr>
          <w:szCs w:val="22"/>
          <w:lang w:val="es-ES"/>
        </w:rPr>
        <w:t xml:space="preserve">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AA21C6">
        <w:rPr>
          <w:rStyle w:val="FootnoteReference"/>
          <w:szCs w:val="22"/>
          <w:lang w:val="es-ES"/>
        </w:rPr>
        <w:footnoteReference w:id="51"/>
      </w:r>
    </w:p>
    <w:p w:rsidR="00C0409B" w:rsidRPr="00AA21C6" w:rsidRDefault="00C0409B" w:rsidP="00C0409B">
      <w:pPr>
        <w:pStyle w:val="ONUMFS"/>
        <w:numPr>
          <w:ilvl w:val="0"/>
          <w:numId w:val="0"/>
        </w:numPr>
        <w:rPr>
          <w:szCs w:val="22"/>
          <w:lang w:val="es-ES"/>
        </w:rPr>
      </w:pPr>
      <w:r w:rsidRPr="00AA21C6">
        <w:rPr>
          <w:szCs w:val="22"/>
          <w:lang w:val="es-ES"/>
        </w:rPr>
        <w:t xml:space="preserve">Se han presentado diversas propuestas al CIG.  La propuesta de Suiza tiene por objeto introducir un requisito de divulgación en el </w:t>
      </w:r>
      <w:r w:rsidR="00672806" w:rsidRPr="00672806">
        <w:rPr>
          <w:i/>
          <w:szCs w:val="22"/>
          <w:lang w:val="es-ES"/>
        </w:rPr>
        <w:t>Tratado de Cooperación en materia de Patentes</w:t>
      </w:r>
      <w:r w:rsidRPr="00AA21C6">
        <w:rPr>
          <w:szCs w:val="22"/>
          <w:lang w:val="es-ES"/>
        </w:rPr>
        <w:t>, que afecte tanto a las solicitudes internacionales como nacionales, por el cual se obligue a los solicitantes de patentes a declarar la fuente de los recursos genéticos y conocimientos tradicionales.</w:t>
      </w:r>
      <w:r w:rsidRPr="00AA21C6">
        <w:rPr>
          <w:rStyle w:val="FootnoteReference"/>
          <w:szCs w:val="22"/>
          <w:lang w:val="es-ES"/>
        </w:rPr>
        <w:footnoteReference w:id="52"/>
      </w:r>
      <w:r w:rsidRPr="00AA21C6">
        <w:rPr>
          <w:szCs w:val="22"/>
          <w:lang w:val="es-ES"/>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AA21C6">
        <w:rPr>
          <w:rStyle w:val="FootnoteReference"/>
          <w:szCs w:val="22"/>
          <w:lang w:val="es-ES"/>
        </w:rPr>
        <w:footnoteReference w:id="53"/>
      </w:r>
      <w:r w:rsidRPr="00AA21C6">
        <w:rPr>
          <w:szCs w:val="22"/>
          <w:lang w:val="es-ES"/>
        </w:rPr>
        <w:t xml:space="preserve">  La propuesta del Grupo Africano, basada en las propuestas de Suiza y la Unión Europea, comprende también la </w:t>
      </w:r>
      <w:r w:rsidRPr="00AA21C6">
        <w:rPr>
          <w:szCs w:val="22"/>
          <w:lang w:val="es-ES"/>
        </w:rPr>
        <w:lastRenderedPageBreak/>
        <w:t xml:space="preserve">introducción de un certificado de cumplimiento reconocido a escala internacional, como estipula el </w:t>
      </w:r>
      <w:r w:rsidRPr="00672806">
        <w:rPr>
          <w:i/>
          <w:szCs w:val="22"/>
          <w:lang w:val="es-ES"/>
        </w:rPr>
        <w:t>Protocolo de Nagoya de Acceso a los Recursos Genético y Participación Justa y Equitativa en los Beneficios que se Deriven de su Utilización</w:t>
      </w:r>
      <w:r w:rsidRPr="00AA21C6">
        <w:rPr>
          <w:szCs w:val="22"/>
          <w:lang w:val="es-ES"/>
        </w:rPr>
        <w:t xml:space="preserve"> (2010).</w:t>
      </w:r>
      <w:r w:rsidRPr="00AA21C6">
        <w:rPr>
          <w:rStyle w:val="FootnoteReference"/>
          <w:szCs w:val="22"/>
          <w:lang w:val="es-ES"/>
        </w:rPr>
        <w:footnoteReference w:id="54"/>
      </w:r>
      <w:r w:rsidRPr="00AA21C6">
        <w:rPr>
          <w:szCs w:val="22"/>
          <w:lang w:val="es-ES"/>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participación en los beneficios se basa en condiciones mutuamente convenidas, además de información oral y escrita que permita efectuar la búsqueda y el examen de tales solicitudes.</w:t>
      </w:r>
      <w:r w:rsidRPr="00AA21C6">
        <w:rPr>
          <w:rStyle w:val="FootnoteReference"/>
          <w:szCs w:val="22"/>
          <w:lang w:val="es-ES"/>
        </w:rPr>
        <w:footnoteReference w:id="55"/>
      </w:r>
    </w:p>
    <w:p w:rsidR="00C0409B" w:rsidRPr="00AA21C6" w:rsidRDefault="00C0409B" w:rsidP="00C0409B">
      <w:pPr>
        <w:pStyle w:val="ONUMFS"/>
        <w:numPr>
          <w:ilvl w:val="0"/>
          <w:numId w:val="0"/>
        </w:numPr>
        <w:rPr>
          <w:b/>
          <w:szCs w:val="22"/>
          <w:lang w:val="es-ES"/>
        </w:rPr>
      </w:pPr>
      <w:r w:rsidRPr="00AA21C6">
        <w:rPr>
          <w:szCs w:val="22"/>
          <w:lang w:val="es-ES"/>
        </w:rPr>
        <w:t>Asimismo, se han propuesto mecanismos alternativos a los requisitos de divulgación.</w:t>
      </w:r>
      <w:r w:rsidRPr="00AA21C6">
        <w:rPr>
          <w:rStyle w:val="FootnoteReference"/>
          <w:szCs w:val="22"/>
          <w:lang w:val="es-ES"/>
        </w:rPr>
        <w:footnoteReference w:id="56"/>
      </w:r>
      <w:r w:rsidRPr="00AA21C6">
        <w:rPr>
          <w:szCs w:val="22"/>
          <w:lang w:val="es-ES"/>
        </w:rPr>
        <w:t xml:space="preserve">  Y una de las iniciativas internacionales emprendidas actualmente con relación al requisito de divulgación:  el artículo 29</w:t>
      </w:r>
      <w:r w:rsidRPr="00AA21C6">
        <w:rPr>
          <w:i/>
          <w:iCs/>
          <w:szCs w:val="22"/>
          <w:lang w:val="es-ES"/>
        </w:rPr>
        <w:t>bis</w:t>
      </w:r>
      <w:r w:rsidRPr="00AA21C6">
        <w:rPr>
          <w:szCs w:val="22"/>
          <w:lang w:val="es-ES"/>
        </w:rPr>
        <w:t xml:space="preserve"> del </w:t>
      </w:r>
      <w:r w:rsidRPr="00672806">
        <w:rPr>
          <w:i/>
          <w:szCs w:val="22"/>
          <w:lang w:val="es-ES"/>
        </w:rPr>
        <w:t>Acuerdo sobre los ADPIC</w:t>
      </w:r>
      <w:r w:rsidRPr="00AA21C6">
        <w:rPr>
          <w:szCs w:val="22"/>
          <w:lang w:val="es-ES"/>
        </w:rPr>
        <w:t xml:space="preserve"> de la OMC, propuesto por algunos países.</w:t>
      </w:r>
      <w:r w:rsidRPr="00AA21C6">
        <w:rPr>
          <w:rStyle w:val="FootnoteReference"/>
          <w:szCs w:val="22"/>
          <w:lang w:val="es-ES"/>
        </w:rPr>
        <w:footnoteReference w:id="57"/>
      </w:r>
    </w:p>
    <w:p w:rsidR="00C0409B" w:rsidRPr="00AA21C6" w:rsidRDefault="00C0409B" w:rsidP="00C0409B">
      <w:pPr>
        <w:pStyle w:val="ONUMFS"/>
        <w:numPr>
          <w:ilvl w:val="0"/>
          <w:numId w:val="0"/>
        </w:numPr>
        <w:rPr>
          <w:b/>
          <w:szCs w:val="22"/>
          <w:lang w:val="es-ES"/>
        </w:rPr>
      </w:pPr>
      <w:r w:rsidRPr="00AA21C6">
        <w:rPr>
          <w:b/>
          <w:szCs w:val="22"/>
          <w:lang w:val="es-ES"/>
        </w:rPr>
        <w:t>Catalogación</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“catalogar” es </w:t>
      </w:r>
      <w:r w:rsidRPr="00AA21C6">
        <w:rPr>
          <w:i/>
          <w:iCs/>
          <w:szCs w:val="22"/>
          <w:lang w:val="es-ES"/>
        </w:rPr>
        <w:t>“</w:t>
      </w:r>
      <w:r w:rsidRPr="00AA21C6">
        <w:rPr>
          <w:iCs/>
          <w:szCs w:val="22"/>
          <w:lang w:val="es-ES"/>
        </w:rPr>
        <w:t>apuntar, registrar ordenadamente libros, documentos, etc., formando catálogo de ellos”</w:t>
      </w:r>
      <w:r w:rsidRPr="00AA21C6">
        <w:rPr>
          <w:szCs w:val="22"/>
          <w:lang w:val="es-ES"/>
        </w:rPr>
        <w:t xml:space="preserve"> y, a su vez, por “catálogo” se entiende lo siguiente:  “</w:t>
      </w:r>
      <w:r w:rsidRPr="00AA21C6">
        <w:rPr>
          <w:iCs/>
          <w:szCs w:val="22"/>
          <w:lang w:val="es-ES"/>
        </w:rPr>
        <w:t>relación ordenada en la que se incluyen o describen de forma individual libros, documentos, personas, objetos, etc., que están relacionados entre sí”</w:t>
      </w:r>
      <w:r w:rsidRPr="00AA21C6">
        <w:rPr>
          <w:szCs w:val="22"/>
          <w:lang w:val="es-ES"/>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AA21C6">
        <w:rPr>
          <w:rStyle w:val="FootnoteReference"/>
          <w:szCs w:val="22"/>
          <w:lang w:val="es-ES"/>
        </w:rPr>
        <w:footnoteReference w:id="58"/>
      </w:r>
    </w:p>
    <w:p w:rsidR="00C0409B" w:rsidRPr="00AA21C6" w:rsidRDefault="00C0409B" w:rsidP="00C0409B">
      <w:pPr>
        <w:pStyle w:val="ONUMFS"/>
        <w:numPr>
          <w:ilvl w:val="0"/>
          <w:numId w:val="0"/>
        </w:numPr>
        <w:rPr>
          <w:b/>
          <w:szCs w:val="22"/>
          <w:lang w:val="es-ES"/>
        </w:rPr>
      </w:pPr>
      <w:r w:rsidRPr="00AA21C6">
        <w:rPr>
          <w:szCs w:val="22"/>
          <w:lang w:val="es-ES"/>
        </w:rPr>
        <w:t>La catalogación es especialmente importante, pues a menudo es la manera en que las personas ajenas al círculo tradicional pueden acceder a los conocimientos.</w:t>
      </w:r>
      <w:r w:rsidRPr="00AA21C6">
        <w:rPr>
          <w:rStyle w:val="FootnoteReference"/>
          <w:szCs w:val="22"/>
          <w:lang w:val="es-ES"/>
        </w:rPr>
        <w:footnoteReference w:id="59"/>
      </w:r>
      <w:r w:rsidRPr="00AA21C6">
        <w:rPr>
          <w:szCs w:val="22"/>
          <w:lang w:val="es-ES"/>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C0409B" w:rsidRPr="00AA21C6" w:rsidRDefault="00C0409B" w:rsidP="00C0409B">
      <w:pPr>
        <w:pStyle w:val="ONUMFS"/>
        <w:numPr>
          <w:ilvl w:val="0"/>
          <w:numId w:val="0"/>
        </w:numPr>
        <w:rPr>
          <w:b/>
          <w:szCs w:val="22"/>
          <w:lang w:val="es-ES"/>
        </w:rPr>
      </w:pPr>
      <w:r w:rsidRPr="00AA21C6">
        <w:rPr>
          <w:b/>
          <w:szCs w:val="22"/>
          <w:lang w:val="es-ES"/>
        </w:rPr>
        <w:t>Remuneración equitativa</w:t>
      </w:r>
    </w:p>
    <w:p w:rsidR="00C0409B" w:rsidRPr="00AA21C6" w:rsidRDefault="00C0409B" w:rsidP="00C0409B">
      <w:pPr>
        <w:pStyle w:val="ONUMFS"/>
        <w:numPr>
          <w:ilvl w:val="0"/>
          <w:numId w:val="0"/>
        </w:numPr>
        <w:rPr>
          <w:b/>
          <w:szCs w:val="22"/>
          <w:lang w:val="es-ES"/>
        </w:rPr>
      </w:pPr>
      <w:r w:rsidRPr="00AA21C6">
        <w:rPr>
          <w:szCs w:val="22"/>
          <w:lang w:val="es-ES"/>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AA21C6">
        <w:rPr>
          <w:rStyle w:val="FootnoteReference"/>
          <w:szCs w:val="22"/>
          <w:lang w:val="es-ES"/>
        </w:rPr>
        <w:footnoteReference w:id="60"/>
      </w:r>
      <w:r w:rsidRPr="00AA21C6">
        <w:rPr>
          <w:szCs w:val="22"/>
          <w:lang w:val="es-ES"/>
        </w:rPr>
        <w:t xml:space="preserve">  En el </w:t>
      </w:r>
      <w:r w:rsidRPr="006748FD">
        <w:rPr>
          <w:i/>
          <w:szCs w:val="22"/>
          <w:lang w:val="es-ES"/>
        </w:rPr>
        <w:t>Tratado de la OMPI sobre Interpretación o Ejecución y Fonogramas</w:t>
      </w:r>
      <w:r w:rsidRPr="00AA21C6">
        <w:rPr>
          <w:szCs w:val="22"/>
          <w:lang w:val="es-ES"/>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C0409B" w:rsidRPr="00AA21C6" w:rsidRDefault="00C0409B" w:rsidP="00C0409B">
      <w:pPr>
        <w:pStyle w:val="ONUMFS"/>
        <w:numPr>
          <w:ilvl w:val="0"/>
          <w:numId w:val="0"/>
        </w:numPr>
        <w:rPr>
          <w:b/>
          <w:szCs w:val="22"/>
          <w:lang w:val="es-ES"/>
        </w:rPr>
      </w:pPr>
      <w:r w:rsidRPr="00AA21C6">
        <w:rPr>
          <w:b/>
          <w:szCs w:val="22"/>
          <w:lang w:val="es-ES"/>
        </w:rPr>
        <w:lastRenderedPageBreak/>
        <w:t>Excepciones</w:t>
      </w:r>
    </w:p>
    <w:p w:rsidR="00C0409B" w:rsidRPr="00AA21C6" w:rsidRDefault="00C0409B" w:rsidP="00C0409B">
      <w:pPr>
        <w:pStyle w:val="ONUMFS"/>
        <w:numPr>
          <w:ilvl w:val="0"/>
          <w:numId w:val="0"/>
        </w:numPr>
        <w:rPr>
          <w:b/>
          <w:szCs w:val="22"/>
          <w:lang w:val="es-ES"/>
        </w:rPr>
      </w:pPr>
      <w:r w:rsidRPr="00AA21C6">
        <w:rPr>
          <w:szCs w:val="22"/>
          <w:lang w:val="es-ES"/>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AA21C6">
        <w:rPr>
          <w:rStyle w:val="FootnoteReference"/>
          <w:szCs w:val="22"/>
          <w:lang w:val="es-ES"/>
        </w:rPr>
        <w:footnoteReference w:id="61"/>
      </w:r>
      <w:r w:rsidRPr="00AA21C6">
        <w:rPr>
          <w:szCs w:val="22"/>
          <w:lang w:val="es-ES"/>
        </w:rPr>
        <w:t xml:space="preserve">  En el </w:t>
      </w:r>
      <w:r w:rsidRPr="006748FD">
        <w:rPr>
          <w:i/>
          <w:szCs w:val="22"/>
          <w:lang w:val="es-ES"/>
        </w:rPr>
        <w:t>Convenio de Berna para la Protección de las Obras Literarias y Artísticas</w:t>
      </w:r>
      <w:r w:rsidRPr="00AA21C6">
        <w:rPr>
          <w:szCs w:val="22"/>
          <w:lang w:val="es-ES"/>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AA21C6">
        <w:rPr>
          <w:rStyle w:val="FootnoteReference"/>
          <w:szCs w:val="22"/>
          <w:lang w:val="es-ES"/>
        </w:rPr>
        <w:footnoteReference w:id="62"/>
      </w:r>
    </w:p>
    <w:p w:rsidR="00C0409B" w:rsidRPr="00AA21C6" w:rsidRDefault="00C0409B" w:rsidP="00C0409B">
      <w:pPr>
        <w:pStyle w:val="ONUMFS"/>
        <w:numPr>
          <w:ilvl w:val="0"/>
          <w:numId w:val="0"/>
        </w:numPr>
        <w:rPr>
          <w:b/>
          <w:szCs w:val="22"/>
          <w:lang w:val="es-ES"/>
        </w:rPr>
      </w:pPr>
      <w:r w:rsidRPr="00AA21C6">
        <w:rPr>
          <w:b/>
          <w:szCs w:val="22"/>
          <w:lang w:val="es-ES"/>
        </w:rPr>
        <w:t>Expresión corporal</w:t>
      </w:r>
    </w:p>
    <w:p w:rsidR="00C0409B" w:rsidRPr="00AA21C6" w:rsidRDefault="00C0409B" w:rsidP="00C0409B">
      <w:pPr>
        <w:pStyle w:val="ONUMFS"/>
        <w:numPr>
          <w:ilvl w:val="0"/>
          <w:numId w:val="0"/>
        </w:numPr>
        <w:rPr>
          <w:b/>
          <w:szCs w:val="22"/>
          <w:lang w:val="es-ES"/>
        </w:rPr>
      </w:pPr>
      <w:r w:rsidRPr="00AA21C6">
        <w:rPr>
          <w:szCs w:val="22"/>
          <w:lang w:val="es-ES"/>
        </w:rPr>
        <w:t>La “expresión corporal” es el modo de expresarse gracias al movimiento del cuerpo humano.</w:t>
      </w:r>
      <w:r w:rsidRPr="00AA21C6">
        <w:rPr>
          <w:rStyle w:val="FootnoteReference"/>
          <w:szCs w:val="22"/>
          <w:lang w:val="es-ES"/>
        </w:rPr>
        <w:footnoteReference w:id="63"/>
      </w:r>
      <w:r w:rsidRPr="00AA21C6">
        <w:rPr>
          <w:szCs w:val="22"/>
          <w:lang w:val="es-ES"/>
        </w:rPr>
        <w:t xml:space="preserve">  Comprende, entre otras, las danzas y representaciones escénicas populares y formas artísticas de rituales, y no necesitan estar fijadas en un soporte, por ejemplo, estar escritas mediante la notación coreográfica</w:t>
      </w:r>
      <w:r w:rsidRPr="00AA21C6">
        <w:rPr>
          <w:szCs w:val="22"/>
          <w:vertAlign w:val="superscript"/>
          <w:lang w:val="es-ES"/>
        </w:rPr>
        <w:t>”</w:t>
      </w:r>
      <w:r w:rsidRPr="00AA21C6">
        <w:rPr>
          <w:szCs w:val="22"/>
          <w:lang w:val="es-ES"/>
        </w:rPr>
        <w:t>.</w:t>
      </w:r>
      <w:r w:rsidRPr="00AA21C6">
        <w:rPr>
          <w:rStyle w:val="FootnoteReference"/>
          <w:szCs w:val="22"/>
          <w:lang w:val="es-ES"/>
        </w:rPr>
        <w:footnoteReference w:id="64"/>
      </w:r>
    </w:p>
    <w:p w:rsidR="00C0409B" w:rsidRPr="00AA21C6" w:rsidRDefault="00C0409B" w:rsidP="00C0409B">
      <w:pPr>
        <w:pStyle w:val="ONUMFS"/>
        <w:numPr>
          <w:ilvl w:val="0"/>
          <w:numId w:val="0"/>
        </w:numPr>
        <w:rPr>
          <w:b/>
          <w:szCs w:val="22"/>
          <w:lang w:val="es-ES"/>
        </w:rPr>
      </w:pPr>
      <w:r w:rsidRPr="00AA21C6">
        <w:rPr>
          <w:b/>
          <w:szCs w:val="22"/>
          <w:lang w:val="es-ES"/>
        </w:rPr>
        <w:t>Expresiones del folclore</w:t>
      </w:r>
    </w:p>
    <w:p w:rsidR="00C0409B" w:rsidRPr="00AA21C6" w:rsidRDefault="00C0409B" w:rsidP="00C0409B">
      <w:pPr>
        <w:pStyle w:val="ONUMFS"/>
        <w:numPr>
          <w:ilvl w:val="0"/>
          <w:numId w:val="0"/>
        </w:numPr>
        <w:rPr>
          <w:szCs w:val="22"/>
          <w:lang w:val="es-ES"/>
        </w:rPr>
      </w:pPr>
      <w:r w:rsidRPr="00AA21C6">
        <w:rPr>
          <w:szCs w:val="22"/>
          <w:lang w:val="es-ES"/>
        </w:rPr>
        <w:t xml:space="preserve">En las </w:t>
      </w:r>
      <w:r w:rsidRPr="006748FD">
        <w:rPr>
          <w:i/>
          <w:szCs w:val="22"/>
          <w:lang w:val="es-ES"/>
        </w:rPr>
        <w:t>Disposiciones Tipo para leyes nacionales sobre la protección de las expresiones del folclore contra la explotación ilícita y otras acciones lesivas</w:t>
      </w:r>
      <w:r w:rsidRPr="00AA21C6">
        <w:rPr>
          <w:szCs w:val="22"/>
          <w:lang w:val="es-ES"/>
        </w:rPr>
        <w:t xml:space="preserve"> (1982), </w:t>
      </w:r>
      <w:r w:rsidR="006748FD">
        <w:rPr>
          <w:szCs w:val="22"/>
          <w:lang w:val="es-ES"/>
        </w:rPr>
        <w:t xml:space="preserve">de la OMPI y la UNESCO, </w:t>
      </w:r>
      <w:r w:rsidRPr="00AA21C6">
        <w:rPr>
          <w:szCs w:val="22"/>
          <w:lang w:val="es-ES"/>
        </w:rPr>
        <w:t>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C0409B" w:rsidRPr="00AA21C6" w:rsidRDefault="00C0409B" w:rsidP="00C0409B">
      <w:pPr>
        <w:pStyle w:val="ONUMFS"/>
        <w:numPr>
          <w:ilvl w:val="0"/>
          <w:numId w:val="0"/>
        </w:numPr>
        <w:ind w:left="567"/>
        <w:rPr>
          <w:szCs w:val="22"/>
          <w:lang w:val="es-ES"/>
        </w:rPr>
      </w:pPr>
      <w:r w:rsidRPr="00AA21C6">
        <w:rPr>
          <w:szCs w:val="22"/>
          <w:lang w:val="es-ES"/>
        </w:rPr>
        <w:t>i)</w:t>
      </w:r>
      <w:r w:rsidRPr="00AA21C6">
        <w:rPr>
          <w:szCs w:val="22"/>
          <w:lang w:val="es-ES"/>
        </w:rPr>
        <w:tab/>
        <w:t>las expresiones verbales, tales como los cuentos populares, la poesía popular y los enigmas;</w:t>
      </w:r>
    </w:p>
    <w:p w:rsidR="00C0409B" w:rsidRPr="00AA21C6" w:rsidRDefault="00C0409B" w:rsidP="00C0409B">
      <w:pPr>
        <w:pStyle w:val="ONUMFS"/>
        <w:numPr>
          <w:ilvl w:val="0"/>
          <w:numId w:val="0"/>
        </w:numPr>
        <w:ind w:left="567"/>
        <w:rPr>
          <w:szCs w:val="22"/>
          <w:lang w:val="es-ES"/>
        </w:rPr>
      </w:pPr>
      <w:r w:rsidRPr="00AA21C6">
        <w:rPr>
          <w:szCs w:val="22"/>
          <w:lang w:val="es-ES"/>
        </w:rPr>
        <w:t>ii)</w:t>
      </w:r>
      <w:r w:rsidRPr="00AA21C6">
        <w:rPr>
          <w:szCs w:val="22"/>
          <w:lang w:val="es-ES"/>
        </w:rPr>
        <w:tab/>
        <w:t>las expresiones musicales, tales como las canciones y la música instrumental populares;</w:t>
      </w:r>
    </w:p>
    <w:p w:rsidR="00C0409B" w:rsidRPr="00AA21C6" w:rsidRDefault="00C0409B" w:rsidP="00C0409B">
      <w:pPr>
        <w:pStyle w:val="ONUMFS"/>
        <w:numPr>
          <w:ilvl w:val="0"/>
          <w:numId w:val="0"/>
        </w:numPr>
        <w:ind w:left="567"/>
        <w:rPr>
          <w:szCs w:val="22"/>
          <w:lang w:val="es-ES"/>
        </w:rPr>
      </w:pPr>
      <w:r w:rsidRPr="00AA21C6">
        <w:rPr>
          <w:szCs w:val="22"/>
          <w:lang w:val="es-ES"/>
        </w:rPr>
        <w:t>iii)</w:t>
      </w:r>
      <w:r w:rsidRPr="00AA21C6">
        <w:rPr>
          <w:szCs w:val="22"/>
          <w:lang w:val="es-ES"/>
        </w:rPr>
        <w:tab/>
        <w:t>las expresiones corporales, tales como las danzas y representaciones escénicas populares y formas artísticas de rituales, estén o no fijadas en un soporte;  y</w:t>
      </w:r>
    </w:p>
    <w:p w:rsidR="00C0409B" w:rsidRPr="00AA21C6" w:rsidRDefault="00C0409B" w:rsidP="00C0409B">
      <w:pPr>
        <w:pStyle w:val="ONUMFS"/>
        <w:numPr>
          <w:ilvl w:val="0"/>
          <w:numId w:val="0"/>
        </w:numPr>
        <w:ind w:left="567"/>
        <w:rPr>
          <w:szCs w:val="22"/>
          <w:lang w:val="es-ES"/>
        </w:rPr>
      </w:pPr>
      <w:r w:rsidRPr="00AA21C6">
        <w:rPr>
          <w:szCs w:val="22"/>
          <w:lang w:val="es-ES"/>
        </w:rPr>
        <w:t>iv)</w:t>
      </w:r>
      <w:r w:rsidRPr="00AA21C6">
        <w:rPr>
          <w:szCs w:val="22"/>
          <w:lang w:val="es-ES"/>
        </w:rPr>
        <w:tab/>
        <w:t>las expresiones ta</w:t>
      </w:r>
      <w:bookmarkStart w:id="10" w:name="sdfootnote40anc"/>
      <w:r w:rsidRPr="00AA21C6">
        <w:rPr>
          <w:szCs w:val="22"/>
          <w:lang w:val="es-ES"/>
        </w:rPr>
        <w:t>ngibles</w:t>
      </w:r>
      <w:bookmarkEnd w:id="10"/>
      <w:r w:rsidRPr="00AA21C6">
        <w:rPr>
          <w:szCs w:val="22"/>
          <w:lang w:val="es-ES"/>
        </w:rPr>
        <w:t>.</w:t>
      </w:r>
      <w:r w:rsidRPr="00AA21C6">
        <w:rPr>
          <w:rStyle w:val="FootnoteReference"/>
          <w:szCs w:val="22"/>
          <w:lang w:val="es-ES"/>
        </w:rPr>
        <w:footnoteReference w:id="65"/>
      </w:r>
    </w:p>
    <w:p w:rsidR="00C0409B" w:rsidRPr="00AA21C6" w:rsidRDefault="00C0409B" w:rsidP="00C0409B">
      <w:pPr>
        <w:pStyle w:val="ONUMFS"/>
        <w:numPr>
          <w:ilvl w:val="0"/>
          <w:numId w:val="0"/>
        </w:numPr>
        <w:rPr>
          <w:b/>
          <w:szCs w:val="22"/>
          <w:lang w:val="es-ES"/>
        </w:rPr>
      </w:pPr>
      <w:r w:rsidRPr="00AA21C6">
        <w:rPr>
          <w:szCs w:val="22"/>
          <w:lang w:val="es-ES"/>
        </w:rPr>
        <w:t>En el contexto del CIG, los términos “expresiones culturales tradicionales” y “expresiones del folclore” son sinónimos y se usan indistintamente.</w:t>
      </w:r>
    </w:p>
    <w:p w:rsidR="00C0409B" w:rsidRPr="00AA21C6" w:rsidRDefault="00C0409B" w:rsidP="00C0409B">
      <w:pPr>
        <w:pStyle w:val="ONUMFS"/>
        <w:numPr>
          <w:ilvl w:val="0"/>
          <w:numId w:val="0"/>
        </w:numPr>
        <w:rPr>
          <w:b/>
          <w:szCs w:val="22"/>
          <w:lang w:val="es-ES"/>
        </w:rPr>
      </w:pPr>
      <w:r w:rsidRPr="00AA21C6">
        <w:rPr>
          <w:b/>
          <w:i/>
          <w:iCs/>
          <w:szCs w:val="22"/>
          <w:lang w:val="es-ES"/>
        </w:rPr>
        <w:t>Ex-situ</w:t>
      </w:r>
    </w:p>
    <w:p w:rsidR="00C0409B" w:rsidRPr="00AA21C6" w:rsidRDefault="00C0409B" w:rsidP="00C0409B">
      <w:pPr>
        <w:pStyle w:val="ONUMFS"/>
        <w:numPr>
          <w:ilvl w:val="0"/>
          <w:numId w:val="0"/>
        </w:numPr>
        <w:rPr>
          <w:szCs w:val="22"/>
          <w:lang w:val="es-ES"/>
        </w:rPr>
      </w:pPr>
      <w:r w:rsidRPr="00AA21C6">
        <w:rPr>
          <w:szCs w:val="22"/>
          <w:lang w:val="es-ES"/>
        </w:rPr>
        <w:t xml:space="preserve">En referencia a la definición de “conservación </w:t>
      </w:r>
      <w:r w:rsidRPr="00AA21C6">
        <w:rPr>
          <w:i/>
          <w:iCs/>
          <w:szCs w:val="22"/>
          <w:lang w:val="es-ES"/>
        </w:rPr>
        <w:t>ex situ</w:t>
      </w:r>
      <w:r w:rsidRPr="00AA21C6">
        <w:rPr>
          <w:szCs w:val="22"/>
          <w:lang w:val="es-ES"/>
        </w:rPr>
        <w:t xml:space="preserve">” del artículo 2 del </w:t>
      </w:r>
      <w:r w:rsidRPr="006748FD">
        <w:rPr>
          <w:i/>
          <w:szCs w:val="22"/>
          <w:lang w:val="es-ES"/>
        </w:rPr>
        <w:t>Convenio sobre la Diversidad Biológica</w:t>
      </w:r>
      <w:r w:rsidRPr="00AA21C6">
        <w:rPr>
          <w:szCs w:val="22"/>
          <w:lang w:val="es-ES"/>
        </w:rPr>
        <w:t xml:space="preserve"> (1992), por “</w:t>
      </w:r>
      <w:r w:rsidRPr="00AA21C6">
        <w:rPr>
          <w:i/>
          <w:iCs/>
          <w:szCs w:val="22"/>
          <w:lang w:val="es-ES"/>
        </w:rPr>
        <w:t>ex situ</w:t>
      </w:r>
      <w:r w:rsidRPr="00AA21C6">
        <w:rPr>
          <w:iCs/>
          <w:szCs w:val="22"/>
          <w:lang w:val="es-ES"/>
        </w:rPr>
        <w:t>”</w:t>
      </w:r>
      <w:r w:rsidRPr="00AA21C6">
        <w:rPr>
          <w:szCs w:val="22"/>
          <w:lang w:val="es-ES"/>
        </w:rPr>
        <w:t xml:space="preserve"> se entiende “la conservación de componentes de la diversidad biológica fuera de sus hábitats naturales”.</w:t>
      </w:r>
    </w:p>
    <w:p w:rsidR="00C0409B" w:rsidRPr="00AA21C6" w:rsidRDefault="00C0409B" w:rsidP="00C0409B">
      <w:pPr>
        <w:pStyle w:val="ONUMFS"/>
        <w:keepNext/>
        <w:numPr>
          <w:ilvl w:val="0"/>
          <w:numId w:val="0"/>
        </w:numPr>
        <w:rPr>
          <w:b/>
          <w:bCs/>
          <w:szCs w:val="22"/>
          <w:lang w:val="es-ES"/>
        </w:rPr>
      </w:pPr>
      <w:r w:rsidRPr="00AA21C6">
        <w:rPr>
          <w:b/>
          <w:bCs/>
          <w:szCs w:val="22"/>
          <w:lang w:val="es-ES"/>
        </w:rPr>
        <w:lastRenderedPageBreak/>
        <w:t>Uso leal</w:t>
      </w:r>
    </w:p>
    <w:p w:rsidR="00C0409B" w:rsidRPr="00AA21C6" w:rsidRDefault="00C0409B" w:rsidP="00C0409B">
      <w:pPr>
        <w:pStyle w:val="ONUMFS"/>
        <w:keepNext/>
        <w:numPr>
          <w:ilvl w:val="0"/>
          <w:numId w:val="0"/>
        </w:numPr>
        <w:rPr>
          <w:b/>
          <w:szCs w:val="22"/>
          <w:lang w:val="es-ES"/>
        </w:rPr>
      </w:pPr>
      <w:r w:rsidRPr="00AA21C6">
        <w:rPr>
          <w:szCs w:val="22"/>
          <w:lang w:val="es-ES"/>
        </w:rPr>
        <w:t xml:space="preserve">Expresión que aparece en determinadas disposiciones del </w:t>
      </w:r>
      <w:r w:rsidRPr="006748FD">
        <w:rPr>
          <w:i/>
          <w:szCs w:val="22"/>
          <w:lang w:val="es-ES"/>
        </w:rPr>
        <w:t>Convenio de Berna para la Protección de las Obras Literarias y Artísticas</w:t>
      </w:r>
      <w:r w:rsidRPr="00AA21C6">
        <w:rPr>
          <w:szCs w:val="22"/>
          <w:lang w:val="es-ES"/>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AA21C6">
        <w:rPr>
          <w:rStyle w:val="FootnoteReference"/>
          <w:szCs w:val="22"/>
          <w:lang w:val="es-ES"/>
        </w:rPr>
        <w:footnoteReference w:id="66"/>
      </w:r>
    </w:p>
    <w:p w:rsidR="00C0409B" w:rsidRPr="00AA21C6" w:rsidRDefault="00C0409B" w:rsidP="00C0409B">
      <w:pPr>
        <w:pStyle w:val="ONUMFS"/>
        <w:keepNext/>
        <w:keepLines/>
        <w:numPr>
          <w:ilvl w:val="0"/>
          <w:numId w:val="0"/>
        </w:numPr>
        <w:rPr>
          <w:b/>
          <w:bCs/>
          <w:szCs w:val="22"/>
          <w:lang w:val="es-ES"/>
        </w:rPr>
      </w:pPr>
      <w:r w:rsidRPr="00AA21C6">
        <w:rPr>
          <w:b/>
          <w:bCs/>
          <w:szCs w:val="22"/>
          <w:lang w:val="es-ES"/>
        </w:rPr>
        <w:t>Derechos del agricultor</w:t>
      </w:r>
    </w:p>
    <w:p w:rsidR="00C0409B" w:rsidRPr="00AA21C6" w:rsidRDefault="00C0409B" w:rsidP="00C0409B">
      <w:pPr>
        <w:pStyle w:val="ONUMFS"/>
        <w:keepNext/>
        <w:keepLines/>
        <w:numPr>
          <w:ilvl w:val="0"/>
          <w:numId w:val="0"/>
        </w:numPr>
        <w:rPr>
          <w:b/>
          <w:szCs w:val="22"/>
          <w:lang w:val="es-ES"/>
        </w:rPr>
      </w:pPr>
      <w:r w:rsidRPr="00AA21C6">
        <w:rPr>
          <w:szCs w:val="22"/>
          <w:lang w:val="es-ES"/>
        </w:rPr>
        <w:t xml:space="preserve">En el artículo 9.1 del </w:t>
      </w:r>
      <w:r w:rsidRPr="006748FD">
        <w:rPr>
          <w:i/>
          <w:szCs w:val="22"/>
          <w:lang w:val="es-ES"/>
        </w:rPr>
        <w:t>Tratado Internacional sobre los Recursos Fitogenéticos para la Alimentación y la Agricultura</w:t>
      </w:r>
      <w:r w:rsidRPr="00AA21C6">
        <w:rPr>
          <w:szCs w:val="22"/>
          <w:lang w:val="es-ES"/>
        </w:rPr>
        <w:t xml:space="preserve"> se reconoce “</w:t>
      </w:r>
      <w:r w:rsidRPr="00AA21C6">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AA21C6">
        <w:rPr>
          <w:szCs w:val="22"/>
          <w:lang w:val="es-ES"/>
        </w:rPr>
        <w:t>”.  En el artículo 9.2 se definen los “derechos del agricultor” como:  “</w:t>
      </w:r>
      <w:r w:rsidRPr="00AA21C6">
        <w:rPr>
          <w:iCs/>
          <w:szCs w:val="22"/>
          <w:lang w:val="es-ES"/>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AA21C6">
        <w:rPr>
          <w:szCs w:val="22"/>
          <w:lang w:val="es-ES"/>
        </w:rPr>
        <w:t xml:space="preserve">”.  En el artículo 2 del </w:t>
      </w:r>
      <w:r w:rsidRPr="006748FD">
        <w:rPr>
          <w:i/>
          <w:szCs w:val="22"/>
          <w:lang w:val="es-ES"/>
        </w:rPr>
        <w:t>Código Internacional de Conducta para la Recolección y Transferencia de Germoplasma</w:t>
      </w:r>
      <w:r w:rsidRPr="00AA21C6">
        <w:rPr>
          <w:szCs w:val="22"/>
          <w:lang w:val="es-ES"/>
        </w:rPr>
        <w:t>, de la FAO, se definen esos derechos como “</w:t>
      </w:r>
      <w:r w:rsidRPr="00AA21C6">
        <w:rPr>
          <w:iCs/>
          <w:szCs w:val="22"/>
          <w:lang w:val="es-ES"/>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AA21C6">
        <w:rPr>
          <w:szCs w:val="22"/>
          <w:lang w:val="es-ES"/>
        </w:rPr>
        <w:t>”.</w:t>
      </w:r>
    </w:p>
    <w:p w:rsidR="00C0409B" w:rsidRPr="00AA21C6" w:rsidRDefault="00C0409B" w:rsidP="00C0409B">
      <w:pPr>
        <w:pStyle w:val="ONUMFS"/>
        <w:numPr>
          <w:ilvl w:val="0"/>
          <w:numId w:val="0"/>
        </w:numPr>
        <w:rPr>
          <w:b/>
          <w:bCs/>
          <w:szCs w:val="22"/>
          <w:lang w:val="es-ES"/>
        </w:rPr>
      </w:pPr>
      <w:r w:rsidRPr="00AA21C6">
        <w:rPr>
          <w:b/>
          <w:bCs/>
          <w:szCs w:val="22"/>
          <w:lang w:val="es-ES"/>
        </w:rPr>
        <w:t>Fijación</w:t>
      </w:r>
    </w:p>
    <w:p w:rsidR="00C0409B" w:rsidRPr="00AA21C6" w:rsidRDefault="00C0409B" w:rsidP="00C0409B">
      <w:pPr>
        <w:pStyle w:val="ONUMFS"/>
        <w:numPr>
          <w:ilvl w:val="0"/>
          <w:numId w:val="0"/>
        </w:numPr>
        <w:rPr>
          <w:szCs w:val="22"/>
          <w:lang w:val="es-ES"/>
        </w:rPr>
      </w:pPr>
      <w:bookmarkStart w:id="11" w:name="_Ref289444051"/>
      <w:bookmarkEnd w:id="11"/>
      <w:r w:rsidRPr="00AA21C6">
        <w:rPr>
          <w:szCs w:val="22"/>
          <w:lang w:val="es-ES"/>
        </w:rPr>
        <w:t xml:space="preserve">El </w:t>
      </w:r>
      <w:r w:rsidRPr="006748FD">
        <w:rPr>
          <w:iCs/>
          <w:szCs w:val="22"/>
          <w:lang w:val="es-ES"/>
        </w:rPr>
        <w:t>Diccionario General de la Lengua Española VOX</w:t>
      </w:r>
      <w:r w:rsidRPr="00AA21C6">
        <w:rPr>
          <w:szCs w:val="22"/>
          <w:lang w:val="es-ES"/>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AA21C6">
        <w:rPr>
          <w:rStyle w:val="FootnoteReference"/>
          <w:szCs w:val="22"/>
          <w:lang w:val="es-ES"/>
        </w:rPr>
        <w:footnoteReference w:id="67"/>
      </w:r>
      <w:r w:rsidRPr="00AA21C6">
        <w:rPr>
          <w:szCs w:val="22"/>
          <w:lang w:val="es-ES"/>
        </w:rPr>
        <w:t xml:space="preserve">  No siempre se prescribe la fijación en un soporte material, pero en el </w:t>
      </w:r>
      <w:r w:rsidRPr="006748FD">
        <w:rPr>
          <w:i/>
          <w:szCs w:val="22"/>
          <w:lang w:val="es-ES"/>
        </w:rPr>
        <w:t>Convenio de Berna para la Protección de las Obras Literarias y Artísticas</w:t>
      </w:r>
      <w:r w:rsidRPr="00AA21C6">
        <w:rPr>
          <w:szCs w:val="22"/>
          <w:lang w:val="es-ES"/>
        </w:rPr>
        <w:t xml:space="preserve"> (1971) se reserva a las legislaciones nacionales la facultad de establecer dicha condición.</w:t>
      </w:r>
      <w:r w:rsidRPr="00AA21C6">
        <w:rPr>
          <w:rStyle w:val="FootnoteReference"/>
          <w:szCs w:val="22"/>
          <w:lang w:val="es-ES"/>
        </w:rPr>
        <w:footnoteReference w:id="68"/>
      </w:r>
      <w:r w:rsidRPr="00AA21C6">
        <w:rPr>
          <w:szCs w:val="22"/>
          <w:lang w:val="es-ES"/>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AA21C6">
        <w:rPr>
          <w:rStyle w:val="FootnoteReference"/>
          <w:szCs w:val="22"/>
          <w:lang w:val="es-ES"/>
        </w:rPr>
        <w:footnoteReference w:id="69"/>
      </w:r>
      <w:r w:rsidRPr="00AA21C6">
        <w:rPr>
          <w:szCs w:val="22"/>
          <w:lang w:val="es-ES"/>
        </w:rPr>
        <w:t xml:space="preserve">  Se ha sostenido que el uso del término “expresión” parece indicar que es necesario cumplir el requisito de la fijación para obtener la protección de las expresiones culturales tradicionales.</w:t>
      </w:r>
      <w:r w:rsidRPr="00AA21C6">
        <w:rPr>
          <w:rStyle w:val="FootnoteReference"/>
          <w:szCs w:val="22"/>
          <w:lang w:val="es-ES"/>
        </w:rPr>
        <w:footnoteReference w:id="70"/>
      </w:r>
    </w:p>
    <w:p w:rsidR="00C0409B" w:rsidRPr="00AA21C6" w:rsidRDefault="00C0409B" w:rsidP="00C0409B">
      <w:pPr>
        <w:pStyle w:val="ONUMFS"/>
        <w:numPr>
          <w:ilvl w:val="0"/>
          <w:numId w:val="0"/>
        </w:numPr>
        <w:rPr>
          <w:b/>
          <w:bCs/>
          <w:szCs w:val="22"/>
          <w:lang w:val="es-ES"/>
        </w:rPr>
      </w:pPr>
      <w:r w:rsidRPr="00AA21C6">
        <w:rPr>
          <w:b/>
          <w:bCs/>
          <w:szCs w:val="22"/>
          <w:lang w:val="es-ES"/>
        </w:rPr>
        <w:lastRenderedPageBreak/>
        <w:t>Folclore</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6748FD">
        <w:rPr>
          <w:i/>
          <w:szCs w:val="22"/>
          <w:lang w:val="es-ES"/>
        </w:rPr>
        <w:t>Recomendación sobre la Salvaguardia de la Cultura Tradicional y Popular</w:t>
      </w:r>
      <w:r w:rsidRPr="00AA21C6">
        <w:rPr>
          <w:szCs w:val="22"/>
          <w:lang w:val="es-ES"/>
        </w:rPr>
        <w:t xml:space="preserve"> (1989)</w:t>
      </w:r>
      <w:r w:rsidR="006748FD" w:rsidRPr="006748FD">
        <w:rPr>
          <w:szCs w:val="22"/>
          <w:lang w:val="es-ES"/>
        </w:rPr>
        <w:t xml:space="preserve"> </w:t>
      </w:r>
      <w:r w:rsidR="006748FD">
        <w:rPr>
          <w:szCs w:val="22"/>
          <w:lang w:val="es-ES"/>
        </w:rPr>
        <w:t>, de la UNESCO,</w:t>
      </w:r>
      <w:r w:rsidRPr="00AA21C6">
        <w:rPr>
          <w:szCs w:val="22"/>
          <w:lang w:val="es-ES"/>
        </w:rPr>
        <w:t xml:space="preserve">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C0409B" w:rsidRPr="00AA21C6" w:rsidRDefault="00C0409B" w:rsidP="00C0409B">
      <w:pPr>
        <w:pStyle w:val="ONUMFS"/>
        <w:numPr>
          <w:ilvl w:val="0"/>
          <w:numId w:val="0"/>
        </w:numPr>
        <w:rPr>
          <w:szCs w:val="22"/>
          <w:lang w:val="es-ES"/>
        </w:rPr>
      </w:pPr>
      <w:r w:rsidRPr="00AA21C6">
        <w:rPr>
          <w:szCs w:val="22"/>
          <w:lang w:val="es-ES"/>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w:t>
      </w:r>
      <w:r w:rsidR="00BA6F87" w:rsidRPr="00AA21C6">
        <w:rPr>
          <w:szCs w:val="22"/>
          <w:lang w:val="es-ES"/>
        </w:rPr>
        <w:t xml:space="preserve">tipo </w:t>
      </w:r>
      <w:r w:rsidRPr="00AA21C6">
        <w:rPr>
          <w:szCs w:val="22"/>
          <w:lang w:val="es-ES"/>
        </w:rPr>
        <w:t xml:space="preserve">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00BA6F87" w:rsidRPr="00BA6F87">
        <w:rPr>
          <w:i/>
          <w:szCs w:val="22"/>
          <w:lang w:val="es-ES"/>
        </w:rPr>
        <w:t xml:space="preserve">Ley tipo </w:t>
      </w:r>
      <w:r w:rsidRPr="00BA6F87">
        <w:rPr>
          <w:i/>
          <w:szCs w:val="22"/>
          <w:lang w:val="es-ES"/>
        </w:rPr>
        <w:t>de Túnez</w:t>
      </w:r>
      <w:r w:rsidRPr="00AA21C6">
        <w:rPr>
          <w:szCs w:val="22"/>
          <w:lang w:val="es-ES"/>
        </w:rPr>
        <w:t xml:space="preserve">, que no contiene ninguna definición), es que el folclore debe haber sido creado por autores de identidad desconocida pero que presumiblemente sean o hayan sido nacionales del país.  La </w:t>
      </w:r>
      <w:r w:rsidRPr="00BA6F87">
        <w:rPr>
          <w:i/>
          <w:szCs w:val="22"/>
          <w:lang w:val="es-ES"/>
        </w:rPr>
        <w:t>Convención de la OAPl</w:t>
      </w:r>
      <w:r w:rsidRPr="00AA21C6">
        <w:rPr>
          <w:szCs w:val="22"/>
          <w:lang w:val="es-ES"/>
        </w:rPr>
        <w:t xml:space="preserve"> menciona las creaciones hechas por “comunidades'“ y no por autores, lo que traza un límite entre las creaciones del folclore y las obras protegidas por el derecho de autor convencional.  La </w:t>
      </w:r>
      <w:r w:rsidRPr="00BA6F87">
        <w:rPr>
          <w:i/>
          <w:szCs w:val="22"/>
          <w:lang w:val="es-ES"/>
        </w:rPr>
        <w:t xml:space="preserve">Ley </w:t>
      </w:r>
      <w:r w:rsidR="00BA6F87" w:rsidRPr="00BA6F87">
        <w:rPr>
          <w:i/>
          <w:szCs w:val="22"/>
          <w:lang w:val="es-ES"/>
        </w:rPr>
        <w:t xml:space="preserve">tipo </w:t>
      </w:r>
      <w:r w:rsidRPr="00BA6F87">
        <w:rPr>
          <w:i/>
          <w:szCs w:val="22"/>
          <w:lang w:val="es-ES"/>
        </w:rPr>
        <w:t>de Túnez</w:t>
      </w:r>
      <w:r w:rsidRPr="00AA21C6">
        <w:rPr>
          <w:szCs w:val="22"/>
          <w:lang w:val="es-ES"/>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BA6F87">
        <w:rPr>
          <w:i/>
          <w:szCs w:val="22"/>
          <w:lang w:val="es-ES"/>
        </w:rPr>
        <w:t>Convención de la OAPl</w:t>
      </w:r>
      <w:r w:rsidRPr="00AA21C6">
        <w:rPr>
          <w:szCs w:val="22"/>
          <w:lang w:val="es-ES"/>
        </w:rPr>
        <w:t xml:space="preserve"> y la </w:t>
      </w:r>
      <w:r w:rsidRPr="00BA6F87">
        <w:rPr>
          <w:i/>
          <w:szCs w:val="22"/>
          <w:lang w:val="es-ES"/>
        </w:rPr>
        <w:t xml:space="preserve">Ley </w:t>
      </w:r>
      <w:r w:rsidR="00BA6F87" w:rsidRPr="00BA6F87">
        <w:rPr>
          <w:i/>
          <w:szCs w:val="22"/>
          <w:lang w:val="es-ES"/>
        </w:rPr>
        <w:t xml:space="preserve">tipo </w:t>
      </w:r>
      <w:r w:rsidRPr="00BA6F87">
        <w:rPr>
          <w:i/>
          <w:szCs w:val="22"/>
          <w:lang w:val="es-ES"/>
        </w:rPr>
        <w:t>de Túnez</w:t>
      </w:r>
      <w:r w:rsidRPr="00AA21C6">
        <w:rPr>
          <w:szCs w:val="22"/>
          <w:lang w:val="es-ES"/>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AA21C6">
        <w:rPr>
          <w:rStyle w:val="FootnoteReference"/>
          <w:szCs w:val="22"/>
          <w:lang w:val="es-ES"/>
        </w:rPr>
        <w:footnoteReference w:id="71"/>
      </w:r>
    </w:p>
    <w:p w:rsidR="00C0409B" w:rsidRPr="00AA21C6" w:rsidRDefault="00C0409B" w:rsidP="00C0409B">
      <w:pPr>
        <w:pStyle w:val="ONUMFS"/>
        <w:numPr>
          <w:ilvl w:val="0"/>
          <w:numId w:val="0"/>
        </w:numPr>
        <w:rPr>
          <w:b/>
          <w:bCs/>
          <w:szCs w:val="22"/>
          <w:lang w:val="es-ES"/>
        </w:rPr>
      </w:pPr>
      <w:r w:rsidRPr="00AA21C6">
        <w:rPr>
          <w:b/>
          <w:bCs/>
          <w:szCs w:val="22"/>
          <w:lang w:val="es-ES"/>
        </w:rPr>
        <w:t>Formalidades</w:t>
      </w:r>
    </w:p>
    <w:p w:rsidR="00C0409B" w:rsidRPr="00AA21C6" w:rsidRDefault="00C0409B" w:rsidP="00C0409B">
      <w:pPr>
        <w:pStyle w:val="ONUMFS"/>
        <w:numPr>
          <w:ilvl w:val="0"/>
          <w:numId w:val="0"/>
        </w:numPr>
        <w:rPr>
          <w:szCs w:val="22"/>
          <w:lang w:val="es-ES"/>
        </w:rPr>
      </w:pPr>
      <w:r w:rsidRPr="00AA21C6">
        <w:rPr>
          <w:szCs w:val="22"/>
          <w:lang w:val="es-ES"/>
        </w:rPr>
        <w:t xml:space="preserve">Según </w:t>
      </w:r>
      <w:r w:rsidRPr="00BA6F87">
        <w:rPr>
          <w:szCs w:val="22"/>
          <w:lang w:val="es-ES"/>
        </w:rPr>
        <w:t xml:space="preserve">el </w:t>
      </w:r>
      <w:r w:rsidRPr="00BA6F87">
        <w:rPr>
          <w:iCs/>
          <w:szCs w:val="22"/>
          <w:lang w:val="es-ES"/>
        </w:rPr>
        <w:t>Diccionario de la lengua española</w:t>
      </w:r>
      <w:r w:rsidRPr="00BA6F87">
        <w:rPr>
          <w:szCs w:val="22"/>
          <w:lang w:val="es-ES"/>
        </w:rPr>
        <w:t xml:space="preserve"> de la Real Academia Española, por “formalidades” se entiende “cada uno de los requisitos para ejecutar algo”.  El </w:t>
      </w:r>
      <w:r w:rsidRPr="00BA6F87">
        <w:rPr>
          <w:iCs/>
          <w:szCs w:val="22"/>
          <w:lang w:val="es-ES"/>
        </w:rPr>
        <w:t>Diccionario de uso del español</w:t>
      </w:r>
      <w:r w:rsidRPr="00BA6F87">
        <w:rPr>
          <w:szCs w:val="22"/>
          <w:lang w:val="es-ES"/>
        </w:rPr>
        <w:t xml:space="preserve"> de María Moliner expl</w:t>
      </w:r>
      <w:r w:rsidRPr="00AA21C6">
        <w:rPr>
          <w:szCs w:val="22"/>
          <w:lang w:val="es-ES"/>
        </w:rPr>
        <w:t>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AA21C6">
        <w:rPr>
          <w:rStyle w:val="FootnoteReference"/>
          <w:szCs w:val="22"/>
          <w:lang w:val="es-ES"/>
        </w:rPr>
        <w:footnoteReference w:id="72"/>
      </w:r>
      <w:r w:rsidRPr="00AA21C6">
        <w:rPr>
          <w:szCs w:val="22"/>
          <w:lang w:val="es-ES"/>
        </w:rPr>
        <w:t xml:space="preserve">  En el </w:t>
      </w:r>
      <w:r w:rsidRPr="00642D79">
        <w:rPr>
          <w:i/>
          <w:szCs w:val="22"/>
          <w:lang w:val="es-ES"/>
        </w:rPr>
        <w:t>Convenio de Berna para la Protección de las Obras Literarias y Artísticas</w:t>
      </w:r>
      <w:r w:rsidRPr="00AA21C6">
        <w:rPr>
          <w:szCs w:val="22"/>
          <w:lang w:val="es-ES"/>
        </w:rPr>
        <w:t xml:space="preserve"> (1971), el </w:t>
      </w:r>
      <w:r w:rsidRPr="00642D79">
        <w:rPr>
          <w:i/>
          <w:szCs w:val="22"/>
          <w:lang w:val="es-ES"/>
        </w:rPr>
        <w:t>Acuerdo sobre los ADPIC</w:t>
      </w:r>
      <w:r w:rsidRPr="00AA21C6">
        <w:rPr>
          <w:szCs w:val="22"/>
          <w:lang w:val="es-ES"/>
        </w:rPr>
        <w:t xml:space="preserve">, el </w:t>
      </w:r>
      <w:r w:rsidRPr="00642D79">
        <w:rPr>
          <w:i/>
          <w:szCs w:val="22"/>
          <w:lang w:val="es-ES"/>
        </w:rPr>
        <w:t>Tratado de la OMPI sobre Derecho de Autor</w:t>
      </w:r>
      <w:r w:rsidRPr="00AA21C6">
        <w:rPr>
          <w:szCs w:val="22"/>
          <w:lang w:val="es-ES"/>
        </w:rPr>
        <w:t xml:space="preserve"> y el </w:t>
      </w:r>
      <w:r w:rsidRPr="00642D79">
        <w:rPr>
          <w:i/>
          <w:szCs w:val="22"/>
          <w:lang w:val="es-ES"/>
        </w:rPr>
        <w:t xml:space="preserve">Tratado de la OMPI sobre </w:t>
      </w:r>
      <w:r w:rsidRPr="00642D79">
        <w:rPr>
          <w:i/>
          <w:szCs w:val="22"/>
          <w:lang w:val="es-ES"/>
        </w:rPr>
        <w:lastRenderedPageBreak/>
        <w:t>Interpretación o Ejecución y Fonogramas</w:t>
      </w:r>
      <w:r w:rsidRPr="00AA21C6">
        <w:rPr>
          <w:szCs w:val="22"/>
          <w:lang w:val="es-ES"/>
        </w:rPr>
        <w:t>, “el goce y el ejercicio de estos derechos no estarán subordinados a ninguna formalidad”.</w:t>
      </w:r>
      <w:r w:rsidRPr="00AA21C6">
        <w:rPr>
          <w:rStyle w:val="FootnoteReference"/>
          <w:szCs w:val="22"/>
          <w:lang w:val="es-ES"/>
        </w:rPr>
        <w:footnoteReference w:id="73"/>
      </w:r>
    </w:p>
    <w:p w:rsidR="00C0409B" w:rsidRPr="00AA21C6" w:rsidRDefault="00C0409B" w:rsidP="00C0409B">
      <w:pPr>
        <w:pStyle w:val="ONUMFS"/>
        <w:numPr>
          <w:ilvl w:val="0"/>
          <w:numId w:val="0"/>
        </w:numPr>
        <w:rPr>
          <w:b/>
          <w:bCs/>
          <w:szCs w:val="22"/>
          <w:lang w:val="es-ES"/>
        </w:rPr>
      </w:pPr>
      <w:r w:rsidRPr="00AA21C6">
        <w:rPr>
          <w:b/>
          <w:bCs/>
          <w:szCs w:val="22"/>
          <w:lang w:val="es-ES"/>
        </w:rPr>
        <w:t>Material genético</w:t>
      </w:r>
    </w:p>
    <w:p w:rsidR="00C0409B" w:rsidRPr="00AA21C6" w:rsidRDefault="00C0409B" w:rsidP="00C0409B">
      <w:pPr>
        <w:pStyle w:val="ONUMFS"/>
        <w:numPr>
          <w:ilvl w:val="0"/>
          <w:numId w:val="0"/>
        </w:numPr>
        <w:rPr>
          <w:b/>
          <w:szCs w:val="22"/>
          <w:lang w:val="es-ES"/>
        </w:rPr>
      </w:pPr>
      <w:r w:rsidRPr="00AA21C6">
        <w:rPr>
          <w:szCs w:val="22"/>
          <w:lang w:val="es-ES"/>
        </w:rPr>
        <w:t xml:space="preserve">En el artículo 2 del </w:t>
      </w:r>
      <w:r w:rsidRPr="00642D79">
        <w:rPr>
          <w:i/>
          <w:szCs w:val="22"/>
          <w:lang w:val="es-ES"/>
        </w:rPr>
        <w:t>Convenio sobre la Diversidad Biológica</w:t>
      </w:r>
      <w:r w:rsidRPr="00AA21C6">
        <w:rPr>
          <w:szCs w:val="22"/>
          <w:lang w:val="es-ES"/>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AA21C6">
        <w:rPr>
          <w:rStyle w:val="FootnoteReference"/>
          <w:szCs w:val="22"/>
          <w:lang w:val="es-ES"/>
        </w:rPr>
        <w:footnoteReference w:id="74"/>
      </w:r>
    </w:p>
    <w:p w:rsidR="00C0409B" w:rsidRPr="00AA21C6" w:rsidRDefault="00C0409B" w:rsidP="00C0409B">
      <w:pPr>
        <w:pStyle w:val="ONUMFS"/>
        <w:numPr>
          <w:ilvl w:val="0"/>
          <w:numId w:val="0"/>
        </w:numPr>
        <w:rPr>
          <w:b/>
          <w:bCs/>
          <w:szCs w:val="22"/>
          <w:lang w:val="es-ES"/>
        </w:rPr>
      </w:pPr>
      <w:r w:rsidRPr="00AA21C6">
        <w:rPr>
          <w:b/>
          <w:bCs/>
          <w:szCs w:val="22"/>
          <w:lang w:val="es-ES"/>
        </w:rPr>
        <w:t>Recursos genéticos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2 del </w:t>
      </w:r>
      <w:r w:rsidRPr="00642D79">
        <w:rPr>
          <w:i/>
          <w:szCs w:val="22"/>
          <w:lang w:val="es-ES"/>
        </w:rPr>
        <w:t>Convenio sobre la Diversidad Biológica</w:t>
      </w:r>
      <w:r w:rsidRPr="00AA21C6">
        <w:rPr>
          <w:szCs w:val="22"/>
          <w:lang w:val="es-ES"/>
        </w:rPr>
        <w:t xml:space="preserve"> (1992) se define “</w:t>
      </w:r>
      <w:r w:rsidRPr="00AA21C6">
        <w:rPr>
          <w:iCs/>
          <w:szCs w:val="22"/>
          <w:lang w:val="es-ES"/>
        </w:rPr>
        <w:t>recursos genéticos”</w:t>
      </w:r>
      <w:r w:rsidRPr="00AA21C6">
        <w:rPr>
          <w:szCs w:val="22"/>
          <w:lang w:val="es-ES"/>
        </w:rPr>
        <w:t xml:space="preserve"> como “todo material genético de valor real o potencial”.</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 de la </w:t>
      </w:r>
      <w:r w:rsidRPr="00642D79">
        <w:rPr>
          <w:i/>
          <w:szCs w:val="22"/>
          <w:lang w:val="es-ES"/>
        </w:rPr>
        <w:t>Decisión 391 acerca de un Régimen Común sobre Acceso a los Recursos Genéticos</w:t>
      </w:r>
      <w:r w:rsidRPr="00AA21C6">
        <w:rPr>
          <w:szCs w:val="22"/>
          <w:lang w:val="es-ES"/>
        </w:rPr>
        <w:t xml:space="preserve">, </w:t>
      </w:r>
      <w:r w:rsidR="00642D79">
        <w:rPr>
          <w:szCs w:val="22"/>
          <w:lang w:val="es-ES"/>
        </w:rPr>
        <w:t xml:space="preserve">de la Comunidad Andina, </w:t>
      </w:r>
      <w:r w:rsidRPr="00AA21C6">
        <w:rPr>
          <w:szCs w:val="22"/>
          <w:lang w:val="es-ES"/>
        </w:rPr>
        <w:t>el término de “recursos genéticos” se define ampliamente como “todo material de naturaleza biológica que contenga información genética de valor o utilidad real o potencial”.</w:t>
      </w:r>
    </w:p>
    <w:p w:rsidR="00C0409B" w:rsidRPr="00AA21C6" w:rsidRDefault="00C0409B" w:rsidP="00C0409B">
      <w:pPr>
        <w:pStyle w:val="ONUMFS"/>
        <w:numPr>
          <w:ilvl w:val="0"/>
          <w:numId w:val="0"/>
        </w:numPr>
        <w:rPr>
          <w:szCs w:val="22"/>
          <w:lang w:val="es-ES"/>
        </w:rPr>
      </w:pPr>
      <w:r w:rsidRPr="00AA21C6">
        <w:rPr>
          <w:szCs w:val="22"/>
          <w:lang w:val="es-ES"/>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C0409B" w:rsidRPr="00AA21C6" w:rsidRDefault="00C0409B" w:rsidP="00C0409B">
      <w:pPr>
        <w:pStyle w:val="ONUMFS"/>
        <w:numPr>
          <w:ilvl w:val="0"/>
          <w:numId w:val="0"/>
        </w:numPr>
        <w:rPr>
          <w:szCs w:val="22"/>
          <w:lang w:val="es-ES"/>
        </w:rPr>
      </w:pPr>
      <w:r w:rsidRPr="00AA21C6">
        <w:rPr>
          <w:szCs w:val="22"/>
          <w:lang w:val="es-ES"/>
        </w:rPr>
        <w:t>En otros instrumentos jurídicos se hace referencia a los recursos genéticos mediante diferentes términos:</w:t>
      </w:r>
    </w:p>
    <w:p w:rsidR="00C0409B" w:rsidRPr="00642D79" w:rsidRDefault="00C0409B" w:rsidP="00C0409B">
      <w:pPr>
        <w:pStyle w:val="ONUMFS"/>
        <w:numPr>
          <w:ilvl w:val="0"/>
          <w:numId w:val="0"/>
        </w:numPr>
        <w:rPr>
          <w:i/>
          <w:szCs w:val="22"/>
          <w:lang w:val="es-ES"/>
        </w:rPr>
      </w:pPr>
      <w:r w:rsidRPr="00642D79">
        <w:rPr>
          <w:rStyle w:val="Emphasis"/>
          <w:i w:val="0"/>
          <w:szCs w:val="22"/>
          <w:lang w:val="es-ES"/>
        </w:rPr>
        <w:t>Según el artículo 2 del</w:t>
      </w:r>
      <w:r w:rsidRPr="00AA21C6">
        <w:rPr>
          <w:rStyle w:val="Emphasis"/>
          <w:szCs w:val="22"/>
          <w:lang w:val="es-ES"/>
        </w:rPr>
        <w:t xml:space="preserve"> Tratado Internacional sobre los Recursos Fitogenéticos para la Alimentación y la Agricultura </w:t>
      </w:r>
      <w:r w:rsidRPr="00642D79">
        <w:rPr>
          <w:rStyle w:val="Emphasis"/>
          <w:i w:val="0"/>
          <w:szCs w:val="22"/>
          <w:lang w:val="es-ES"/>
        </w:rPr>
        <w:t>de la FAO, por “recursos fitogenéticos” se entiende “todo material de origen vegetal, incluido el material reproductivo y de propagación vegetativa, que contiene unidades funcionales de la herencia”.</w:t>
      </w:r>
    </w:p>
    <w:p w:rsidR="00C0409B" w:rsidRPr="00642D79" w:rsidRDefault="00C0409B" w:rsidP="00C0409B">
      <w:pPr>
        <w:pStyle w:val="ONUMFS"/>
        <w:numPr>
          <w:ilvl w:val="0"/>
          <w:numId w:val="0"/>
        </w:numPr>
        <w:rPr>
          <w:i/>
          <w:szCs w:val="22"/>
          <w:lang w:val="es-ES"/>
        </w:rPr>
      </w:pPr>
      <w:r w:rsidRPr="00642D79">
        <w:rPr>
          <w:rStyle w:val="Emphasis"/>
          <w:i w:val="0"/>
          <w:szCs w:val="22"/>
          <w:lang w:val="es-ES"/>
        </w:rPr>
        <w:t>En el artículo 2 del</w:t>
      </w:r>
      <w:r w:rsidRPr="00AA21C6">
        <w:rPr>
          <w:rStyle w:val="Emphasis"/>
          <w:szCs w:val="22"/>
          <w:lang w:val="es-ES"/>
        </w:rPr>
        <w:t xml:space="preserve"> Código Internacional de Conducta para la Recolección y Transferencia de Germoplasma Vegetal </w:t>
      </w:r>
      <w:r w:rsidRPr="00642D79">
        <w:rPr>
          <w:rStyle w:val="Emphasis"/>
          <w:i w:val="0"/>
          <w:szCs w:val="22"/>
          <w:lang w:val="es-ES"/>
        </w:rPr>
        <w:t>de la FAO, el término se define como “material de reproducción o de propagación vegetativa de las plantas”.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2.1.a) del </w:t>
      </w:r>
      <w:r w:rsidRPr="00642D79">
        <w:rPr>
          <w:i/>
          <w:szCs w:val="22"/>
          <w:lang w:val="es-ES"/>
        </w:rPr>
        <w:t>Compromiso Internacional sobre los Recursos Fitogenéticos</w:t>
      </w:r>
      <w:r w:rsidRPr="00AA21C6">
        <w:rPr>
          <w:szCs w:val="22"/>
          <w:lang w:val="es-ES"/>
        </w:rPr>
        <w:t xml:space="preserve"> (1983), </w:t>
      </w:r>
      <w:r w:rsidR="00642D79">
        <w:rPr>
          <w:szCs w:val="22"/>
          <w:lang w:val="es-ES"/>
        </w:rPr>
        <w:t xml:space="preserve">de la FAO, </w:t>
      </w:r>
      <w:r w:rsidRPr="00AA21C6">
        <w:rPr>
          <w:szCs w:val="22"/>
          <w:lang w:val="es-ES"/>
        </w:rPr>
        <w:t>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C0409B" w:rsidRPr="00AA21C6" w:rsidRDefault="00C0409B" w:rsidP="00C0409B">
      <w:pPr>
        <w:pStyle w:val="ONUMFS"/>
        <w:numPr>
          <w:ilvl w:val="0"/>
          <w:numId w:val="0"/>
        </w:numPr>
        <w:rPr>
          <w:szCs w:val="22"/>
          <w:lang w:val="es-ES"/>
        </w:rPr>
      </w:pPr>
      <w:r w:rsidRPr="00642D79">
        <w:rPr>
          <w:rStyle w:val="Emphasis"/>
          <w:i w:val="0"/>
          <w:szCs w:val="22"/>
          <w:lang w:val="es-ES"/>
        </w:rPr>
        <w:lastRenderedPageBreak/>
        <w:t>En otros instrumentos jurídicos sobre P.I. no se utiliza el término, sino que se habla de “materia biológica”.  En la</w:t>
      </w:r>
      <w:r w:rsidRPr="00AA21C6">
        <w:rPr>
          <w:rStyle w:val="Emphasis"/>
          <w:szCs w:val="22"/>
          <w:lang w:val="es-ES"/>
        </w:rPr>
        <w:t xml:space="preserve"> Directiva sobre la protección jurídica de las invenciones biotecnológicas</w:t>
      </w:r>
      <w:r w:rsidRPr="00642D79">
        <w:rPr>
          <w:rStyle w:val="Emphasis"/>
          <w:i w:val="0"/>
          <w:szCs w:val="22"/>
          <w:lang w:val="es-ES"/>
        </w:rPr>
        <w:t xml:space="preserve">, </w:t>
      </w:r>
      <w:r w:rsidR="00642D79" w:rsidRPr="00642D79">
        <w:rPr>
          <w:rStyle w:val="Emphasis"/>
          <w:i w:val="0"/>
          <w:szCs w:val="22"/>
          <w:lang w:val="es-ES"/>
        </w:rPr>
        <w:t xml:space="preserve">de la Unión Europea, </w:t>
      </w:r>
      <w:r w:rsidRPr="00642D79">
        <w:rPr>
          <w:rStyle w:val="Emphasis"/>
          <w:i w:val="0"/>
          <w:szCs w:val="22"/>
          <w:lang w:val="es-ES"/>
        </w:rPr>
        <w:t>se define como</w:t>
      </w:r>
      <w:r w:rsidRPr="00642D79">
        <w:rPr>
          <w:i/>
          <w:iCs/>
          <w:szCs w:val="22"/>
          <w:lang w:val="es-ES"/>
        </w:rPr>
        <w:t xml:space="preserve"> </w:t>
      </w:r>
      <w:r w:rsidRPr="00642D79">
        <w:rPr>
          <w:szCs w:val="22"/>
          <w:lang w:val="es-ES"/>
        </w:rPr>
        <w:t>“materia que contenga información genética autorreprodu</w:t>
      </w:r>
      <w:r w:rsidRPr="00AA21C6">
        <w:rPr>
          <w:szCs w:val="22"/>
          <w:lang w:val="es-ES"/>
        </w:rPr>
        <w:t>cible o reproducible en un sistema biológico”.</w:t>
      </w:r>
    </w:p>
    <w:p w:rsidR="00C0409B" w:rsidRPr="00AA21C6" w:rsidRDefault="00C0409B" w:rsidP="00C0409B">
      <w:pPr>
        <w:pStyle w:val="ONUMFS"/>
        <w:numPr>
          <w:ilvl w:val="0"/>
          <w:numId w:val="0"/>
        </w:numPr>
        <w:rPr>
          <w:szCs w:val="22"/>
          <w:lang w:val="es-ES"/>
        </w:rPr>
      </w:pPr>
      <w:r w:rsidRPr="00AA21C6">
        <w:rPr>
          <w:szCs w:val="22"/>
          <w:lang w:val="es-ES"/>
        </w:rPr>
        <w:t xml:space="preserve">Con arreglo al </w:t>
      </w:r>
      <w:r w:rsidRPr="00642D79">
        <w:rPr>
          <w:i/>
          <w:szCs w:val="22"/>
          <w:lang w:val="es-ES"/>
        </w:rPr>
        <w:t>Código de Reglamentos Federales</w:t>
      </w:r>
      <w:r w:rsidRPr="00AA21C6">
        <w:rPr>
          <w:szCs w:val="22"/>
          <w:lang w:val="es-ES"/>
        </w:rPr>
        <w:t xml:space="preserve"> estadounidense, la definición del término “materia biológica” comprenderá “toda materia capaz de autorreproducirse directa o indirectamente”.</w:t>
      </w:r>
    </w:p>
    <w:p w:rsidR="00C0409B" w:rsidRPr="00AA21C6" w:rsidRDefault="00C0409B" w:rsidP="00C0409B">
      <w:pPr>
        <w:pStyle w:val="ONUMFS"/>
        <w:numPr>
          <w:ilvl w:val="0"/>
          <w:numId w:val="0"/>
        </w:numPr>
        <w:rPr>
          <w:b/>
          <w:szCs w:val="22"/>
          <w:lang w:val="es-ES"/>
        </w:rPr>
      </w:pPr>
      <w:r w:rsidRPr="00AA21C6">
        <w:rPr>
          <w:szCs w:val="22"/>
          <w:lang w:val="es-ES"/>
        </w:rPr>
        <w:t xml:space="preserve">Según el artículo 2 del </w:t>
      </w:r>
      <w:r w:rsidRPr="00642D79">
        <w:rPr>
          <w:i/>
          <w:szCs w:val="22"/>
          <w:lang w:val="es-ES"/>
        </w:rPr>
        <w:t>Convenio sobre la Diversidad Biológica</w:t>
      </w:r>
      <w:r w:rsidRPr="00AA21C6">
        <w:rPr>
          <w:szCs w:val="22"/>
          <w:lang w:val="es-ES"/>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C0409B" w:rsidRPr="00AA21C6" w:rsidRDefault="00C0409B" w:rsidP="00C0409B">
      <w:pPr>
        <w:pStyle w:val="ONUMFS"/>
        <w:keepNext/>
        <w:numPr>
          <w:ilvl w:val="0"/>
          <w:numId w:val="0"/>
        </w:numPr>
        <w:rPr>
          <w:b/>
          <w:bCs/>
          <w:szCs w:val="22"/>
          <w:lang w:val="es-ES"/>
        </w:rPr>
      </w:pPr>
      <w:r w:rsidRPr="00AA21C6">
        <w:rPr>
          <w:b/>
          <w:bCs/>
          <w:szCs w:val="22"/>
          <w:lang w:val="es-ES"/>
        </w:rPr>
        <w:t>Patrimonio (de los pueblos indígenas)</w:t>
      </w:r>
    </w:p>
    <w:p w:rsidR="00C0409B" w:rsidRPr="00AA21C6" w:rsidRDefault="00C0409B" w:rsidP="00C0409B">
      <w:pPr>
        <w:pStyle w:val="ONUMFS"/>
        <w:keepNext/>
        <w:numPr>
          <w:ilvl w:val="0"/>
          <w:numId w:val="0"/>
        </w:numPr>
        <w:rPr>
          <w:szCs w:val="22"/>
          <w:lang w:val="es-ES"/>
        </w:rPr>
      </w:pPr>
      <w:r w:rsidRPr="00AA21C6">
        <w:rPr>
          <w:szCs w:val="22"/>
          <w:lang w:val="es-ES"/>
        </w:rPr>
        <w:t xml:space="preserve">El término “patrimonio de los pueblos indígenas” (y otros pueblos) o “patrimonio cultural indígena” se refiere, en un sentido amplio, a las cuestiones que se exponen en el </w:t>
      </w:r>
      <w:r w:rsidRPr="00642D79">
        <w:rPr>
          <w:i/>
          <w:szCs w:val="22"/>
          <w:lang w:val="es-ES"/>
        </w:rPr>
        <w:t>Proyecto de principios y directrices para la protección del patrimonio de los pueblos indígenas</w:t>
      </w:r>
      <w:r w:rsidRPr="00AA21C6">
        <w:rPr>
          <w:szCs w:val="22"/>
          <w:lang w:val="es-ES"/>
        </w:rPr>
        <w:t xml:space="preserve"> (2000), elaborado por la Presidenta-Relatora de la Subcomisión de Promoción y Protección de los Derechos Humanos, Sra. Erica-Irene Daes.  Las definiciones se recogen en los párrafos 12, 13 y 14 de las Directrices.</w:t>
      </w:r>
    </w:p>
    <w:p w:rsidR="00C0409B" w:rsidRPr="00AA21C6" w:rsidRDefault="00C0409B" w:rsidP="00C0409B">
      <w:pPr>
        <w:pStyle w:val="ONUMFS"/>
        <w:numPr>
          <w:ilvl w:val="0"/>
          <w:numId w:val="0"/>
        </w:numPr>
        <w:rPr>
          <w:b/>
          <w:szCs w:val="22"/>
          <w:lang w:val="es-ES"/>
        </w:rPr>
      </w:pPr>
      <w:r w:rsidRPr="00AA21C6">
        <w:rPr>
          <w:szCs w:val="22"/>
          <w:lang w:val="es-ES"/>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w:t>
      </w:r>
      <w:r w:rsidRPr="00AA21C6">
        <w:rPr>
          <w:szCs w:val="22"/>
          <w:lang w:val="es-ES"/>
        </w:rPr>
        <w:lastRenderedPageBreak/>
        <w:t>cultural, transmitido de una generación a otra, en función de los cambios de su entorno y su interacción con la naturaleza y su historia, que les da identidad y continuidad”.</w:t>
      </w:r>
      <w:r w:rsidRPr="00AA21C6">
        <w:rPr>
          <w:rStyle w:val="FootnoteReference"/>
          <w:szCs w:val="22"/>
          <w:lang w:val="es-ES"/>
        </w:rPr>
        <w:footnoteReference w:id="75"/>
      </w:r>
    </w:p>
    <w:p w:rsidR="00C0409B" w:rsidRPr="00AA21C6" w:rsidRDefault="00C0409B" w:rsidP="00C0409B">
      <w:pPr>
        <w:pStyle w:val="ONUMFS"/>
        <w:numPr>
          <w:ilvl w:val="0"/>
          <w:numId w:val="0"/>
        </w:numPr>
        <w:rPr>
          <w:b/>
          <w:bCs/>
          <w:szCs w:val="22"/>
          <w:lang w:val="es-ES"/>
        </w:rPr>
      </w:pPr>
      <w:r w:rsidRPr="00AA21C6">
        <w:rPr>
          <w:b/>
          <w:bCs/>
          <w:szCs w:val="22"/>
          <w:lang w:val="es-ES"/>
        </w:rPr>
        <w:t>Comunidades indígenas y locales</w:t>
      </w:r>
    </w:p>
    <w:p w:rsidR="00C0409B" w:rsidRPr="00AA21C6" w:rsidRDefault="00C0409B" w:rsidP="00C0409B">
      <w:pPr>
        <w:pStyle w:val="ONUMFS"/>
        <w:numPr>
          <w:ilvl w:val="0"/>
          <w:numId w:val="0"/>
        </w:numPr>
        <w:rPr>
          <w:szCs w:val="22"/>
          <w:lang w:val="es-ES"/>
        </w:rPr>
      </w:pPr>
      <w:r w:rsidRPr="00AA21C6">
        <w:rPr>
          <w:szCs w:val="22"/>
          <w:lang w:val="es-ES"/>
        </w:rPr>
        <w:t xml:space="preserve">El término “comunidades indígenas y locales” ha sido objeto de intenso examen y debate.  No existe, a tal respecto, una definición universal y estándar.  Dicho término figura en el </w:t>
      </w:r>
      <w:r w:rsidRPr="00642D79">
        <w:rPr>
          <w:i/>
          <w:szCs w:val="22"/>
          <w:lang w:val="es-ES"/>
        </w:rPr>
        <w:t>Convenio sobre la Diversidad Biológica</w:t>
      </w:r>
      <w:r w:rsidRPr="00AA21C6">
        <w:rPr>
          <w:szCs w:val="22"/>
          <w:lang w:val="es-ES"/>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642D79">
        <w:rPr>
          <w:i/>
          <w:szCs w:val="22"/>
          <w:lang w:val="es-ES"/>
        </w:rPr>
        <w:t xml:space="preserve">Protocolo de Nagoya sobre Acceso a los Recursos Genéticos y Participación Justa y Equitativa en los Beneficios que se Deriven de su Utilización al Convenio sobre la Diversidad Biológica </w:t>
      </w:r>
      <w:r w:rsidRPr="00AA21C6">
        <w:rPr>
          <w:szCs w:val="22"/>
          <w:lang w:val="es-ES"/>
        </w:rPr>
        <w:t>(2010).</w:t>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642D79">
        <w:rPr>
          <w:i/>
          <w:szCs w:val="22"/>
          <w:lang w:val="es-ES"/>
        </w:rPr>
        <w:t>Convenio sobre la Diversidad Biológica</w:t>
      </w:r>
      <w:r w:rsidRPr="00AA21C6">
        <w:rPr>
          <w:i/>
          <w:szCs w:val="22"/>
          <w:lang w:val="es-ES"/>
        </w:rPr>
        <w:t xml:space="preserve"> </w:t>
      </w:r>
      <w:r w:rsidRPr="00AA21C6">
        <w:rPr>
          <w:szCs w:val="22"/>
          <w:lang w:val="es-ES"/>
        </w:rPr>
        <w:t>(1992) se utiliza el término “comunidades indígenas y locales” en referencia a comunidades que se identifican desde antaño con las tierras y las aguas en las que viven o que han utilizado</w:t>
      </w:r>
      <w:r w:rsidRPr="00AA21C6">
        <w:rPr>
          <w:rStyle w:val="FootnoteReference"/>
          <w:szCs w:val="22"/>
          <w:lang w:val="es-ES"/>
        </w:rPr>
        <w:footnoteReference w:id="76"/>
      </w:r>
      <w:r w:rsidRPr="00AA21C6">
        <w:rPr>
          <w:szCs w:val="22"/>
          <w:lang w:val="es-ES"/>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AA21C6">
        <w:rPr>
          <w:rStyle w:val="FootnoteReference"/>
          <w:szCs w:val="22"/>
          <w:lang w:val="es-ES"/>
        </w:rPr>
        <w:footnoteReference w:id="77"/>
      </w:r>
    </w:p>
    <w:p w:rsidR="00C0409B" w:rsidRPr="00AA21C6" w:rsidRDefault="00C0409B" w:rsidP="00C0409B">
      <w:pPr>
        <w:pStyle w:val="ONUMFS"/>
        <w:numPr>
          <w:ilvl w:val="0"/>
          <w:numId w:val="0"/>
        </w:numPr>
        <w:rPr>
          <w:szCs w:val="22"/>
          <w:lang w:val="es-ES"/>
        </w:rPr>
      </w:pPr>
      <w:r w:rsidRPr="00AA21C6">
        <w:rPr>
          <w:szCs w:val="22"/>
          <w:lang w:val="es-ES"/>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  “A los fines del presente artículo, la expresión “comunidades locales” incluirá cualquier clasificación de identidad social y cultural de un Estado miembro tal como se define en la legislación nacional”.</w:t>
      </w:r>
    </w:p>
    <w:p w:rsidR="00C0409B" w:rsidRPr="00AA21C6" w:rsidRDefault="00C0409B" w:rsidP="00C0409B">
      <w:pPr>
        <w:pStyle w:val="ONUMFS"/>
        <w:numPr>
          <w:ilvl w:val="0"/>
          <w:numId w:val="0"/>
        </w:numPr>
        <w:rPr>
          <w:szCs w:val="22"/>
          <w:lang w:val="es-ES"/>
        </w:rPr>
      </w:pPr>
      <w:r w:rsidRPr="00AA21C6">
        <w:rPr>
          <w:szCs w:val="22"/>
          <w:lang w:val="es-ES"/>
        </w:rPr>
        <w:t xml:space="preserve">Ese término se utiliza también en el </w:t>
      </w:r>
      <w:r w:rsidRPr="00642D79">
        <w:rPr>
          <w:i/>
          <w:szCs w:val="22"/>
          <w:lang w:val="es-ES"/>
        </w:rPr>
        <w:t>Tratado Internacional sobre Recursos Fitogenéticos para la Alimentación y la Agricultura</w:t>
      </w:r>
      <w:r w:rsidR="00642D79">
        <w:rPr>
          <w:szCs w:val="22"/>
          <w:lang w:val="es-ES"/>
        </w:rPr>
        <w:t>, de la FAO.</w:t>
      </w:r>
      <w:r w:rsidRPr="00AA21C6">
        <w:rPr>
          <w:szCs w:val="22"/>
          <w:lang w:val="es-ES"/>
        </w:rPr>
        <w:t xml:space="preserve">  En el artículo 5.1 de dicho tratado se estipula que:  “cada Parte Contratante […], en particular, según proceda:  […] d) promoverá la conservación </w:t>
      </w:r>
      <w:r w:rsidRPr="00AA21C6">
        <w:rPr>
          <w:i/>
          <w:szCs w:val="22"/>
          <w:lang w:val="es-ES"/>
        </w:rPr>
        <w:t>in situ</w:t>
      </w:r>
      <w:r w:rsidRPr="00AA21C6">
        <w:rPr>
          <w:szCs w:val="22"/>
          <w:lang w:val="es-ES"/>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AA21C6">
        <w:rPr>
          <w:iCs/>
          <w:szCs w:val="22"/>
          <w:lang w:val="es-ES"/>
        </w:rPr>
        <w:t xml:space="preserve">ada Parte Contratante […] en particular, según proceda:  […] c) promoverá o apoyará, cuando proceda, los esfuerzos de los agricultores y de </w:t>
      </w:r>
      <w:r w:rsidRPr="00AA21C6">
        <w:rPr>
          <w:iCs/>
          <w:szCs w:val="22"/>
          <w:lang w:val="es-ES"/>
        </w:rPr>
        <w:lastRenderedPageBreak/>
        <w:t>las comunidades locales encaminados a la ordenación y conservación en las fincas de sus recursos fitogenéticos para la alimentación y la agricultura […]</w:t>
      </w:r>
      <w:r w:rsidRPr="00AA21C6">
        <w:rPr>
          <w:szCs w:val="22"/>
          <w:lang w:val="es-ES"/>
        </w:rPr>
        <w:t>”.</w:t>
      </w:r>
    </w:p>
    <w:p w:rsidR="00C0409B" w:rsidRPr="00AA21C6" w:rsidRDefault="00C0409B" w:rsidP="00C0409B">
      <w:pPr>
        <w:pStyle w:val="ONUMFS"/>
        <w:numPr>
          <w:ilvl w:val="0"/>
          <w:numId w:val="0"/>
        </w:numPr>
        <w:rPr>
          <w:szCs w:val="22"/>
          <w:lang w:val="es-ES"/>
        </w:rPr>
      </w:pPr>
      <w:r w:rsidRPr="00AA21C6">
        <w:rPr>
          <w:szCs w:val="22"/>
          <w:lang w:val="es-ES"/>
        </w:rPr>
        <w:t xml:space="preserve">En otros instrumentos jurídicos se utiliza una terminología diferente:  la expresión “comunidad local o tradicional” se utiliza en el </w:t>
      </w:r>
      <w:r w:rsidRPr="00642D79">
        <w:rPr>
          <w:i/>
          <w:szCs w:val="22"/>
          <w:lang w:val="es-ES"/>
        </w:rPr>
        <w:t>Protocolo de Swakopmund sobre la Protección de los Conocimientos Tradicionales y las Expresiones del Folclore</w:t>
      </w:r>
      <w:r w:rsidRPr="00AA21C6">
        <w:rPr>
          <w:szCs w:val="22"/>
          <w:lang w:val="es-ES"/>
        </w:rPr>
        <w:t>, de la ARIPO.  En el artículo 2.1 de dicho Protocolo se estipula que, en la medida que lo permita el contexto, en el término “comunidad” quedarán comprendidas las comunidades locales o tradicionales.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 de la </w:t>
      </w:r>
      <w:r w:rsidRPr="00642D79">
        <w:rPr>
          <w:i/>
          <w:szCs w:val="22"/>
          <w:lang w:val="es-ES"/>
        </w:rPr>
        <w:t>Decisión 391 de la Comunidad Andina acerca de un Régimen Común sobre Acceso a los Recursos Genéticos</w:t>
      </w:r>
      <w:r w:rsidRPr="00AA21C6">
        <w:rPr>
          <w:szCs w:val="22"/>
          <w:lang w:val="es-ES"/>
        </w:rPr>
        <w:t xml:space="preserve"> se define “comunidad indígena, afroamericana o local” como “</w:t>
      </w:r>
      <w:r w:rsidRPr="00AA21C6">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AA21C6">
        <w:rPr>
          <w:szCs w:val="22"/>
          <w:lang w:val="es-ES"/>
        </w:rPr>
        <w:t>”.</w:t>
      </w:r>
    </w:p>
    <w:p w:rsidR="00C0409B" w:rsidRPr="00AA21C6" w:rsidRDefault="00C0409B" w:rsidP="00C0409B">
      <w:pPr>
        <w:pStyle w:val="ONUMFS"/>
        <w:keepNext/>
        <w:keepLines/>
        <w:numPr>
          <w:ilvl w:val="0"/>
          <w:numId w:val="0"/>
        </w:numPr>
        <w:rPr>
          <w:b/>
          <w:szCs w:val="22"/>
          <w:lang w:val="es-ES"/>
        </w:rPr>
      </w:pPr>
      <w:r w:rsidRPr="00AA21C6">
        <w:rPr>
          <w:szCs w:val="22"/>
          <w:lang w:val="es-ES"/>
        </w:rPr>
        <w:t>En el artículo 7.III de la Ley provisional del Brasil Nº 2, 186 16, con fecha 23 de agosto de 2001, se define “comunidad local” como ”</w:t>
      </w:r>
      <w:r w:rsidRPr="00AA21C6">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AA21C6">
        <w:rPr>
          <w:szCs w:val="22"/>
          <w:lang w:val="es-ES"/>
        </w:rPr>
        <w:t>”.</w:t>
      </w:r>
    </w:p>
    <w:p w:rsidR="00C0409B" w:rsidRPr="00AA21C6" w:rsidRDefault="00C0409B" w:rsidP="00C0409B">
      <w:pPr>
        <w:pStyle w:val="ONUMFS"/>
        <w:numPr>
          <w:ilvl w:val="0"/>
          <w:numId w:val="0"/>
        </w:numPr>
        <w:rPr>
          <w:b/>
          <w:bCs/>
          <w:szCs w:val="22"/>
          <w:lang w:val="es-ES"/>
        </w:rPr>
      </w:pPr>
      <w:r w:rsidRPr="00AA21C6">
        <w:rPr>
          <w:b/>
          <w:bCs/>
          <w:szCs w:val="22"/>
          <w:lang w:val="es-ES"/>
        </w:rPr>
        <w:t>Conocimientos indígenas</w:t>
      </w:r>
    </w:p>
    <w:p w:rsidR="00C0409B" w:rsidRPr="00AA21C6" w:rsidRDefault="00C0409B" w:rsidP="00C0409B">
      <w:pPr>
        <w:pStyle w:val="ONUMFS"/>
        <w:numPr>
          <w:ilvl w:val="0"/>
          <w:numId w:val="0"/>
        </w:numPr>
        <w:rPr>
          <w:b/>
          <w:szCs w:val="22"/>
          <w:lang w:val="es-ES"/>
        </w:rPr>
      </w:pPr>
      <w:r w:rsidRPr="00AA21C6">
        <w:rPr>
          <w:szCs w:val="22"/>
          <w:lang w:val="es-ES"/>
        </w:rPr>
        <w:t>La expresión “conocimientos indígenas” se utiliza para describir “</w:t>
      </w:r>
      <w:r w:rsidRPr="00AA21C6">
        <w:rPr>
          <w:iCs/>
          <w:szCs w:val="22"/>
          <w:lang w:val="es-ES"/>
        </w:rPr>
        <w:t>los conocimientos que poseen y utilizan comunidades, pueblos y naciones indígenas</w:t>
      </w:r>
      <w:r w:rsidRPr="00AA21C6">
        <w:rPr>
          <w:szCs w:val="22"/>
          <w:lang w:val="es-ES"/>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AA21C6">
        <w:rPr>
          <w:rStyle w:val="FootnoteReference"/>
          <w:szCs w:val="22"/>
          <w:lang w:val="es-ES"/>
        </w:rPr>
        <w:footnoteReference w:id="78"/>
      </w:r>
    </w:p>
    <w:p w:rsidR="00C0409B" w:rsidRPr="00AA21C6" w:rsidRDefault="00C0409B" w:rsidP="00C0409B">
      <w:pPr>
        <w:pStyle w:val="ONUMFS"/>
        <w:numPr>
          <w:ilvl w:val="0"/>
          <w:numId w:val="0"/>
        </w:numPr>
        <w:rPr>
          <w:b/>
          <w:bCs/>
          <w:szCs w:val="22"/>
          <w:lang w:val="es-ES"/>
        </w:rPr>
      </w:pPr>
      <w:r w:rsidRPr="00AA21C6">
        <w:rPr>
          <w:b/>
          <w:bCs/>
          <w:szCs w:val="22"/>
          <w:lang w:val="es-ES"/>
        </w:rPr>
        <w:t>Pueblos indígenas</w:t>
      </w:r>
    </w:p>
    <w:p w:rsidR="00C0409B" w:rsidRPr="00AA21C6" w:rsidRDefault="00C0409B" w:rsidP="00C0409B">
      <w:pPr>
        <w:pStyle w:val="ONUMFS"/>
        <w:numPr>
          <w:ilvl w:val="0"/>
          <w:numId w:val="0"/>
        </w:numPr>
        <w:rPr>
          <w:szCs w:val="22"/>
          <w:lang w:val="es-ES"/>
        </w:rPr>
      </w:pPr>
      <w:r w:rsidRPr="00AA21C6">
        <w:rPr>
          <w:szCs w:val="22"/>
          <w:lang w:val="es-ES"/>
        </w:rPr>
        <w:t>La expresión “pueblos indígenas” ha sido objeto de considerable debate y estudio por cuanto no existe una definición universal estándar.</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642D79">
        <w:rPr>
          <w:i/>
          <w:szCs w:val="22"/>
          <w:lang w:val="es-ES"/>
        </w:rPr>
        <w:t>Declaración de las Naciones Unidas sobre los Derechos de los Pueblos Indígenas</w:t>
      </w:r>
      <w:r w:rsidRPr="00AA21C6">
        <w:rPr>
          <w:szCs w:val="22"/>
          <w:lang w:val="es-ES"/>
        </w:rPr>
        <w:t xml:space="preserve">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C0409B" w:rsidRPr="00AA21C6" w:rsidRDefault="00C0409B" w:rsidP="00C0409B">
      <w:pPr>
        <w:pStyle w:val="ONUMFS"/>
        <w:numPr>
          <w:ilvl w:val="0"/>
          <w:numId w:val="0"/>
        </w:numPr>
        <w:rPr>
          <w:szCs w:val="22"/>
          <w:lang w:val="es-ES"/>
        </w:rPr>
      </w:pPr>
      <w:r w:rsidRPr="00AA21C6">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AA21C6">
        <w:rPr>
          <w:iCs/>
          <w:szCs w:val="22"/>
          <w:lang w:val="es-ES"/>
        </w:rPr>
        <w:t xml:space="preserve">teniendo una continuidad histórica con las sociedades anteriores a la invasión y precoloniales que se desarrollaron en sus territorios, </w:t>
      </w:r>
      <w:r w:rsidRPr="00AA21C6">
        <w:rPr>
          <w:iCs/>
          <w:szCs w:val="22"/>
          <w:lang w:val="es-ES"/>
        </w:rPr>
        <w:lastRenderedPageBreak/>
        <w:t>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szCs w:val="22"/>
          <w:lang w:val="es-ES"/>
        </w:rPr>
        <w:t>”.</w:t>
      </w:r>
    </w:p>
    <w:p w:rsidR="00C0409B" w:rsidRPr="00AA21C6" w:rsidRDefault="00C0409B" w:rsidP="00C0409B">
      <w:pPr>
        <w:pStyle w:val="ONUMFS"/>
        <w:numPr>
          <w:ilvl w:val="0"/>
          <w:numId w:val="0"/>
        </w:numPr>
        <w:rPr>
          <w:szCs w:val="22"/>
          <w:lang w:val="es-ES"/>
        </w:rPr>
      </w:pPr>
      <w:r w:rsidRPr="00AA21C6">
        <w:rPr>
          <w:szCs w:val="22"/>
          <w:lang w:val="es-ES"/>
        </w:rPr>
        <w:t>El artículo 1 del Convenio de la OIT sobre pueblos indígenas y tribales en países independientes establece que dicho Convenio se aplicará:</w:t>
      </w:r>
    </w:p>
    <w:p w:rsidR="00C0409B" w:rsidRPr="00AA21C6" w:rsidRDefault="00C0409B" w:rsidP="00C0409B">
      <w:pPr>
        <w:pStyle w:val="ONUMFS"/>
        <w:numPr>
          <w:ilvl w:val="0"/>
          <w:numId w:val="0"/>
        </w:numPr>
        <w:ind w:left="567"/>
        <w:rPr>
          <w:szCs w:val="22"/>
          <w:lang w:val="es-ES"/>
        </w:rPr>
      </w:pPr>
      <w:r w:rsidRPr="00AA21C6">
        <w:rPr>
          <w:szCs w:val="22"/>
          <w:lang w:val="es-ES"/>
        </w:rPr>
        <w:t>“a)</w:t>
      </w:r>
      <w:r w:rsidRPr="00AA21C6">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C0409B" w:rsidRPr="00AA21C6" w:rsidRDefault="00C0409B" w:rsidP="00C0409B">
      <w:pPr>
        <w:pStyle w:val="ONUMFS"/>
        <w:numPr>
          <w:ilvl w:val="0"/>
          <w:numId w:val="0"/>
        </w:numPr>
        <w:ind w:left="567"/>
        <w:rPr>
          <w:szCs w:val="22"/>
          <w:lang w:val="es-ES"/>
        </w:rPr>
      </w:pPr>
      <w:r w:rsidRPr="00AA21C6">
        <w:rPr>
          <w:szCs w:val="22"/>
          <w:lang w:val="es-ES"/>
        </w:rPr>
        <w:t>b)</w:t>
      </w:r>
      <w:r w:rsidRPr="00AA21C6">
        <w:rPr>
          <w:szCs w:val="22"/>
          <w:lang w:val="es-ES"/>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AA21C6">
        <w:rPr>
          <w:rStyle w:val="FootnoteReference"/>
          <w:szCs w:val="22"/>
          <w:lang w:val="es-ES"/>
        </w:rPr>
        <w:footnoteReference w:id="79"/>
      </w:r>
    </w:p>
    <w:p w:rsidR="00C0409B" w:rsidRPr="00AA21C6" w:rsidRDefault="00C0409B" w:rsidP="00C0409B">
      <w:pPr>
        <w:pStyle w:val="ONUMFS"/>
        <w:numPr>
          <w:ilvl w:val="0"/>
          <w:numId w:val="0"/>
        </w:numPr>
        <w:rPr>
          <w:szCs w:val="22"/>
          <w:lang w:val="es-ES"/>
        </w:rPr>
      </w:pPr>
      <w:r w:rsidRPr="00AA21C6">
        <w:rPr>
          <w:szCs w:val="22"/>
          <w:lang w:val="es-ES"/>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AA21C6">
        <w:rPr>
          <w:szCs w:val="22"/>
          <w:lang w:val="es-ES"/>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AA21C6">
        <w:rPr>
          <w:rStyle w:val="FootnoteReference"/>
          <w:szCs w:val="22"/>
          <w:lang w:val="es-ES"/>
        </w:rPr>
        <w:footnoteReference w:id="80"/>
      </w:r>
    </w:p>
    <w:p w:rsidR="00C0409B" w:rsidRPr="00AA21C6" w:rsidRDefault="00C0409B" w:rsidP="00C0409B">
      <w:pPr>
        <w:pStyle w:val="ONUMFS"/>
        <w:numPr>
          <w:ilvl w:val="0"/>
          <w:numId w:val="0"/>
        </w:numPr>
        <w:rPr>
          <w:szCs w:val="22"/>
          <w:lang w:val="es-ES"/>
        </w:rPr>
      </w:pPr>
      <w:r w:rsidRPr="00AA21C6">
        <w:rPr>
          <w:szCs w:val="22"/>
          <w:lang w:val="es-ES"/>
        </w:rPr>
        <w:t>El Banco Mundial emplea el término “pueblos indígenas” en sentido genérico y mediante el mismo se designa a diferentes grupos que presentan las siguientes características en mayor o menor proporción:</w:t>
      </w:r>
    </w:p>
    <w:p w:rsidR="00C0409B" w:rsidRPr="00AA21C6" w:rsidRDefault="00C0409B" w:rsidP="00C0409B">
      <w:pPr>
        <w:pStyle w:val="ONUMFS"/>
        <w:numPr>
          <w:ilvl w:val="0"/>
          <w:numId w:val="0"/>
        </w:numPr>
        <w:ind w:left="567"/>
        <w:rPr>
          <w:szCs w:val="22"/>
          <w:lang w:val="es-ES"/>
        </w:rPr>
      </w:pPr>
      <w:r w:rsidRPr="00AA21C6">
        <w:rPr>
          <w:szCs w:val="22"/>
          <w:lang w:val="es-ES"/>
        </w:rPr>
        <w:t>i)</w:t>
      </w:r>
      <w:r w:rsidRPr="00AA21C6">
        <w:rPr>
          <w:szCs w:val="22"/>
          <w:lang w:val="es-ES"/>
        </w:rPr>
        <w:tab/>
        <w:t>“su propia identificación como miembros de un grupo determinado de cultura indígena y el reconocimiento de su identidad por otros;</w:t>
      </w:r>
    </w:p>
    <w:p w:rsidR="00C0409B" w:rsidRPr="00AA21C6" w:rsidRDefault="00C0409B" w:rsidP="00C0409B">
      <w:pPr>
        <w:pStyle w:val="ONUMFS"/>
        <w:numPr>
          <w:ilvl w:val="0"/>
          <w:numId w:val="0"/>
        </w:numPr>
        <w:ind w:left="567"/>
        <w:rPr>
          <w:szCs w:val="22"/>
          <w:lang w:val="es-ES"/>
        </w:rPr>
      </w:pPr>
      <w:r w:rsidRPr="00AA21C6">
        <w:rPr>
          <w:szCs w:val="22"/>
          <w:lang w:val="es-ES"/>
        </w:rPr>
        <w:t>ii)</w:t>
      </w:r>
      <w:r w:rsidRPr="00AA21C6">
        <w:rPr>
          <w:szCs w:val="22"/>
          <w:lang w:val="es-ES"/>
        </w:rPr>
        <w:tab/>
        <w:t>un apego colectivo a hábitats geográficamente definidos o territorios ancestrales en la zona del proyecto y a los recursos naturales de esos hábitats o territorios;</w:t>
      </w:r>
    </w:p>
    <w:p w:rsidR="00C0409B" w:rsidRPr="00AA21C6" w:rsidRDefault="00C0409B" w:rsidP="00C0409B">
      <w:pPr>
        <w:pStyle w:val="ONUMFS"/>
        <w:numPr>
          <w:ilvl w:val="0"/>
          <w:numId w:val="0"/>
        </w:numPr>
        <w:ind w:left="567"/>
        <w:rPr>
          <w:szCs w:val="22"/>
          <w:lang w:val="es-ES"/>
        </w:rPr>
      </w:pPr>
      <w:r w:rsidRPr="00AA21C6">
        <w:rPr>
          <w:szCs w:val="22"/>
          <w:lang w:val="es-ES"/>
        </w:rPr>
        <w:t>iii)</w:t>
      </w:r>
      <w:r w:rsidRPr="00AA21C6">
        <w:rPr>
          <w:szCs w:val="22"/>
          <w:lang w:val="es-ES"/>
        </w:rPr>
        <w:tab/>
        <w:t>instituciones consuetudinarias culturales, económicas, sociales o políticas distintas de las de la sociedad y cultura dominantes;  y</w:t>
      </w:r>
    </w:p>
    <w:p w:rsidR="00C0409B" w:rsidRPr="00AA21C6" w:rsidRDefault="00C0409B" w:rsidP="00C0409B">
      <w:pPr>
        <w:pStyle w:val="ONUMFS"/>
        <w:numPr>
          <w:ilvl w:val="0"/>
          <w:numId w:val="0"/>
        </w:numPr>
        <w:ind w:left="567"/>
        <w:rPr>
          <w:szCs w:val="22"/>
          <w:lang w:val="es-ES"/>
        </w:rPr>
      </w:pPr>
      <w:r w:rsidRPr="00AA21C6">
        <w:rPr>
          <w:szCs w:val="22"/>
          <w:lang w:val="es-ES"/>
        </w:rPr>
        <w:t>iv)</w:t>
      </w:r>
      <w:r w:rsidRPr="00AA21C6">
        <w:rPr>
          <w:szCs w:val="22"/>
          <w:lang w:val="es-ES"/>
        </w:rPr>
        <w:tab/>
        <w:t>una lengua indígena, con frecuencia distinta de la lengua oficial del país o región”.</w:t>
      </w:r>
      <w:r w:rsidRPr="00AA21C6">
        <w:rPr>
          <w:rStyle w:val="FootnoteReference"/>
          <w:szCs w:val="22"/>
          <w:lang w:val="es-ES"/>
        </w:rPr>
        <w:footnoteReference w:id="81"/>
      </w:r>
    </w:p>
    <w:p w:rsidR="00C0409B" w:rsidRPr="00AA21C6" w:rsidRDefault="00C0409B" w:rsidP="00C0409B">
      <w:pPr>
        <w:pStyle w:val="ONUMFS"/>
        <w:numPr>
          <w:ilvl w:val="0"/>
          <w:numId w:val="0"/>
        </w:numPr>
        <w:rPr>
          <w:szCs w:val="22"/>
          <w:lang w:val="es-ES"/>
        </w:rPr>
      </w:pPr>
      <w:r w:rsidRPr="00AA21C6">
        <w:rPr>
          <w:szCs w:val="22"/>
          <w:lang w:val="es-ES"/>
        </w:rPr>
        <w:lastRenderedPageBreak/>
        <w:t>La Política de actuación del Fondo Internacional de Desarrollo Agrícola (FIDA) en relación con los pueblos indígenas establece que “De conformidad con la práctica internacional,</w:t>
      </w:r>
      <w:r w:rsidRPr="00AA21C6">
        <w:rPr>
          <w:rStyle w:val="FootnoteReference"/>
          <w:szCs w:val="22"/>
          <w:lang w:val="es-ES"/>
        </w:rPr>
        <w:footnoteReference w:id="82"/>
      </w:r>
      <w:r w:rsidRPr="00AA21C6">
        <w:rPr>
          <w:szCs w:val="22"/>
          <w:lang w:val="es-ES"/>
        </w:rPr>
        <w:t xml:space="preserve"> y a los fines de la presente política, el IFAD utilizará una definición de “pueblos indígenas” basada en los siguiente criterios:</w:t>
      </w:r>
    </w:p>
    <w:p w:rsidR="00C0409B" w:rsidRPr="00AA21C6" w:rsidRDefault="00C0409B" w:rsidP="00C0409B">
      <w:pPr>
        <w:pStyle w:val="ONUMFS"/>
        <w:numPr>
          <w:ilvl w:val="0"/>
          <w:numId w:val="49"/>
        </w:numPr>
        <w:tabs>
          <w:tab w:val="clear" w:pos="1741"/>
        </w:tabs>
        <w:ind w:left="1134" w:hanging="567"/>
        <w:rPr>
          <w:szCs w:val="22"/>
          <w:lang w:val="es-ES"/>
        </w:rPr>
      </w:pPr>
      <w:r w:rsidRPr="00AA21C6">
        <w:rPr>
          <w:szCs w:val="22"/>
          <w:lang w:val="es-ES"/>
        </w:rPr>
        <w:t>la prioridad en el tiempo por lo que respecta a la ocupación y el uso de determinado territorio;</w:t>
      </w:r>
    </w:p>
    <w:p w:rsidR="00C0409B" w:rsidRPr="00AA21C6" w:rsidRDefault="00C0409B" w:rsidP="00C0409B">
      <w:pPr>
        <w:pStyle w:val="ONUMFS"/>
        <w:numPr>
          <w:ilvl w:val="0"/>
          <w:numId w:val="49"/>
        </w:numPr>
        <w:tabs>
          <w:tab w:val="clear" w:pos="1741"/>
        </w:tabs>
        <w:ind w:left="1134" w:hanging="567"/>
        <w:rPr>
          <w:szCs w:val="22"/>
          <w:lang w:val="es-ES"/>
        </w:rPr>
      </w:pPr>
      <w:r w:rsidRPr="00AA21C6">
        <w:rPr>
          <w:szCs w:val="22"/>
          <w:lang w:val="es-ES"/>
        </w:rPr>
        <w:t>la perpetuación voluntaria de la diferenciación cultural, que puede incluir los aspectos del idioma, la organización social, la religión y los valores espirituales, los modos de producción, las leyes y las instituciones;</w:t>
      </w:r>
    </w:p>
    <w:p w:rsidR="00C0409B" w:rsidRPr="00AA21C6" w:rsidRDefault="00C0409B" w:rsidP="00C0409B">
      <w:pPr>
        <w:pStyle w:val="ONUMFS"/>
        <w:numPr>
          <w:ilvl w:val="0"/>
          <w:numId w:val="49"/>
        </w:numPr>
        <w:tabs>
          <w:tab w:val="clear" w:pos="1741"/>
        </w:tabs>
        <w:ind w:left="1134" w:hanging="567"/>
        <w:rPr>
          <w:szCs w:val="22"/>
          <w:lang w:val="es-ES"/>
        </w:rPr>
      </w:pPr>
      <w:r w:rsidRPr="00AA21C6">
        <w:rPr>
          <w:szCs w:val="22"/>
          <w:lang w:val="es-ES"/>
        </w:rPr>
        <w:t>la conciencia de la propia identidad, así como su reconocimiento por otros grupos, o por las autoridades estatales, como una colectividad distinta;  y</w:t>
      </w:r>
    </w:p>
    <w:p w:rsidR="00C0409B" w:rsidRPr="00AA21C6" w:rsidRDefault="00C0409B" w:rsidP="00C0409B">
      <w:pPr>
        <w:pStyle w:val="ONUMFS"/>
        <w:numPr>
          <w:ilvl w:val="0"/>
          <w:numId w:val="49"/>
        </w:numPr>
        <w:tabs>
          <w:tab w:val="clear" w:pos="1741"/>
        </w:tabs>
        <w:ind w:left="1134" w:hanging="567"/>
        <w:rPr>
          <w:szCs w:val="22"/>
          <w:lang w:val="es-ES"/>
        </w:rPr>
      </w:pPr>
      <w:r w:rsidRPr="00AA21C6">
        <w:rPr>
          <w:szCs w:val="22"/>
          <w:lang w:val="es-ES"/>
        </w:rPr>
        <w:t>una experiencia de sometimiento, marginación, desposeimiento, exclusión o discriminación.”</w:t>
      </w:r>
      <w:r w:rsidRPr="00AA21C6">
        <w:rPr>
          <w:rStyle w:val="FootnoteReference"/>
          <w:szCs w:val="22"/>
          <w:lang w:val="es-ES"/>
        </w:rPr>
        <w:footnoteReference w:id="83"/>
      </w:r>
    </w:p>
    <w:p w:rsidR="00C0409B" w:rsidRPr="00AA21C6" w:rsidRDefault="00C0409B" w:rsidP="00C0409B">
      <w:pPr>
        <w:pStyle w:val="ONUMFS"/>
        <w:numPr>
          <w:ilvl w:val="0"/>
          <w:numId w:val="0"/>
        </w:numPr>
        <w:rPr>
          <w:szCs w:val="22"/>
          <w:lang w:val="es-ES"/>
        </w:rPr>
      </w:pPr>
      <w:r w:rsidRPr="00AA21C6">
        <w:rPr>
          <w:szCs w:val="22"/>
          <w:lang w:val="es-ES"/>
        </w:rPr>
        <w:t>En el documento “El PNUD y los pueblos indígenas:  Una política de compromiso”,</w:t>
      </w:r>
      <w:r w:rsidRPr="00AA21C6">
        <w:rPr>
          <w:rStyle w:val="FootnoteReference"/>
          <w:szCs w:val="22"/>
          <w:lang w:val="es-ES"/>
        </w:rPr>
        <w:footnoteReference w:id="84"/>
      </w:r>
      <w:r w:rsidRPr="00AA21C6">
        <w:rPr>
          <w:szCs w:val="22"/>
          <w:lang w:val="es-ES"/>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C0409B" w:rsidRPr="00AA21C6" w:rsidRDefault="00C0409B" w:rsidP="00C0409B">
      <w:pPr>
        <w:pStyle w:val="ONUMFS"/>
        <w:numPr>
          <w:ilvl w:val="0"/>
          <w:numId w:val="0"/>
        </w:numPr>
        <w:rPr>
          <w:szCs w:val="22"/>
          <w:lang w:val="es-ES"/>
        </w:rPr>
      </w:pPr>
      <w:r w:rsidRPr="00AA21C6">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AA21C6">
        <w:rPr>
          <w:iCs/>
          <w:szCs w:val="22"/>
          <w:lang w:val="es-ES"/>
        </w:rPr>
        <w:t>pueblos originarios que tienen derechos anteriores a la formación del Estado peruano, mantienen una cultura propia, un espacio territorial y se autorreconocen como tales.  En éstos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AA21C6">
        <w:rPr>
          <w:szCs w:val="22"/>
          <w:lang w:val="es-ES"/>
        </w:rPr>
        <w:t>”.</w:t>
      </w:r>
    </w:p>
    <w:p w:rsidR="00C0409B" w:rsidRPr="00AA21C6" w:rsidRDefault="00C0409B" w:rsidP="00C0409B">
      <w:pPr>
        <w:pStyle w:val="ONUMFS"/>
        <w:numPr>
          <w:ilvl w:val="0"/>
          <w:numId w:val="0"/>
        </w:numPr>
        <w:rPr>
          <w:szCs w:val="22"/>
          <w:lang w:val="es-ES"/>
        </w:rPr>
      </w:pPr>
      <w:r w:rsidRPr="00AA21C6">
        <w:rPr>
          <w:szCs w:val="22"/>
          <w:lang w:val="es-ES"/>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AA21C6">
        <w:rPr>
          <w:i/>
          <w:iCs/>
          <w:szCs w:val="22"/>
          <w:lang w:val="es-ES"/>
        </w:rPr>
        <w:t>indígena</w:t>
      </w:r>
      <w:r w:rsidRPr="00AA21C6">
        <w:rPr>
          <w:szCs w:val="22"/>
          <w:lang w:val="es-ES"/>
        </w:rPr>
        <w:t xml:space="preserve">, este último vocablo es el usual en las campañas coloniales para designar a la población nativa.  La voz se emplea con preferencia en plural:  </w:t>
      </w:r>
      <w:r w:rsidRPr="00AA21C6">
        <w:rPr>
          <w:i/>
          <w:iCs/>
          <w:szCs w:val="22"/>
          <w:lang w:val="es-ES"/>
        </w:rPr>
        <w:t>aborígenes</w:t>
      </w:r>
      <w:r w:rsidRPr="00AA21C6">
        <w:rPr>
          <w:szCs w:val="22"/>
          <w:lang w:val="es-ES"/>
        </w:rPr>
        <w:t xml:space="preserve">.  En el Diccionario Oxford se define dicho término </w:t>
      </w:r>
      <w:r w:rsidRPr="00AA21C6">
        <w:rPr>
          <w:szCs w:val="22"/>
          <w:lang w:val="es-ES"/>
        </w:rPr>
        <w:lastRenderedPageBreak/>
        <w:t>también como pueblo que vivía u ocupaba un país antes de la llegada de los colonos europeos […] y también como nombre característico del pueblo indígena de Australia.</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35 de la Constitución del Canadá se estipula lo siguiente:  </w:t>
      </w:r>
      <w:r w:rsidRPr="00AA21C6">
        <w:rPr>
          <w:iCs/>
          <w:szCs w:val="22"/>
          <w:lang w:val="es-ES"/>
        </w:rPr>
        <w:t xml:space="preserve">[…] </w:t>
      </w:r>
      <w:r w:rsidRPr="00642D79">
        <w:rPr>
          <w:i/>
          <w:iCs/>
          <w:szCs w:val="22"/>
          <w:lang w:val="es-ES"/>
        </w:rPr>
        <w:t>el pueblo aborigen del Canadá incluye los pueblos indígena, inuit y mestizo del Canadá</w:t>
      </w:r>
      <w:r w:rsidRPr="00AA21C6">
        <w:rPr>
          <w:iCs/>
          <w:szCs w:val="22"/>
          <w:lang w:val="es-ES"/>
        </w:rPr>
        <w:t>.</w:t>
      </w:r>
      <w:r w:rsidRPr="00AA21C6">
        <w:rPr>
          <w:szCs w:val="22"/>
          <w:lang w:val="es-ES"/>
        </w:rPr>
        <w:t xml:space="preserve"> </w:t>
      </w:r>
      <w:r w:rsidRPr="00AA21C6">
        <w:rPr>
          <w:iCs/>
          <w:szCs w:val="22"/>
          <w:lang w:val="es-ES"/>
        </w:rPr>
        <w:t xml:space="preserve"> </w:t>
      </w:r>
      <w:r w:rsidRPr="00AA21C6">
        <w:rPr>
          <w:szCs w:val="22"/>
          <w:lang w:val="es-ES"/>
        </w:rPr>
        <w:t>En 1996, la</w:t>
      </w:r>
      <w:r w:rsidRPr="00AA21C6">
        <w:rPr>
          <w:iCs/>
          <w:szCs w:val="22"/>
          <w:lang w:val="es-ES"/>
        </w:rPr>
        <w:t xml:space="preserve"> </w:t>
      </w:r>
      <w:r w:rsidRPr="00AA21C6">
        <w:rPr>
          <w:i/>
          <w:iCs/>
          <w:szCs w:val="22"/>
          <w:lang w:val="es-ES"/>
        </w:rPr>
        <w:t>Canadian Royal Commission on Aboriginal People</w:t>
      </w:r>
      <w:r w:rsidRPr="00AA21C6">
        <w:rPr>
          <w:szCs w:val="22"/>
          <w:lang w:val="es-ES"/>
        </w:rPr>
        <w:t xml:space="preserve"> definió a su grupo destinatario en tanto que:  […] </w:t>
      </w:r>
      <w:r w:rsidRPr="00642D79">
        <w:rPr>
          <w:i/>
          <w:iCs/>
          <w:szCs w:val="22"/>
          <w:lang w:val="es-ES"/>
        </w:rPr>
        <w:t>entidades políticas y culturales orgánicas que proceden del pueblo original de América del Norte</w:t>
      </w:r>
      <w:r w:rsidRPr="00AA21C6">
        <w:rPr>
          <w:szCs w:val="22"/>
          <w:lang w:val="es-ES"/>
        </w:rPr>
        <w:t xml:space="preserve"> […].</w:t>
      </w:r>
    </w:p>
    <w:p w:rsidR="00C0409B" w:rsidRPr="00AA21C6" w:rsidRDefault="00C0409B" w:rsidP="00C0409B">
      <w:pPr>
        <w:pStyle w:val="ONUMFS"/>
        <w:numPr>
          <w:ilvl w:val="0"/>
          <w:numId w:val="0"/>
        </w:numPr>
        <w:rPr>
          <w:b/>
          <w:szCs w:val="22"/>
          <w:lang w:val="es-ES"/>
        </w:rPr>
      </w:pPr>
      <w:r w:rsidRPr="00AA21C6">
        <w:rPr>
          <w:szCs w:val="22"/>
          <w:lang w:val="es-ES"/>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rStyle w:val="FootnoteReference"/>
          <w:szCs w:val="22"/>
          <w:lang w:val="es-ES"/>
        </w:rPr>
        <w:footnoteReference w:id="85"/>
      </w:r>
    </w:p>
    <w:p w:rsidR="00C0409B" w:rsidRPr="00AA21C6" w:rsidRDefault="00C0409B" w:rsidP="00C0409B">
      <w:pPr>
        <w:pStyle w:val="ONUMFS"/>
        <w:keepNext/>
        <w:numPr>
          <w:ilvl w:val="0"/>
          <w:numId w:val="0"/>
        </w:numPr>
        <w:rPr>
          <w:b/>
          <w:szCs w:val="22"/>
          <w:lang w:val="es-ES"/>
        </w:rPr>
      </w:pPr>
      <w:r w:rsidRPr="00AA21C6">
        <w:rPr>
          <w:b/>
          <w:bCs/>
          <w:szCs w:val="22"/>
          <w:lang w:val="es-ES"/>
        </w:rPr>
        <w:t>Infracción</w:t>
      </w:r>
    </w:p>
    <w:p w:rsidR="00C0409B" w:rsidRPr="00AA21C6" w:rsidRDefault="00C0409B" w:rsidP="00C0409B">
      <w:pPr>
        <w:pStyle w:val="ONUMFS"/>
        <w:keepNext/>
        <w:numPr>
          <w:ilvl w:val="0"/>
          <w:numId w:val="0"/>
        </w:numPr>
        <w:rPr>
          <w:b/>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AA21C6">
        <w:rPr>
          <w:rStyle w:val="FootnoteReference"/>
          <w:szCs w:val="22"/>
          <w:lang w:val="es-ES"/>
        </w:rPr>
        <w:footnoteReference w:id="86"/>
      </w:r>
    </w:p>
    <w:p w:rsidR="00C0409B" w:rsidRPr="00AA21C6" w:rsidRDefault="00C0409B" w:rsidP="00C0409B">
      <w:pPr>
        <w:pStyle w:val="ONUMFS"/>
        <w:numPr>
          <w:ilvl w:val="0"/>
          <w:numId w:val="0"/>
        </w:numPr>
        <w:rPr>
          <w:b/>
          <w:i/>
          <w:szCs w:val="22"/>
          <w:lang w:val="es-ES"/>
        </w:rPr>
      </w:pPr>
      <w:r w:rsidRPr="00AA21C6">
        <w:rPr>
          <w:b/>
          <w:i/>
          <w:szCs w:val="22"/>
          <w:lang w:val="es-ES"/>
        </w:rPr>
        <w:t>In-situ</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642D79">
        <w:rPr>
          <w:i/>
          <w:szCs w:val="22"/>
          <w:lang w:val="es-ES"/>
        </w:rPr>
        <w:t>Convenio sobre la Diversidad Biológica</w:t>
      </w:r>
      <w:r w:rsidRPr="00AA21C6">
        <w:rPr>
          <w:i/>
          <w:szCs w:val="22"/>
          <w:lang w:val="es-ES"/>
        </w:rPr>
        <w:t xml:space="preserve"> </w:t>
      </w:r>
      <w:r w:rsidRPr="00AA21C6">
        <w:rPr>
          <w:szCs w:val="22"/>
          <w:lang w:val="es-ES"/>
        </w:rPr>
        <w:t xml:space="preserve">(1992), por “condiciones </w:t>
      </w:r>
      <w:r w:rsidRPr="00AA21C6">
        <w:rPr>
          <w:i/>
          <w:szCs w:val="22"/>
          <w:lang w:val="es-ES"/>
        </w:rPr>
        <w:t>in-situ</w:t>
      </w:r>
      <w:r w:rsidRPr="00AA21C6">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C0409B" w:rsidRPr="00AA21C6" w:rsidRDefault="00C0409B" w:rsidP="00C0409B">
      <w:pPr>
        <w:pStyle w:val="ONUMFS"/>
        <w:numPr>
          <w:ilvl w:val="0"/>
          <w:numId w:val="0"/>
        </w:numPr>
        <w:rPr>
          <w:b/>
          <w:bCs/>
          <w:szCs w:val="22"/>
          <w:lang w:val="es-ES"/>
        </w:rPr>
      </w:pPr>
      <w:r w:rsidRPr="00AA21C6">
        <w:rPr>
          <w:b/>
          <w:bCs/>
          <w:szCs w:val="22"/>
          <w:lang w:val="es-ES"/>
        </w:rPr>
        <w:t>Patrimonio cultural inmaterial</w:t>
      </w:r>
    </w:p>
    <w:p w:rsidR="00C0409B" w:rsidRPr="00AA21C6" w:rsidRDefault="00C0409B" w:rsidP="00C0409B">
      <w:pPr>
        <w:pStyle w:val="ONUMFS"/>
        <w:numPr>
          <w:ilvl w:val="0"/>
          <w:numId w:val="0"/>
        </w:numPr>
        <w:rPr>
          <w:szCs w:val="22"/>
          <w:lang w:val="es-ES"/>
        </w:rPr>
      </w:pPr>
      <w:r w:rsidRPr="0059568D">
        <w:rPr>
          <w:szCs w:val="22"/>
          <w:lang w:val="es-ES"/>
        </w:rPr>
        <w:t xml:space="preserve">Según el </w:t>
      </w:r>
      <w:r w:rsidRPr="0059568D">
        <w:rPr>
          <w:iCs/>
          <w:szCs w:val="22"/>
          <w:lang w:val="es-ES"/>
        </w:rPr>
        <w:t>Diccionario de la lengua española</w:t>
      </w:r>
      <w:r w:rsidRPr="00AA21C6">
        <w:rPr>
          <w:szCs w:val="22"/>
          <w:lang w:val="es-ES"/>
        </w:rPr>
        <w:t xml:space="preserve"> de la Real Academia Española, “inmaterial” significa “no material”;  el </w:t>
      </w:r>
      <w:r w:rsidRPr="0059568D">
        <w:rPr>
          <w:iCs/>
          <w:szCs w:val="22"/>
          <w:lang w:val="es-ES"/>
        </w:rPr>
        <w:t>Diccionario de uso del español</w:t>
      </w:r>
      <w:r w:rsidRPr="00AA21C6">
        <w:rPr>
          <w:szCs w:val="22"/>
          <w:lang w:val="es-ES"/>
        </w:rPr>
        <w:t xml:space="preserve"> de María Moliner repite la definición y remite a “Incorpóreo, infigurable, ingrávido.  Espiritual.  Moral” y dice también que es sinónimo de “impalpable”:  “aplicable a las cosas no perceptibles por el tacto”.  A su vez, de “incorpóreo” el </w:t>
      </w:r>
      <w:r w:rsidRPr="0059568D">
        <w:rPr>
          <w:iCs/>
          <w:szCs w:val="22"/>
          <w:lang w:val="es-ES"/>
        </w:rPr>
        <w:t>Diccionario Espasa de la lengua española</w:t>
      </w:r>
      <w:r w:rsidRPr="00AA21C6">
        <w:rPr>
          <w:szCs w:val="22"/>
          <w:lang w:val="es-ES"/>
        </w:rPr>
        <w:t xml:space="preserve"> dice:  “Que no tiene cuerpo o que no existe físicamente”.  Por el contrario, según la RAE, “material” es aquello “perteneciente o relativo a la materia” y “opuesto a lo espiritual”.</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59568D">
        <w:rPr>
          <w:i/>
          <w:szCs w:val="22"/>
          <w:lang w:val="es-ES"/>
        </w:rPr>
        <w:t>Convención para la Salvaguardia del Patrimonio Cultural Inmaterial</w:t>
      </w:r>
      <w:r w:rsidRPr="00AA21C6">
        <w:rPr>
          <w:szCs w:val="22"/>
          <w:lang w:val="es-ES"/>
        </w:rPr>
        <w:t xml:space="preserve"> (2003)</w:t>
      </w:r>
      <w:r w:rsidR="0059568D">
        <w:rPr>
          <w:szCs w:val="22"/>
          <w:lang w:val="es-ES"/>
        </w:rPr>
        <w:t>,</w:t>
      </w:r>
      <w:r w:rsidR="0059568D" w:rsidRPr="00AA21C6">
        <w:rPr>
          <w:szCs w:val="22"/>
          <w:lang w:val="es-ES"/>
        </w:rPr>
        <w:t xml:space="preserve"> de la UNESCO</w:t>
      </w:r>
      <w:r w:rsidR="0059568D">
        <w:rPr>
          <w:szCs w:val="22"/>
          <w:lang w:val="es-ES"/>
        </w:rPr>
        <w:t>,</w:t>
      </w:r>
      <w:r w:rsidRPr="00AA21C6">
        <w:rPr>
          <w:szCs w:val="22"/>
          <w:lang w:val="es-ES"/>
        </w:rPr>
        <w:t xml:space="preserve"> el término se define como “los usos, representaciones, expresiones, conocimientos y técnicas -junto con los instrumentos, objetos, artefactos y espacios culturales que les son inherentes- que las comunidades, los grupos y en algunos casos los individuos reconozcan </w:t>
      </w:r>
      <w:r w:rsidRPr="00AA21C6">
        <w:rPr>
          <w:szCs w:val="22"/>
          <w:lang w:val="es-ES"/>
        </w:rPr>
        <w:lastRenderedPageBreak/>
        <w:t>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C0409B" w:rsidRPr="00AA21C6" w:rsidRDefault="00C0409B" w:rsidP="00C0409B">
      <w:pPr>
        <w:pStyle w:val="ONUMFS"/>
        <w:numPr>
          <w:ilvl w:val="0"/>
          <w:numId w:val="0"/>
        </w:numPr>
        <w:rPr>
          <w:szCs w:val="22"/>
          <w:lang w:val="es-ES"/>
        </w:rPr>
      </w:pPr>
      <w:r w:rsidRPr="00AA21C6">
        <w:rPr>
          <w:szCs w:val="22"/>
          <w:lang w:val="es-ES"/>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C0409B" w:rsidRPr="00AA21C6" w:rsidRDefault="00C0409B" w:rsidP="00C0409B">
      <w:pPr>
        <w:pStyle w:val="ONUMFS"/>
        <w:numPr>
          <w:ilvl w:val="0"/>
          <w:numId w:val="0"/>
        </w:numPr>
        <w:rPr>
          <w:b/>
          <w:szCs w:val="22"/>
          <w:lang w:val="es-ES"/>
        </w:rPr>
      </w:pPr>
      <w:r w:rsidRPr="00AA21C6">
        <w:rPr>
          <w:b/>
          <w:bCs/>
          <w:szCs w:val="22"/>
          <w:lang w:val="es-ES"/>
        </w:rPr>
        <w:t>Integridad [derecho de] [de la obra]</w:t>
      </w:r>
    </w:p>
    <w:p w:rsidR="00C0409B" w:rsidRPr="00AA21C6" w:rsidRDefault="00C0409B" w:rsidP="00C0409B">
      <w:pPr>
        <w:pStyle w:val="ONUMFS"/>
        <w:numPr>
          <w:ilvl w:val="0"/>
          <w:numId w:val="0"/>
        </w:numPr>
        <w:rPr>
          <w:b/>
          <w:szCs w:val="22"/>
          <w:lang w:val="es-ES"/>
        </w:rPr>
      </w:pPr>
      <w:r w:rsidRPr="00AA21C6">
        <w:rPr>
          <w:szCs w:val="22"/>
          <w:lang w:val="es-ES"/>
        </w:rPr>
        <w:t>Gracias al derecho de integridad, el autor puede oponerse a los actos de modificación o alteración de la obra que carezcan de su consentimiento.</w:t>
      </w:r>
      <w:r w:rsidRPr="00AA21C6">
        <w:rPr>
          <w:rStyle w:val="FootnoteReference"/>
          <w:szCs w:val="22"/>
          <w:lang w:val="es-ES"/>
        </w:rPr>
        <w:footnoteReference w:id="87"/>
      </w:r>
      <w:r w:rsidRPr="00AA21C6">
        <w:rPr>
          <w:szCs w:val="22"/>
          <w:lang w:val="es-ES"/>
        </w:rPr>
        <w:t xml:space="preserve">  En la revisión de Bruselas </w:t>
      </w:r>
      <w:r w:rsidR="0059568D">
        <w:rPr>
          <w:szCs w:val="22"/>
          <w:lang w:val="es-ES"/>
        </w:rPr>
        <w:t xml:space="preserve">de 1949 </w:t>
      </w:r>
      <w:r w:rsidRPr="00AA21C6">
        <w:rPr>
          <w:szCs w:val="22"/>
          <w:lang w:val="es-ES"/>
        </w:rPr>
        <w:t xml:space="preserve">del </w:t>
      </w:r>
      <w:r w:rsidRPr="0059568D">
        <w:rPr>
          <w:i/>
          <w:szCs w:val="22"/>
          <w:lang w:val="es-ES"/>
        </w:rPr>
        <w:t>Convenio de Berna</w:t>
      </w:r>
      <w:r w:rsidR="0059568D" w:rsidRPr="0059568D">
        <w:rPr>
          <w:i/>
          <w:szCs w:val="22"/>
          <w:lang w:val="es-ES"/>
        </w:rPr>
        <w:t xml:space="preserve"> para la Protección de las Obras Literarias y Artísticas</w:t>
      </w:r>
      <w:r w:rsidRPr="00AA21C6">
        <w:rPr>
          <w:szCs w:val="22"/>
          <w:lang w:val="es-ES"/>
        </w:rPr>
        <w:t xml:space="preserve"> (19</w:t>
      </w:r>
      <w:r w:rsidR="0059568D">
        <w:rPr>
          <w:szCs w:val="22"/>
          <w:lang w:val="es-ES"/>
        </w:rPr>
        <w:t>71</w:t>
      </w:r>
      <w:r w:rsidRPr="00AA21C6">
        <w:rPr>
          <w:szCs w:val="22"/>
          <w:lang w:val="es-ES"/>
        </w:rPr>
        <w:t>), se acordó prohibir “cualquier atentado a la misma [la obra] que cause perjuicio a su honor o a su reputación [del autor] (artículo 6</w:t>
      </w:r>
      <w:r w:rsidRPr="00AA21C6">
        <w:rPr>
          <w:i/>
          <w:szCs w:val="22"/>
          <w:lang w:val="es-ES"/>
        </w:rPr>
        <w:t>bis</w:t>
      </w:r>
      <w:r w:rsidRPr="00AA21C6">
        <w:rPr>
          <w:szCs w:val="22"/>
          <w:lang w:val="es-ES"/>
        </w:rPr>
        <w:t>).</w:t>
      </w:r>
    </w:p>
    <w:p w:rsidR="00C0409B" w:rsidRPr="00AA21C6" w:rsidRDefault="00C0409B" w:rsidP="00C0409B">
      <w:pPr>
        <w:pStyle w:val="ONUMFS"/>
        <w:numPr>
          <w:ilvl w:val="0"/>
          <w:numId w:val="0"/>
        </w:numPr>
        <w:rPr>
          <w:b/>
          <w:szCs w:val="22"/>
          <w:lang w:val="es-ES"/>
        </w:rPr>
      </w:pPr>
      <w:r w:rsidRPr="00AA21C6">
        <w:rPr>
          <w:b/>
          <w:bCs/>
          <w:szCs w:val="22"/>
          <w:lang w:val="es-ES"/>
        </w:rPr>
        <w:t>Directrices de propiedad intelectual sobre acceso y participación en los beneficios</w:t>
      </w:r>
    </w:p>
    <w:p w:rsidR="00C0409B" w:rsidRPr="00AA21C6" w:rsidRDefault="00C0409B" w:rsidP="00C0409B">
      <w:pPr>
        <w:pStyle w:val="ONUMFS"/>
        <w:numPr>
          <w:ilvl w:val="0"/>
          <w:numId w:val="0"/>
        </w:numPr>
        <w:rPr>
          <w:szCs w:val="22"/>
          <w:lang w:val="es-ES"/>
        </w:rPr>
      </w:pPr>
      <w:r w:rsidRPr="00AA21C6">
        <w:rPr>
          <w:szCs w:val="22"/>
          <w:lang w:val="es-ES"/>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2" w:name="sdfootnote31anc"/>
      <w:r w:rsidRPr="00AA21C6">
        <w:rPr>
          <w:rStyle w:val="FootnoteReference"/>
          <w:szCs w:val="22"/>
          <w:lang w:val="es-ES"/>
        </w:rPr>
        <w:footnoteReference w:id="88"/>
      </w:r>
      <w:r w:rsidRPr="00AA21C6">
        <w:rPr>
          <w:szCs w:val="22"/>
          <w:lang w:val="es-ES"/>
        </w:rPr>
        <w:t xml:space="preserve">  </w:t>
      </w:r>
      <w:bookmarkEnd w:id="12"/>
    </w:p>
    <w:p w:rsidR="00C0409B" w:rsidRPr="00AA21C6" w:rsidRDefault="00C0409B" w:rsidP="00C0409B">
      <w:pPr>
        <w:pStyle w:val="ONUMFS"/>
        <w:numPr>
          <w:ilvl w:val="0"/>
          <w:numId w:val="0"/>
        </w:numPr>
        <w:rPr>
          <w:szCs w:val="22"/>
          <w:lang w:val="es-ES"/>
        </w:rPr>
      </w:pPr>
      <w:r w:rsidRPr="00AA21C6">
        <w:rPr>
          <w:szCs w:val="22"/>
          <w:lang w:val="es-ES"/>
        </w:rPr>
        <w:t>Se preparó un primer borrador</w:t>
      </w:r>
      <w:r w:rsidRPr="00AA21C6">
        <w:rPr>
          <w:rStyle w:val="FootnoteReference"/>
          <w:szCs w:val="22"/>
          <w:lang w:val="es-ES"/>
        </w:rPr>
        <w:footnoteReference w:id="89"/>
      </w:r>
      <w:r w:rsidRPr="00AA21C6">
        <w:rPr>
          <w:szCs w:val="22"/>
          <w:lang w:val="es-ES"/>
        </w:rPr>
        <w:t xml:space="preserve"> teniendo en cuenta los principios operativos señalados por el CIG con respecto a la elaboración de tales directrices.</w:t>
      </w:r>
      <w:r w:rsidRPr="00AA21C6">
        <w:rPr>
          <w:rStyle w:val="FootnoteReference"/>
          <w:szCs w:val="22"/>
          <w:lang w:val="es-ES"/>
        </w:rPr>
        <w:footnoteReference w:id="90"/>
      </w:r>
      <w:r w:rsidRPr="00AA21C6">
        <w:rPr>
          <w:szCs w:val="22"/>
          <w:lang w:val="es-ES"/>
        </w:rPr>
        <w:t xml:space="preserve">  Posteriormente, dicho borrador fue actualizado con motivo de la decimoséptima sesión del CIG.</w:t>
      </w:r>
      <w:r w:rsidRPr="00AA21C6">
        <w:rPr>
          <w:rStyle w:val="FootnoteReference"/>
          <w:szCs w:val="22"/>
          <w:lang w:val="es-ES"/>
        </w:rPr>
        <w:footnoteReference w:id="91"/>
      </w:r>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C0409B" w:rsidRPr="00AA21C6" w:rsidRDefault="00C0409B" w:rsidP="00C0409B">
      <w:pPr>
        <w:pStyle w:val="ONUMFS"/>
        <w:numPr>
          <w:ilvl w:val="0"/>
          <w:numId w:val="0"/>
        </w:numPr>
        <w:rPr>
          <w:szCs w:val="22"/>
          <w:lang w:val="es-ES"/>
        </w:rPr>
      </w:pPr>
      <w:r w:rsidRPr="00AA21C6">
        <w:rPr>
          <w:szCs w:val="22"/>
          <w:lang w:val="es-ES"/>
        </w:rPr>
        <w:lastRenderedPageBreak/>
        <w:t>Por otra parte, ninguno de los contenidos de las directrices afectan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AA21C6">
        <w:rPr>
          <w:rStyle w:val="FootnoteReference"/>
          <w:szCs w:val="22"/>
          <w:lang w:val="es-ES"/>
        </w:rPr>
        <w:footnoteReference w:id="92"/>
      </w:r>
      <w:r w:rsidRPr="00AA21C6">
        <w:rPr>
          <w:szCs w:val="22"/>
          <w:lang w:val="es-ES"/>
        </w:rPr>
        <w:t xml:space="preserve"> </w:t>
      </w:r>
    </w:p>
    <w:p w:rsidR="00C0409B" w:rsidRPr="00AA21C6" w:rsidRDefault="00C0409B" w:rsidP="00C0409B">
      <w:pPr>
        <w:pStyle w:val="ONUMFS"/>
        <w:numPr>
          <w:ilvl w:val="0"/>
          <w:numId w:val="0"/>
        </w:numPr>
        <w:rPr>
          <w:b/>
          <w:szCs w:val="22"/>
          <w:lang w:val="es-ES"/>
        </w:rPr>
      </w:pPr>
      <w:r w:rsidRPr="00AA21C6">
        <w:rPr>
          <w:szCs w:val="22"/>
          <w:lang w:val="es-ES"/>
        </w:rPr>
        <w:t>Los conocimientos tradicionales se asocian a menudo con los recursos genéticos, y esto puede aportar valiosas indicaciones sobre el modo en que éstos últimos pueden preservarse, conservarse, y utilizarse en beneficio de la humanidad.</w:t>
      </w:r>
      <w:r w:rsidRPr="00AA21C6">
        <w:rPr>
          <w:rStyle w:val="FootnoteReference"/>
          <w:szCs w:val="22"/>
          <w:lang w:val="es-ES"/>
        </w:rPr>
        <w:footnoteReference w:id="93"/>
      </w:r>
      <w:r w:rsidRPr="00AA21C6">
        <w:rPr>
          <w:szCs w:val="22"/>
          <w:lang w:val="es-ES"/>
        </w:rPr>
        <w:t xml:space="preserve">  Las directrices se aplican también a los conocimientos tradicionales relacionados con los recursos genéticos.</w:t>
      </w:r>
      <w:r w:rsidRPr="00AA21C6">
        <w:rPr>
          <w:rStyle w:val="FootnoteReference"/>
          <w:szCs w:val="22"/>
          <w:lang w:val="es-ES"/>
        </w:rPr>
        <w:footnoteReference w:id="94"/>
      </w:r>
    </w:p>
    <w:p w:rsidR="00C0409B" w:rsidRPr="00AA21C6" w:rsidRDefault="00C0409B" w:rsidP="00C0409B">
      <w:pPr>
        <w:pStyle w:val="ONUMFS"/>
        <w:numPr>
          <w:ilvl w:val="0"/>
          <w:numId w:val="0"/>
        </w:numPr>
        <w:rPr>
          <w:b/>
          <w:szCs w:val="22"/>
          <w:lang w:val="es-ES"/>
        </w:rPr>
      </w:pPr>
      <w:r w:rsidRPr="00AA21C6">
        <w:rPr>
          <w:b/>
          <w:szCs w:val="22"/>
          <w:lang w:val="es-ES"/>
        </w:rPr>
        <w:t>Clasificación Internacional de Patentes (CIP)</w:t>
      </w:r>
    </w:p>
    <w:p w:rsidR="00C0409B" w:rsidRPr="00AA21C6" w:rsidRDefault="00C0409B" w:rsidP="00C0409B">
      <w:pPr>
        <w:pStyle w:val="ONUMFS"/>
        <w:numPr>
          <w:ilvl w:val="0"/>
          <w:numId w:val="0"/>
        </w:numPr>
        <w:rPr>
          <w:szCs w:val="22"/>
          <w:lang w:val="es-ES"/>
        </w:rPr>
      </w:pPr>
      <w:r w:rsidRPr="00AA21C6">
        <w:rPr>
          <w:szCs w:val="22"/>
          <w:lang w:val="es-ES"/>
        </w:rPr>
        <w:t>La Clasificación Internacional de Patentes (CIP) es “</w:t>
      </w:r>
      <w:r w:rsidRPr="00AA21C6">
        <w:rPr>
          <w:iCs/>
          <w:szCs w:val="22"/>
          <w:lang w:val="es-ES"/>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AA21C6">
        <w:rPr>
          <w:i/>
          <w:iCs/>
          <w:szCs w:val="22"/>
          <w:lang w:val="es-ES"/>
        </w:rPr>
        <w:t>estado de la técnica</w:t>
      </w:r>
      <w:r w:rsidRPr="00AA21C6">
        <w:rPr>
          <w:szCs w:val="22"/>
          <w:lang w:val="es-ES"/>
        </w:rPr>
        <w:t>”.</w:t>
      </w:r>
      <w:r w:rsidRPr="00AA21C6">
        <w:rPr>
          <w:rStyle w:val="FootnoteReference"/>
          <w:szCs w:val="22"/>
          <w:lang w:val="es-ES"/>
        </w:rPr>
        <w:footnoteReference w:id="95"/>
      </w:r>
    </w:p>
    <w:p w:rsidR="00C0409B" w:rsidRPr="00AA21C6" w:rsidRDefault="00C0409B" w:rsidP="00C0409B">
      <w:pPr>
        <w:pStyle w:val="ONUMFS"/>
        <w:numPr>
          <w:ilvl w:val="0"/>
          <w:numId w:val="0"/>
        </w:numPr>
        <w:rPr>
          <w:b/>
          <w:szCs w:val="22"/>
          <w:lang w:val="es-ES"/>
        </w:rPr>
      </w:pPr>
      <w:r w:rsidRPr="00AA21C6">
        <w:rPr>
          <w:szCs w:val="22"/>
          <w:lang w:val="es-ES"/>
        </w:rPr>
        <w:t xml:space="preserve">La CIP fue establecida a raíz de la adopción, en 1971, del </w:t>
      </w:r>
      <w:r w:rsidRPr="0059568D">
        <w:rPr>
          <w:i/>
          <w:szCs w:val="22"/>
          <w:lang w:val="es-ES"/>
        </w:rPr>
        <w:t>Arreglo de Estrasburgo relativo a la Clasificación Internacional de Patentes</w:t>
      </w:r>
      <w:r w:rsidRPr="00AA21C6">
        <w:rPr>
          <w:szCs w:val="22"/>
          <w:lang w:val="es-ES"/>
        </w:rPr>
        <w:t>.  En el artículo 2.1)a) de dicho Arreglo se estipula lo siguiente:  “</w:t>
      </w:r>
      <w:r w:rsidRPr="00AA21C6">
        <w:rPr>
          <w:iCs/>
          <w:szCs w:val="22"/>
          <w:lang w:val="es-ES"/>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AA21C6">
        <w:rPr>
          <w:szCs w:val="22"/>
          <w:lang w:val="es-ES"/>
        </w:rPr>
        <w:t>”.</w:t>
      </w:r>
    </w:p>
    <w:p w:rsidR="00C0409B" w:rsidRPr="00AA21C6" w:rsidRDefault="00C0409B" w:rsidP="00C0409B">
      <w:pPr>
        <w:pStyle w:val="ONUMFS"/>
        <w:numPr>
          <w:ilvl w:val="0"/>
          <w:numId w:val="0"/>
        </w:numPr>
        <w:rPr>
          <w:b/>
          <w:szCs w:val="22"/>
          <w:lang w:val="es-ES"/>
        </w:rPr>
      </w:pPr>
      <w:r w:rsidRPr="00AA21C6">
        <w:rPr>
          <w:b/>
          <w:szCs w:val="22"/>
          <w:lang w:val="es-ES"/>
        </w:rPr>
        <w:t>Actividad inventiva</w:t>
      </w:r>
    </w:p>
    <w:p w:rsidR="00C0409B" w:rsidRPr="00AA21C6" w:rsidRDefault="00C0409B" w:rsidP="00C0409B">
      <w:pPr>
        <w:pStyle w:val="ONUMFS"/>
        <w:numPr>
          <w:ilvl w:val="0"/>
          <w:numId w:val="0"/>
        </w:numPr>
        <w:rPr>
          <w:szCs w:val="22"/>
          <w:lang w:val="es-ES"/>
        </w:rPr>
      </w:pPr>
      <w:r w:rsidRPr="00AA21C6">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AA21C6">
        <w:rPr>
          <w:rStyle w:val="FootnoteReference"/>
          <w:szCs w:val="22"/>
          <w:lang w:val="es-ES"/>
        </w:rPr>
        <w:footnoteReference w:id="96"/>
      </w:r>
    </w:p>
    <w:p w:rsidR="00C0409B" w:rsidRPr="00AA21C6" w:rsidRDefault="00C0409B" w:rsidP="00C0409B">
      <w:pPr>
        <w:pStyle w:val="ONUMFS"/>
        <w:numPr>
          <w:ilvl w:val="0"/>
          <w:numId w:val="0"/>
        </w:numPr>
        <w:rPr>
          <w:szCs w:val="22"/>
          <w:lang w:val="es-ES"/>
        </w:rPr>
      </w:pPr>
      <w:r w:rsidRPr="00AA21C6">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C0409B" w:rsidRPr="00AA21C6" w:rsidRDefault="00C0409B" w:rsidP="00C0409B">
      <w:pPr>
        <w:pStyle w:val="ONUMFS"/>
        <w:numPr>
          <w:ilvl w:val="0"/>
          <w:numId w:val="0"/>
        </w:numPr>
        <w:rPr>
          <w:b/>
          <w:szCs w:val="22"/>
          <w:lang w:val="es-ES"/>
        </w:rPr>
      </w:pPr>
      <w:r w:rsidRPr="00AA21C6">
        <w:rPr>
          <w:szCs w:val="22"/>
          <w:lang w:val="es-ES"/>
        </w:rPr>
        <w:t xml:space="preserve">En el artículo 56 del </w:t>
      </w:r>
      <w:r w:rsidRPr="0059568D">
        <w:rPr>
          <w:i/>
          <w:szCs w:val="22"/>
          <w:lang w:val="es-ES"/>
        </w:rPr>
        <w:t>Convenio de la Patente Europea</w:t>
      </w:r>
      <w:r w:rsidRPr="00AA21C6">
        <w:rPr>
          <w:szCs w:val="22"/>
          <w:lang w:val="es-ES"/>
        </w:rPr>
        <w:t xml:space="preserve"> y en el artículo 103 del Título 35 del Código de los Estados Unidos figuran definiciones similares.  En el artículo 103 del Título 35 del Código de los Estados Unidos se utiliza el término equivalente “materia no evidente”.</w:t>
      </w:r>
    </w:p>
    <w:p w:rsidR="00C0409B" w:rsidRPr="00AA21C6" w:rsidRDefault="00C0409B" w:rsidP="00C0409B">
      <w:pPr>
        <w:pStyle w:val="ONUMFS"/>
        <w:numPr>
          <w:ilvl w:val="0"/>
          <w:numId w:val="0"/>
        </w:numPr>
        <w:rPr>
          <w:b/>
          <w:szCs w:val="22"/>
          <w:lang w:val="es-ES"/>
        </w:rPr>
      </w:pPr>
      <w:r w:rsidRPr="00AA21C6">
        <w:rPr>
          <w:b/>
          <w:szCs w:val="22"/>
          <w:lang w:val="es-ES"/>
        </w:rPr>
        <w:t>Acuerdos de licencia</w:t>
      </w:r>
    </w:p>
    <w:p w:rsidR="00C0409B" w:rsidRPr="00AA21C6" w:rsidRDefault="00C0409B" w:rsidP="00C0409B">
      <w:pPr>
        <w:pStyle w:val="ONUMFS"/>
        <w:numPr>
          <w:ilvl w:val="0"/>
          <w:numId w:val="0"/>
        </w:numPr>
        <w:rPr>
          <w:b/>
          <w:szCs w:val="22"/>
          <w:lang w:val="es-ES"/>
        </w:rPr>
      </w:pPr>
      <w:r w:rsidRPr="00AA21C6">
        <w:rPr>
          <w:szCs w:val="22"/>
          <w:lang w:val="es-ES"/>
        </w:rPr>
        <w:t xml:space="preserve">Los acuerdos de licencia son acuerdos en los que se establecen los usos autorizados del material o los derechos que el proveedor puede conceder, por ejemplo, acuerdos por los que </w:t>
      </w:r>
      <w:r w:rsidRPr="00AA21C6">
        <w:rPr>
          <w:szCs w:val="22"/>
          <w:lang w:val="es-ES"/>
        </w:rPr>
        <w:lastRenderedPageBreak/>
        <w:t>se conceden licencias de explotación de recursos genéticos como herramientas de investigación, de los conocimientos tradicionales conexos o de otros derechos de P.I.</w:t>
      </w:r>
      <w:r w:rsidRPr="00AA21C6">
        <w:rPr>
          <w:rStyle w:val="FootnoteReference"/>
          <w:szCs w:val="22"/>
          <w:lang w:val="es-ES"/>
        </w:rPr>
        <w:footnoteReference w:id="97"/>
      </w:r>
    </w:p>
    <w:p w:rsidR="00C0409B" w:rsidRPr="00AA21C6" w:rsidRDefault="00C0409B" w:rsidP="00C0409B">
      <w:pPr>
        <w:pStyle w:val="ONUMFS"/>
        <w:numPr>
          <w:ilvl w:val="0"/>
          <w:numId w:val="0"/>
        </w:numPr>
        <w:rPr>
          <w:b/>
          <w:szCs w:val="22"/>
          <w:lang w:val="es-ES"/>
        </w:rPr>
      </w:pPr>
      <w:r w:rsidRPr="00AA21C6">
        <w:rPr>
          <w:b/>
          <w:szCs w:val="22"/>
          <w:lang w:val="es-ES"/>
        </w:rPr>
        <w:t>Limitación</w:t>
      </w:r>
    </w:p>
    <w:p w:rsidR="00C0409B" w:rsidRPr="00AA21C6" w:rsidRDefault="00C0409B" w:rsidP="00C0409B">
      <w:pPr>
        <w:pStyle w:val="ONUMFS"/>
        <w:numPr>
          <w:ilvl w:val="0"/>
          <w:numId w:val="0"/>
        </w:numPr>
        <w:rPr>
          <w:szCs w:val="22"/>
          <w:lang w:val="es-ES"/>
        </w:rPr>
      </w:pPr>
      <w:r w:rsidRPr="00AA21C6">
        <w:rPr>
          <w:szCs w:val="22"/>
          <w:lang w:val="es-ES"/>
        </w:rPr>
        <w:t>La Real Academia Española explica</w:t>
      </w:r>
      <w:r w:rsidR="0059568D">
        <w:rPr>
          <w:szCs w:val="22"/>
          <w:lang w:val="es-ES"/>
        </w:rPr>
        <w:t xml:space="preserve"> en su diccionario</w:t>
      </w:r>
      <w:r w:rsidRPr="00AA21C6">
        <w:rPr>
          <w:szCs w:val="22"/>
          <w:lang w:val="es-ES"/>
        </w:rPr>
        <w:t xml:space="preserve">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AA21C6">
        <w:rPr>
          <w:rStyle w:val="FootnoteReference"/>
          <w:szCs w:val="22"/>
          <w:lang w:val="es-ES"/>
        </w:rPr>
        <w:footnoteReference w:id="98"/>
      </w:r>
      <w:r w:rsidRPr="00AA21C6">
        <w:rPr>
          <w:szCs w:val="22"/>
          <w:lang w:val="es-ES"/>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AA21C6">
        <w:rPr>
          <w:rStyle w:val="FootnoteReference"/>
          <w:szCs w:val="22"/>
          <w:lang w:val="es-ES"/>
        </w:rPr>
        <w:footnoteReference w:id="99"/>
      </w:r>
    </w:p>
    <w:p w:rsidR="00C0409B" w:rsidRPr="00AA21C6" w:rsidRDefault="00C0409B" w:rsidP="00C0409B">
      <w:pPr>
        <w:pStyle w:val="ONUMFS"/>
        <w:numPr>
          <w:ilvl w:val="0"/>
          <w:numId w:val="0"/>
        </w:numPr>
        <w:rPr>
          <w:b/>
          <w:szCs w:val="22"/>
          <w:lang w:val="es-ES"/>
        </w:rPr>
      </w:pPr>
      <w:r w:rsidRPr="00AA21C6">
        <w:rPr>
          <w:szCs w:val="22"/>
          <w:lang w:val="es-ES"/>
        </w:rPr>
        <w:t xml:space="preserve">En el </w:t>
      </w:r>
      <w:r w:rsidRPr="0059568D">
        <w:rPr>
          <w:i/>
          <w:szCs w:val="22"/>
          <w:lang w:val="es-ES"/>
        </w:rPr>
        <w:t>Convenio de Berna para la Protección de las Obras Literarias y Artísticas</w:t>
      </w:r>
      <w:r w:rsidRPr="00AA21C6">
        <w:rPr>
          <w:szCs w:val="22"/>
          <w:lang w:val="es-ES"/>
        </w:rPr>
        <w:t xml:space="preserve"> (1971) se fijan los supuestos en que quedan limitados los derechos del autor y, en consecuencia, es posible hacer uso libremente de la obra.</w:t>
      </w:r>
      <w:r w:rsidRPr="00AA21C6">
        <w:rPr>
          <w:rStyle w:val="FootnoteReference"/>
          <w:szCs w:val="22"/>
          <w:lang w:val="es-ES"/>
        </w:rPr>
        <w:footnoteReference w:id="100"/>
      </w:r>
      <w:r w:rsidRPr="00AA21C6">
        <w:rPr>
          <w:szCs w:val="22"/>
          <w:lang w:val="es-ES"/>
        </w:rPr>
        <w:t xml:space="preserve">  La prueba del criterio triple establece las condiciones que ponen límites a los derechos del autor.</w:t>
      </w:r>
      <w:r w:rsidRPr="00AA21C6">
        <w:rPr>
          <w:rStyle w:val="FootnoteReference"/>
          <w:szCs w:val="22"/>
          <w:lang w:val="es-ES"/>
        </w:rPr>
        <w:footnoteReference w:id="101"/>
      </w:r>
      <w:r w:rsidRPr="00AA21C6">
        <w:rPr>
          <w:szCs w:val="22"/>
          <w:lang w:val="es-ES"/>
        </w:rPr>
        <w:t xml:space="preserve">  “Fue ampliada en virtud del Artículo 13 del </w:t>
      </w:r>
      <w:r w:rsidRPr="0059568D">
        <w:rPr>
          <w:i/>
          <w:szCs w:val="22"/>
          <w:lang w:val="es-ES"/>
        </w:rPr>
        <w:t>Acuerdo sobre los ADPIC</w:t>
      </w:r>
      <w:r w:rsidRPr="00AA21C6">
        <w:rPr>
          <w:szCs w:val="22"/>
          <w:lang w:val="es-ES"/>
        </w:rPr>
        <w:t xml:space="preserve">, </w:t>
      </w:r>
      <w:r w:rsidR="0059568D">
        <w:rPr>
          <w:szCs w:val="22"/>
          <w:lang w:val="es-ES"/>
        </w:rPr>
        <w:t xml:space="preserve">de la OMC, </w:t>
      </w:r>
      <w:r w:rsidRPr="00AA21C6">
        <w:rPr>
          <w:szCs w:val="22"/>
          <w:lang w:val="es-ES"/>
        </w:rPr>
        <w:t xml:space="preserve">y posteriormente también mediante el Artículo 10 del </w:t>
      </w:r>
      <w:r w:rsidRPr="0059568D">
        <w:rPr>
          <w:i/>
          <w:szCs w:val="22"/>
          <w:lang w:val="es-ES"/>
        </w:rPr>
        <w:t>WCT</w:t>
      </w:r>
      <w:r w:rsidRPr="00AA21C6">
        <w:rPr>
          <w:szCs w:val="22"/>
          <w:lang w:val="es-ES"/>
        </w:rPr>
        <w:t xml:space="preserve">, como prueba para las excepciones y limitaciones a cualquier derecho patrimonial previsto en virtud del derecho de autor.  Por último, el Artículo 16 del </w:t>
      </w:r>
      <w:r w:rsidRPr="0059568D">
        <w:rPr>
          <w:i/>
          <w:szCs w:val="22"/>
          <w:lang w:val="es-ES"/>
        </w:rPr>
        <w:t>WPPT</w:t>
      </w:r>
      <w:r w:rsidRPr="00AA21C6">
        <w:rPr>
          <w:szCs w:val="22"/>
          <w:lang w:val="es-ES"/>
        </w:rPr>
        <w:t xml:space="preserve"> la ha ampliado a los derechos de los artistas intérpretes o ejecutantes y los productores de fonogramas recogidos en dicho Tratado”.</w:t>
      </w:r>
      <w:r w:rsidRPr="00AA21C6">
        <w:rPr>
          <w:rStyle w:val="FootnoteReference"/>
          <w:szCs w:val="22"/>
          <w:lang w:val="es-ES"/>
        </w:rPr>
        <w:footnoteReference w:id="102"/>
      </w:r>
    </w:p>
    <w:p w:rsidR="00C0409B" w:rsidRPr="00AA21C6" w:rsidRDefault="00C0409B" w:rsidP="00C0409B">
      <w:pPr>
        <w:pStyle w:val="ONUMFS"/>
        <w:keepNext/>
        <w:numPr>
          <w:ilvl w:val="0"/>
          <w:numId w:val="0"/>
        </w:numPr>
        <w:rPr>
          <w:b/>
          <w:szCs w:val="22"/>
          <w:lang w:val="es-ES"/>
        </w:rPr>
      </w:pPr>
      <w:r w:rsidRPr="00AA21C6">
        <w:rPr>
          <w:b/>
          <w:szCs w:val="22"/>
          <w:lang w:val="es-ES"/>
        </w:rPr>
        <w:t>Acuerdos de transferencia de material</w:t>
      </w:r>
    </w:p>
    <w:p w:rsidR="00C0409B" w:rsidRPr="00AA21C6" w:rsidRDefault="00C0409B" w:rsidP="00C0409B">
      <w:pPr>
        <w:pStyle w:val="ONUMFS"/>
        <w:keepNext/>
        <w:numPr>
          <w:ilvl w:val="0"/>
          <w:numId w:val="0"/>
        </w:numPr>
        <w:rPr>
          <w:b/>
          <w:szCs w:val="22"/>
          <w:lang w:val="es-ES"/>
        </w:rPr>
      </w:pPr>
      <w:r w:rsidRPr="00AA21C6">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AA21C6">
        <w:rPr>
          <w:i/>
          <w:iCs/>
          <w:szCs w:val="22"/>
          <w:lang w:val="es-ES"/>
        </w:rPr>
        <w:t>in situ.</w:t>
      </w:r>
      <w:r w:rsidRPr="00AA21C6">
        <w:rPr>
          <w:rStyle w:val="FootnoteReference"/>
          <w:iCs/>
          <w:szCs w:val="22"/>
          <w:lang w:val="es-ES"/>
        </w:rPr>
        <w:footnoteReference w:id="103"/>
      </w:r>
      <w:r w:rsidRPr="00AA21C6">
        <w:rPr>
          <w:szCs w:val="22"/>
          <w:lang w:val="es-ES"/>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AA21C6">
        <w:rPr>
          <w:rStyle w:val="FootnoteReference"/>
          <w:szCs w:val="22"/>
          <w:lang w:val="es-ES"/>
        </w:rPr>
        <w:footnoteReference w:id="104"/>
      </w:r>
      <w:r w:rsidRPr="00AA21C6">
        <w:rPr>
          <w:szCs w:val="22"/>
          <w:vertAlign w:val="superscript"/>
          <w:lang w:val="es-ES"/>
        </w:rPr>
        <w:t xml:space="preserve"> </w:t>
      </w:r>
      <w:r w:rsidRPr="00AA21C6">
        <w:rPr>
          <w:szCs w:val="22"/>
          <w:lang w:val="es-ES"/>
        </w:rPr>
        <w:t xml:space="preserve"> En 2006, la FAO constituyó y aprobó el Acuerdo de Transferencia de Material Normalizado, relativo a la aplicación del Tratado Internacional sobre los Recursos Fitogenéticos para la Alimentación y la Agricultura.</w:t>
      </w:r>
      <w:r w:rsidRPr="00AA21C6">
        <w:rPr>
          <w:rStyle w:val="FootnoteReference"/>
          <w:szCs w:val="22"/>
          <w:lang w:val="es-ES"/>
        </w:rPr>
        <w:footnoteReference w:id="105"/>
      </w:r>
      <w:r w:rsidRPr="00AA21C6">
        <w:rPr>
          <w:szCs w:val="22"/>
          <w:lang w:val="es-ES"/>
        </w:rPr>
        <w:t xml:space="preserve">  En el Apéndice I de las Directrices de Bonn se hacen sugerencias con respecto a los acuerdos de transferencia de materiales.</w:t>
      </w:r>
    </w:p>
    <w:p w:rsidR="00C0409B" w:rsidRPr="00AA21C6" w:rsidRDefault="00C0409B" w:rsidP="00C0409B">
      <w:pPr>
        <w:pStyle w:val="ONUMFS"/>
        <w:numPr>
          <w:ilvl w:val="0"/>
          <w:numId w:val="0"/>
        </w:numPr>
        <w:rPr>
          <w:b/>
          <w:szCs w:val="22"/>
          <w:lang w:val="es-ES"/>
        </w:rPr>
      </w:pPr>
      <w:r w:rsidRPr="00AA21C6">
        <w:rPr>
          <w:b/>
          <w:szCs w:val="22"/>
          <w:lang w:val="es-ES"/>
        </w:rPr>
        <w:t>Documentación mínima del PCT</w:t>
      </w:r>
    </w:p>
    <w:p w:rsidR="00C0409B" w:rsidRPr="00AA21C6" w:rsidRDefault="00C0409B" w:rsidP="00C0409B">
      <w:pPr>
        <w:pStyle w:val="ONUMFS"/>
        <w:numPr>
          <w:ilvl w:val="0"/>
          <w:numId w:val="0"/>
        </w:numPr>
        <w:rPr>
          <w:szCs w:val="22"/>
          <w:lang w:val="es-ES"/>
        </w:rPr>
      </w:pPr>
      <w:r w:rsidRPr="00AA21C6">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AA21C6">
        <w:rPr>
          <w:i/>
          <w:iCs/>
          <w:szCs w:val="22"/>
          <w:lang w:val="es-ES"/>
        </w:rPr>
        <w:t>.</w:t>
      </w:r>
      <w:r w:rsidRPr="00AA21C6">
        <w:rPr>
          <w:szCs w:val="22"/>
          <w:lang w:val="es-ES"/>
        </w:rPr>
        <w:t xml:space="preserve"> </w:t>
      </w:r>
      <w:r w:rsidRPr="00AA21C6">
        <w:rPr>
          <w:i/>
          <w:iCs/>
          <w:szCs w:val="22"/>
          <w:lang w:val="es-ES"/>
        </w:rPr>
        <w:t xml:space="preserve"> </w:t>
      </w:r>
      <w:r w:rsidRPr="00AA21C6">
        <w:rPr>
          <w:szCs w:val="22"/>
          <w:lang w:val="es-ES"/>
        </w:rPr>
        <w:t xml:space="preserve">Esto se aplica, asimismo, a la </w:t>
      </w:r>
      <w:r w:rsidRPr="00AA21C6">
        <w:rPr>
          <w:szCs w:val="22"/>
          <w:lang w:val="es-ES"/>
        </w:rPr>
        <w:lastRenderedPageBreak/>
        <w:t>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AA21C6">
        <w:rPr>
          <w:rStyle w:val="FootnoteReference"/>
          <w:szCs w:val="22"/>
          <w:lang w:val="es-ES"/>
        </w:rPr>
        <w:footnoteReference w:id="106"/>
      </w:r>
    </w:p>
    <w:p w:rsidR="00C0409B" w:rsidRPr="00AA21C6" w:rsidRDefault="00C0409B" w:rsidP="00C0409B">
      <w:pPr>
        <w:pStyle w:val="ONUMFS"/>
        <w:numPr>
          <w:ilvl w:val="0"/>
          <w:numId w:val="0"/>
        </w:numPr>
        <w:rPr>
          <w:szCs w:val="22"/>
          <w:lang w:val="es-ES"/>
        </w:rPr>
      </w:pPr>
      <w:r w:rsidRPr="00AA21C6">
        <w:rPr>
          <w:szCs w:val="22"/>
          <w:lang w:val="es-ES"/>
        </w:rPr>
        <w:t>En las Directrices de búsqueda internacional del PCT, la documentación internacional mínima de búsqueda se define como “una</w:t>
      </w:r>
      <w:r w:rsidRPr="00AA21C6">
        <w:rPr>
          <w:i/>
          <w:iCs/>
          <w:szCs w:val="22"/>
          <w:lang w:val="es-ES"/>
        </w:rPr>
        <w:t xml:space="preserve"> </w:t>
      </w:r>
      <w:r w:rsidRPr="00AA21C6">
        <w:rPr>
          <w:szCs w:val="22"/>
          <w:lang w:val="es-ES"/>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AA21C6">
        <w:rPr>
          <w:rStyle w:val="FootnoteReference"/>
          <w:szCs w:val="22"/>
          <w:lang w:val="es-ES"/>
        </w:rPr>
        <w:footnoteReference w:id="107"/>
      </w:r>
    </w:p>
    <w:p w:rsidR="00C0409B" w:rsidRPr="00AA21C6" w:rsidRDefault="00C0409B" w:rsidP="00C0409B">
      <w:pPr>
        <w:pStyle w:val="ONUMFS"/>
        <w:numPr>
          <w:ilvl w:val="0"/>
          <w:numId w:val="0"/>
        </w:numPr>
        <w:rPr>
          <w:b/>
          <w:szCs w:val="22"/>
          <w:lang w:val="es-ES"/>
        </w:rPr>
      </w:pPr>
      <w:r w:rsidRPr="00AA21C6">
        <w:rPr>
          <w:szCs w:val="22"/>
          <w:lang w:val="es-ES"/>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AA21C6">
        <w:rPr>
          <w:rStyle w:val="FootnoteReference"/>
          <w:szCs w:val="22"/>
          <w:lang w:val="es-ES"/>
        </w:rPr>
        <w:footnoteReference w:id="108"/>
      </w:r>
      <w:r w:rsidRPr="00AA21C6">
        <w:rPr>
          <w:szCs w:val="22"/>
          <w:lang w:val="es-ES"/>
        </w:rPr>
        <w:t xml:space="preserve">  Por ejemplo, el </w:t>
      </w:r>
      <w:r w:rsidRPr="00AA21C6">
        <w:rPr>
          <w:i/>
          <w:iCs/>
          <w:szCs w:val="22"/>
          <w:lang w:val="es-ES"/>
        </w:rPr>
        <w:t xml:space="preserve">Indian Journal of Traditional Knowledge </w:t>
      </w:r>
      <w:r w:rsidRPr="00AA21C6">
        <w:rPr>
          <w:szCs w:val="22"/>
          <w:lang w:val="es-ES"/>
        </w:rPr>
        <w:t xml:space="preserve">y el </w:t>
      </w:r>
      <w:r w:rsidRPr="00AA21C6">
        <w:rPr>
          <w:i/>
          <w:iCs/>
          <w:szCs w:val="22"/>
          <w:lang w:val="es-ES"/>
        </w:rPr>
        <w:t>Korean Journal of Traditional Knowledge</w:t>
      </w:r>
      <w:r w:rsidRPr="00AA21C6">
        <w:rPr>
          <w:szCs w:val="22"/>
          <w:lang w:val="es-ES"/>
        </w:rPr>
        <w:t xml:space="preserve"> se consideran literatura distinta de la de patentes en “Documentación Mínima del PCT – Lista de publicaciones periódicas:  Publicaciones periódicas que deben emplearse en la búsqueda y el examen”.</w:t>
      </w:r>
    </w:p>
    <w:p w:rsidR="00C0409B" w:rsidRPr="00AA21C6" w:rsidRDefault="00C0409B" w:rsidP="00C0409B">
      <w:pPr>
        <w:pStyle w:val="ONUMFS"/>
        <w:numPr>
          <w:ilvl w:val="0"/>
          <w:numId w:val="0"/>
        </w:numPr>
        <w:rPr>
          <w:b/>
          <w:szCs w:val="22"/>
          <w:lang w:val="es-ES"/>
        </w:rPr>
      </w:pPr>
      <w:r w:rsidRPr="00AA21C6">
        <w:rPr>
          <w:b/>
          <w:szCs w:val="22"/>
          <w:lang w:val="es-ES"/>
        </w:rPr>
        <w:t>Minoría</w:t>
      </w:r>
    </w:p>
    <w:p w:rsidR="00C0409B" w:rsidRPr="00AA21C6" w:rsidRDefault="00C0409B" w:rsidP="00C0409B">
      <w:pPr>
        <w:pStyle w:val="ONUMFS"/>
        <w:numPr>
          <w:ilvl w:val="0"/>
          <w:numId w:val="0"/>
        </w:numPr>
        <w:rPr>
          <w:szCs w:val="22"/>
          <w:lang w:val="es-ES"/>
        </w:rPr>
      </w:pPr>
      <w:r w:rsidRPr="00AA21C6">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AA21C6">
        <w:rPr>
          <w:rStyle w:val="FootnoteReference"/>
          <w:szCs w:val="22"/>
          <w:lang w:val="es-ES"/>
        </w:rPr>
        <w:footnoteReference w:id="109"/>
      </w:r>
    </w:p>
    <w:p w:rsidR="00C0409B" w:rsidRPr="00AA21C6" w:rsidRDefault="00C0409B" w:rsidP="00C0409B">
      <w:pPr>
        <w:pStyle w:val="ONUMFS"/>
        <w:keepNext/>
        <w:keepLines/>
        <w:numPr>
          <w:ilvl w:val="0"/>
          <w:numId w:val="0"/>
        </w:numPr>
        <w:rPr>
          <w:szCs w:val="22"/>
          <w:lang w:val="es-ES"/>
        </w:rPr>
      </w:pPr>
      <w:r w:rsidRPr="00AA21C6">
        <w:rPr>
          <w:szCs w:val="22"/>
          <w:lang w:val="es-ES"/>
        </w:rPr>
        <w:t xml:space="preserve">La </w:t>
      </w:r>
      <w:r w:rsidRPr="0059568D">
        <w:rPr>
          <w:i/>
          <w:szCs w:val="22"/>
          <w:lang w:val="es-ES"/>
        </w:rPr>
        <w:t>Declaración sobre los derechos de las personas pertenecientes a minorías nacionales o étnicas, religiosas y lingüísticas</w:t>
      </w:r>
      <w:r w:rsidRPr="00AA21C6">
        <w:rPr>
          <w:szCs w:val="22"/>
          <w:lang w:val="es-ES"/>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AA21C6">
        <w:rPr>
          <w:rStyle w:val="FootnoteReference"/>
          <w:szCs w:val="22"/>
          <w:lang w:val="es-ES"/>
        </w:rPr>
        <w:footnoteReference w:id="110"/>
      </w:r>
      <w:r w:rsidRPr="00AA21C6">
        <w:rPr>
          <w:szCs w:val="22"/>
          <w:lang w:val="es-ES"/>
        </w:rPr>
        <w:t xml:space="preserve">  “Los Estados protegerán la existencia y la identidad nacional o étnica, cultural, religiosa y lingüística de las minorías dentro de sus territorios respectivos y fomentarán las condiciones para la promoción de esa identidad”.</w:t>
      </w:r>
      <w:r w:rsidRPr="00AA21C6">
        <w:rPr>
          <w:rStyle w:val="FootnoteReference"/>
          <w:szCs w:val="22"/>
          <w:lang w:val="es-ES"/>
        </w:rPr>
        <w:footnoteReference w:id="111"/>
      </w:r>
    </w:p>
    <w:p w:rsidR="00C0409B" w:rsidRPr="00AA21C6" w:rsidRDefault="00C0409B" w:rsidP="00C0409B">
      <w:pPr>
        <w:pStyle w:val="ONUMFS"/>
        <w:numPr>
          <w:ilvl w:val="0"/>
          <w:numId w:val="0"/>
        </w:numPr>
        <w:rPr>
          <w:b/>
          <w:szCs w:val="22"/>
          <w:lang w:val="es-ES"/>
        </w:rPr>
      </w:pPr>
      <w:r w:rsidRPr="00AA21C6">
        <w:rPr>
          <w:szCs w:val="22"/>
          <w:lang w:val="es-ES"/>
        </w:rPr>
        <w:t xml:space="preserve">El </w:t>
      </w:r>
      <w:r w:rsidRPr="0059568D">
        <w:rPr>
          <w:i/>
          <w:szCs w:val="22"/>
          <w:lang w:val="es-ES"/>
        </w:rPr>
        <w:t>Pacto Internacional de Derechos Civiles y Políticos</w:t>
      </w:r>
      <w:r w:rsidRPr="00AA21C6">
        <w:rPr>
          <w:szCs w:val="22"/>
          <w:lang w:val="es-ES"/>
        </w:rPr>
        <w:t xml:space="preserve"> </w:t>
      </w:r>
      <w:r w:rsidR="0059568D">
        <w:rPr>
          <w:szCs w:val="22"/>
          <w:lang w:val="es-ES"/>
        </w:rPr>
        <w:t xml:space="preserve">(1966) </w:t>
      </w:r>
      <w:r w:rsidRPr="00AA21C6">
        <w:rPr>
          <w:szCs w:val="22"/>
          <w:lang w:val="es-ES"/>
        </w:rPr>
        <w:t xml:space="preserve">establece que “[e]n los Estados en que existan minorías étnicas, religiosas o lingüísticas, no se negará a las personas que pertenezcan a dichas minorías el derecho que les corresponde, en común con los demás </w:t>
      </w:r>
      <w:r w:rsidRPr="00AA21C6">
        <w:rPr>
          <w:szCs w:val="22"/>
          <w:lang w:val="es-ES"/>
        </w:rPr>
        <w:lastRenderedPageBreak/>
        <w:t>miembros de su grupo, a tener su propia vida cultural, a profesar y practicar su propia religión y a emplear su propio idioma”.</w:t>
      </w:r>
      <w:r w:rsidR="0059568D" w:rsidRPr="0059568D">
        <w:rPr>
          <w:rStyle w:val="FootnoteReference"/>
          <w:szCs w:val="22"/>
          <w:lang w:val="es-ES"/>
        </w:rPr>
        <w:t xml:space="preserve"> </w:t>
      </w:r>
      <w:r w:rsidR="0059568D" w:rsidRPr="00AA21C6">
        <w:rPr>
          <w:rStyle w:val="FootnoteReference"/>
          <w:szCs w:val="22"/>
          <w:lang w:val="es-ES"/>
        </w:rPr>
        <w:footnoteReference w:id="112"/>
      </w:r>
    </w:p>
    <w:p w:rsidR="00C0409B" w:rsidRPr="00AA21C6" w:rsidRDefault="00C0409B" w:rsidP="00C0409B">
      <w:pPr>
        <w:pStyle w:val="ONUMFS"/>
        <w:numPr>
          <w:ilvl w:val="0"/>
          <w:numId w:val="0"/>
        </w:numPr>
        <w:rPr>
          <w:b/>
          <w:szCs w:val="22"/>
          <w:lang w:val="es-ES"/>
        </w:rPr>
      </w:pPr>
      <w:r w:rsidRPr="00AA21C6">
        <w:rPr>
          <w:b/>
          <w:szCs w:val="22"/>
          <w:lang w:val="es-ES"/>
        </w:rPr>
        <w:t>Apropiación indebida</w:t>
      </w:r>
    </w:p>
    <w:p w:rsidR="00C0409B" w:rsidRPr="00AA21C6" w:rsidRDefault="00C0409B" w:rsidP="00C0409B">
      <w:pPr>
        <w:pStyle w:val="ONUMFS"/>
        <w:numPr>
          <w:ilvl w:val="0"/>
          <w:numId w:val="0"/>
        </w:numPr>
        <w:rPr>
          <w:szCs w:val="22"/>
          <w:lang w:val="es-ES"/>
        </w:rPr>
      </w:pPr>
      <w:r w:rsidRPr="0059568D">
        <w:rPr>
          <w:szCs w:val="22"/>
          <w:lang w:val="es-ES"/>
        </w:rPr>
        <w:t xml:space="preserve">En el </w:t>
      </w:r>
      <w:r w:rsidRPr="0059568D">
        <w:rPr>
          <w:iCs/>
          <w:szCs w:val="22"/>
          <w:lang w:val="es-ES"/>
        </w:rPr>
        <w:t>Diccionario Enciclopédico de Derecho Usual</w:t>
      </w:r>
      <w:r w:rsidRPr="0059568D">
        <w:rPr>
          <w:szCs w:val="22"/>
          <w:lang w:val="es-ES"/>
        </w:rPr>
        <w:t xml:space="preserve"> de </w:t>
      </w:r>
      <w:r w:rsidRPr="00AA21C6">
        <w:rPr>
          <w:szCs w:val="22"/>
          <w:lang w:val="es-ES"/>
        </w:rPr>
        <w:t xml:space="preserve">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AA21C6">
        <w:rPr>
          <w:i/>
          <w:iCs/>
          <w:szCs w:val="22"/>
          <w:lang w:val="es-ES"/>
        </w:rPr>
        <w:t>common law</w:t>
      </w:r>
      <w:r w:rsidRPr="00AA21C6">
        <w:rPr>
          <w:szCs w:val="22"/>
          <w:lang w:val="es-ES"/>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C0409B" w:rsidRPr="00AA21C6" w:rsidRDefault="00C0409B" w:rsidP="00C0409B">
      <w:pPr>
        <w:pStyle w:val="ONUMFS"/>
        <w:numPr>
          <w:ilvl w:val="0"/>
          <w:numId w:val="0"/>
        </w:numPr>
        <w:rPr>
          <w:szCs w:val="22"/>
          <w:lang w:val="es-ES"/>
        </w:rPr>
      </w:pPr>
      <w:r w:rsidRPr="00AA21C6">
        <w:rPr>
          <w:szCs w:val="22"/>
          <w:lang w:val="es-ES"/>
        </w:rPr>
        <w:t xml:space="preserve">En el sistema del </w:t>
      </w:r>
      <w:r w:rsidRPr="00AA21C6">
        <w:rPr>
          <w:i/>
          <w:iCs/>
          <w:szCs w:val="22"/>
          <w:lang w:val="es-ES"/>
        </w:rPr>
        <w:t>common law</w:t>
      </w:r>
      <w:r w:rsidRPr="00AA21C6">
        <w:rPr>
          <w:szCs w:val="22"/>
          <w:lang w:val="es-ES"/>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C0409B" w:rsidRPr="00AA21C6" w:rsidRDefault="00C0409B" w:rsidP="00C0409B">
      <w:pPr>
        <w:pStyle w:val="ONUMFS"/>
        <w:numPr>
          <w:ilvl w:val="0"/>
          <w:numId w:val="0"/>
        </w:numPr>
        <w:rPr>
          <w:b/>
          <w:szCs w:val="22"/>
          <w:lang w:val="es-ES"/>
        </w:rPr>
      </w:pPr>
      <w:r w:rsidRPr="00AA21C6">
        <w:rPr>
          <w:szCs w:val="22"/>
          <w:lang w:val="es-ES"/>
        </w:rPr>
        <w:t xml:space="preserve">En el artículo 3 del proyecto de ley </w:t>
      </w:r>
      <w:r w:rsidRPr="0059568D">
        <w:rPr>
          <w:i/>
          <w:szCs w:val="22"/>
          <w:lang w:val="es-ES"/>
        </w:rPr>
        <w:t>Marco jurídico de protección de los conocimientos tradicionales en Sri Lanka</w:t>
      </w:r>
      <w:r w:rsidRPr="00AA21C6">
        <w:rPr>
          <w:szCs w:val="22"/>
          <w:lang w:val="es-ES"/>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AA21C6">
        <w:rPr>
          <w:rStyle w:val="FootnoteReference"/>
          <w:szCs w:val="22"/>
          <w:lang w:val="es-ES"/>
        </w:rPr>
        <w:footnoteReference w:id="113"/>
      </w:r>
    </w:p>
    <w:p w:rsidR="00C0409B" w:rsidRPr="00AA21C6" w:rsidRDefault="00C0409B" w:rsidP="0059568D">
      <w:pPr>
        <w:pStyle w:val="ONUMFS"/>
        <w:keepNext/>
        <w:keepLines/>
        <w:numPr>
          <w:ilvl w:val="0"/>
          <w:numId w:val="0"/>
        </w:numPr>
        <w:rPr>
          <w:b/>
          <w:szCs w:val="22"/>
          <w:lang w:val="es-ES"/>
        </w:rPr>
      </w:pPr>
      <w:r w:rsidRPr="00AA21C6">
        <w:rPr>
          <w:b/>
          <w:szCs w:val="22"/>
          <w:lang w:val="es-ES"/>
        </w:rPr>
        <w:lastRenderedPageBreak/>
        <w:t>Utilización indebida</w:t>
      </w:r>
      <w:r w:rsidRPr="00AA21C6">
        <w:rPr>
          <w:rStyle w:val="FootnoteReference"/>
          <w:b/>
          <w:bCs/>
          <w:szCs w:val="22"/>
          <w:lang w:val="es-ES"/>
        </w:rPr>
        <w:footnoteReference w:id="114"/>
      </w:r>
    </w:p>
    <w:p w:rsidR="00C0409B" w:rsidRPr="00AA21C6" w:rsidRDefault="00C0409B" w:rsidP="0059568D">
      <w:pPr>
        <w:pStyle w:val="ONUMFS"/>
        <w:keepNext/>
        <w:keepLines/>
        <w:numPr>
          <w:ilvl w:val="0"/>
          <w:numId w:val="0"/>
        </w:numPr>
        <w:rPr>
          <w:b/>
          <w:szCs w:val="22"/>
          <w:lang w:val="es-ES"/>
        </w:rPr>
      </w:pPr>
      <w:r w:rsidRPr="00AA21C6">
        <w:rPr>
          <w:szCs w:val="22"/>
          <w:lang w:val="es-ES"/>
        </w:rPr>
        <w:t>En el ámbito de las patentes, en el diccionario jurídico de Black se define la expresión “utilización indebida” en tanto que “</w:t>
      </w:r>
      <w:r w:rsidRPr="0059568D">
        <w:rPr>
          <w:iCs/>
          <w:szCs w:val="22"/>
          <w:lang w:val="es-ES"/>
        </w:rPr>
        <w:t>utilización de una patente para ampliar indebidamente el monopolio concedido para dar cabida a productos no patentados o para infringir leyes antimonopolio</w:t>
      </w:r>
      <w:r w:rsidRPr="0059568D">
        <w:rPr>
          <w:szCs w:val="22"/>
          <w:lang w:val="es-ES"/>
        </w:rPr>
        <w:t>”</w:t>
      </w:r>
      <w:r w:rsidRPr="00AA21C6">
        <w:rPr>
          <w:i/>
          <w:iCs/>
          <w:szCs w:val="22"/>
          <w:lang w:val="es-ES"/>
        </w:rPr>
        <w:t>.</w:t>
      </w:r>
      <w:r w:rsidRPr="00AA21C6">
        <w:rPr>
          <w:szCs w:val="22"/>
          <w:lang w:val="es-ES"/>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C0409B" w:rsidRPr="00AA21C6" w:rsidRDefault="00C0409B" w:rsidP="00C0409B">
      <w:pPr>
        <w:pStyle w:val="ONUMFS"/>
        <w:numPr>
          <w:ilvl w:val="0"/>
          <w:numId w:val="0"/>
        </w:numPr>
        <w:rPr>
          <w:b/>
          <w:szCs w:val="22"/>
          <w:lang w:val="es-ES"/>
        </w:rPr>
      </w:pPr>
      <w:r w:rsidRPr="00AA21C6">
        <w:rPr>
          <w:b/>
          <w:szCs w:val="22"/>
          <w:lang w:val="es-ES"/>
        </w:rPr>
        <w:t>Modificación</w:t>
      </w:r>
    </w:p>
    <w:p w:rsidR="00C0409B" w:rsidRPr="00AA21C6" w:rsidRDefault="00C0409B" w:rsidP="00C0409B">
      <w:pPr>
        <w:pStyle w:val="ONUMFS"/>
        <w:numPr>
          <w:ilvl w:val="0"/>
          <w:numId w:val="0"/>
        </w:numPr>
        <w:rPr>
          <w:b/>
          <w:szCs w:val="22"/>
          <w:lang w:val="es-ES"/>
        </w:rPr>
      </w:pPr>
      <w:r w:rsidRPr="00AA21C6">
        <w:rPr>
          <w:szCs w:val="22"/>
          <w:lang w:val="es-ES"/>
        </w:rPr>
        <w:t xml:space="preserve">Según </w:t>
      </w:r>
      <w:r w:rsidRPr="0059568D">
        <w:rPr>
          <w:szCs w:val="22"/>
          <w:lang w:val="es-ES"/>
        </w:rPr>
        <w:t xml:space="preserve">el </w:t>
      </w:r>
      <w:r w:rsidRPr="0059568D">
        <w:rPr>
          <w:iCs/>
          <w:szCs w:val="22"/>
          <w:lang w:val="es-ES"/>
        </w:rPr>
        <w:t>Diccionario de la lengua española</w:t>
      </w:r>
      <w:r w:rsidRPr="00AA21C6">
        <w:rPr>
          <w:szCs w:val="22"/>
          <w:lang w:val="es-ES"/>
        </w:rPr>
        <w:t xml:space="preserve"> de la Real Academia Española, “modificar” significa “transformar o cambiar algo mudando alguno de sus accidentes” y es sinónimo de “alterar”, que quiere decir “cambiar la esencia o forma de algo”.  En el artículo 6</w:t>
      </w:r>
      <w:r w:rsidRPr="00AA21C6">
        <w:rPr>
          <w:i/>
          <w:iCs/>
          <w:szCs w:val="22"/>
          <w:lang w:val="es-ES"/>
        </w:rPr>
        <w:t>bis</w:t>
      </w:r>
      <w:r w:rsidRPr="00AA21C6">
        <w:rPr>
          <w:szCs w:val="22"/>
          <w:lang w:val="es-ES"/>
        </w:rPr>
        <w:t xml:space="preserve"> del </w:t>
      </w:r>
      <w:r w:rsidRPr="0059568D">
        <w:rPr>
          <w:i/>
          <w:szCs w:val="22"/>
          <w:lang w:val="es-ES"/>
        </w:rPr>
        <w:t>Convenio de Berna para la Protección de las Obras Literarias y Artísticas</w:t>
      </w:r>
      <w:r w:rsidRPr="00AA21C6">
        <w:rPr>
          <w:szCs w:val="22"/>
          <w:lang w:val="es-ES"/>
        </w:rPr>
        <w:t xml:space="preserve"> (1971), entre otras cosas, se confiere al autor el derecho “de oponerse a cualquier deformación, mutilación u otra modificación de la misma […] que cause perjuicio a su honor o a su reputación”.</w:t>
      </w:r>
    </w:p>
    <w:p w:rsidR="00C0409B" w:rsidRPr="00AA21C6" w:rsidRDefault="00C0409B" w:rsidP="00C0409B">
      <w:pPr>
        <w:pStyle w:val="ONUMFS"/>
        <w:numPr>
          <w:ilvl w:val="0"/>
          <w:numId w:val="0"/>
        </w:numPr>
        <w:rPr>
          <w:b/>
          <w:szCs w:val="22"/>
          <w:lang w:val="es-ES"/>
        </w:rPr>
      </w:pPr>
      <w:r w:rsidRPr="00AA21C6">
        <w:rPr>
          <w:b/>
          <w:szCs w:val="22"/>
          <w:lang w:val="es-ES"/>
        </w:rPr>
        <w:t>Expresión musical</w:t>
      </w:r>
    </w:p>
    <w:p w:rsidR="00C0409B" w:rsidRPr="00AA21C6" w:rsidRDefault="00C0409B" w:rsidP="00C0409B">
      <w:pPr>
        <w:pStyle w:val="ONUMFS"/>
        <w:numPr>
          <w:ilvl w:val="0"/>
          <w:numId w:val="0"/>
        </w:numPr>
        <w:rPr>
          <w:b/>
          <w:szCs w:val="22"/>
          <w:lang w:val="es-ES"/>
        </w:rPr>
      </w:pPr>
      <w:r w:rsidRPr="00AA21C6">
        <w:rPr>
          <w:szCs w:val="22"/>
          <w:lang w:val="es-ES"/>
        </w:rPr>
        <w:t>Son expresiones mediante sonidos musicales.</w:t>
      </w:r>
      <w:r w:rsidRPr="00AA21C6">
        <w:rPr>
          <w:rStyle w:val="FootnoteReference"/>
          <w:szCs w:val="22"/>
          <w:lang w:val="es-ES"/>
        </w:rPr>
        <w:footnoteReference w:id="115"/>
      </w:r>
    </w:p>
    <w:p w:rsidR="00C0409B" w:rsidRPr="00AA21C6" w:rsidRDefault="00C0409B" w:rsidP="00C0409B">
      <w:pPr>
        <w:pStyle w:val="ONUMFS"/>
        <w:numPr>
          <w:ilvl w:val="0"/>
          <w:numId w:val="0"/>
        </w:numPr>
        <w:rPr>
          <w:b/>
          <w:szCs w:val="22"/>
          <w:lang w:val="es-ES"/>
        </w:rPr>
      </w:pPr>
      <w:r w:rsidRPr="00AA21C6">
        <w:rPr>
          <w:b/>
          <w:szCs w:val="22"/>
          <w:lang w:val="es-ES"/>
        </w:rPr>
        <w:t>Mutilación</w:t>
      </w:r>
    </w:p>
    <w:p w:rsidR="00C0409B" w:rsidRPr="00AA21C6" w:rsidRDefault="00C0409B" w:rsidP="00C0409B">
      <w:pPr>
        <w:pStyle w:val="ONUMFS"/>
        <w:numPr>
          <w:ilvl w:val="0"/>
          <w:numId w:val="0"/>
        </w:numPr>
        <w:rPr>
          <w:b/>
          <w:szCs w:val="22"/>
          <w:lang w:val="es-ES"/>
        </w:rPr>
      </w:pPr>
      <w:r w:rsidRPr="00AA21C6">
        <w:rPr>
          <w:szCs w:val="22"/>
          <w:lang w:val="es-ES"/>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AA21C6">
        <w:rPr>
          <w:i/>
          <w:iCs/>
          <w:szCs w:val="22"/>
          <w:lang w:val="es-ES"/>
        </w:rPr>
        <w:t>bis</w:t>
      </w:r>
      <w:r w:rsidRPr="00AA21C6">
        <w:rPr>
          <w:szCs w:val="22"/>
          <w:lang w:val="es-ES"/>
        </w:rPr>
        <w:t xml:space="preserve"> del </w:t>
      </w:r>
      <w:r w:rsidRPr="0059568D">
        <w:rPr>
          <w:i/>
          <w:szCs w:val="22"/>
          <w:lang w:val="es-ES"/>
        </w:rPr>
        <w:t>Convenio de Berna</w:t>
      </w:r>
      <w:r w:rsidRPr="00AA21C6">
        <w:rPr>
          <w:szCs w:val="22"/>
          <w:lang w:val="es-ES"/>
        </w:rPr>
        <w:t>).</w:t>
      </w:r>
    </w:p>
    <w:p w:rsidR="00C0409B" w:rsidRPr="00AA21C6" w:rsidRDefault="00C0409B" w:rsidP="00C0409B">
      <w:pPr>
        <w:pStyle w:val="ONUMFS"/>
        <w:numPr>
          <w:ilvl w:val="0"/>
          <w:numId w:val="0"/>
        </w:numPr>
        <w:rPr>
          <w:b/>
          <w:bCs/>
          <w:szCs w:val="22"/>
          <w:lang w:val="es-ES"/>
        </w:rPr>
      </w:pPr>
      <w:r w:rsidRPr="00AA21C6">
        <w:rPr>
          <w:b/>
          <w:bCs/>
          <w:szCs w:val="22"/>
          <w:lang w:val="es-ES"/>
        </w:rPr>
        <w:t>Respeto mutuo</w:t>
      </w:r>
    </w:p>
    <w:p w:rsidR="00C0409B" w:rsidRPr="00AA21C6" w:rsidRDefault="00C0409B" w:rsidP="00C0409B">
      <w:pPr>
        <w:pStyle w:val="ONUMFS"/>
        <w:numPr>
          <w:ilvl w:val="0"/>
          <w:numId w:val="0"/>
        </w:numPr>
        <w:rPr>
          <w:b/>
          <w:szCs w:val="22"/>
          <w:lang w:val="es-ES"/>
        </w:rPr>
      </w:pPr>
      <w:r w:rsidRPr="00AA21C6">
        <w:rPr>
          <w:szCs w:val="22"/>
          <w:lang w:val="es-ES"/>
        </w:rPr>
        <w:t xml:space="preserve">En el preámbulo de la </w:t>
      </w:r>
      <w:r w:rsidRPr="0059568D">
        <w:rPr>
          <w:i/>
          <w:szCs w:val="22"/>
          <w:lang w:val="es-ES"/>
        </w:rPr>
        <w:t>Declaración de las Naciones Unidas sobre los Derechos de los Pueblos Indígenas</w:t>
      </w:r>
      <w:r w:rsidRPr="00AA21C6">
        <w:rPr>
          <w:szCs w:val="22"/>
          <w:lang w:val="es-ES"/>
        </w:rPr>
        <w:t xml:space="preserve"> se afirma que es el “ideal común que debe perseguirse en un espíritu de solidaridad y respeto mutuo”.</w:t>
      </w:r>
      <w:r w:rsidRPr="00AA21C6">
        <w:rPr>
          <w:szCs w:val="22"/>
          <w:vertAlign w:val="superscript"/>
          <w:lang w:val="es-ES"/>
        </w:rPr>
        <w:t>.</w:t>
      </w:r>
      <w:r w:rsidRPr="00AA21C6">
        <w:rPr>
          <w:szCs w:val="22"/>
          <w:lang w:val="es-ES"/>
        </w:rPr>
        <w:t xml:space="preserve"> </w:t>
      </w:r>
      <w:r w:rsidRPr="00AA21C6">
        <w:rPr>
          <w:szCs w:val="22"/>
          <w:vertAlign w:val="superscript"/>
          <w:lang w:val="es-ES"/>
        </w:rPr>
        <w:t xml:space="preserve"> </w:t>
      </w:r>
      <w:r w:rsidRPr="00AA21C6">
        <w:rPr>
          <w:szCs w:val="22"/>
          <w:lang w:val="es-ES"/>
        </w:rPr>
        <w:t xml:space="preserve">El </w:t>
      </w:r>
      <w:r w:rsidRPr="0059568D">
        <w:rPr>
          <w:iCs/>
          <w:szCs w:val="22"/>
          <w:lang w:val="es-ES"/>
        </w:rPr>
        <w:t>Diccionario de uso del español</w:t>
      </w:r>
      <w:r w:rsidRPr="00AA21C6">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C0409B" w:rsidRPr="00AA21C6" w:rsidRDefault="00C0409B" w:rsidP="00C0409B">
      <w:pPr>
        <w:pStyle w:val="ONUMFS"/>
        <w:numPr>
          <w:ilvl w:val="0"/>
          <w:numId w:val="0"/>
        </w:numPr>
        <w:rPr>
          <w:b/>
          <w:bCs/>
          <w:szCs w:val="22"/>
          <w:lang w:val="es-ES"/>
        </w:rPr>
      </w:pPr>
      <w:r w:rsidRPr="00AA21C6">
        <w:rPr>
          <w:b/>
          <w:bCs/>
          <w:szCs w:val="22"/>
          <w:lang w:val="es-ES"/>
        </w:rPr>
        <w:t>Condiciones mutuamente convenidas</w:t>
      </w:r>
    </w:p>
    <w:p w:rsidR="00C0409B" w:rsidRPr="00AA21C6" w:rsidRDefault="00C0409B" w:rsidP="00C0409B">
      <w:pPr>
        <w:pStyle w:val="ONUMFS"/>
        <w:numPr>
          <w:ilvl w:val="0"/>
          <w:numId w:val="0"/>
        </w:numPr>
        <w:rPr>
          <w:szCs w:val="22"/>
          <w:lang w:val="es-ES"/>
        </w:rPr>
      </w:pPr>
      <w:r w:rsidRPr="00AA21C6">
        <w:rPr>
          <w:szCs w:val="22"/>
          <w:lang w:val="es-ES"/>
        </w:rPr>
        <w:t xml:space="preserve">Además de reconocer la soberanía de los gobiernos nacionales para determinar el acceso a los recursos genéticos, en el artículo 15.4 del </w:t>
      </w:r>
      <w:r w:rsidRPr="0059568D">
        <w:rPr>
          <w:i/>
          <w:szCs w:val="22"/>
          <w:lang w:val="es-ES"/>
        </w:rPr>
        <w:t>Convenio sobre la Diversidad Biológica</w:t>
      </w:r>
      <w:r w:rsidRPr="00AA21C6">
        <w:rPr>
          <w:i/>
          <w:szCs w:val="22"/>
          <w:lang w:val="es-ES"/>
        </w:rPr>
        <w:t xml:space="preserve"> </w:t>
      </w:r>
      <w:r w:rsidRPr="00AA21C6">
        <w:rPr>
          <w:szCs w:val="22"/>
          <w:lang w:val="es-ES"/>
        </w:rPr>
        <w:t xml:space="preserve">(1992) se </w:t>
      </w:r>
      <w:r w:rsidRPr="00AA21C6">
        <w:rPr>
          <w:szCs w:val="22"/>
          <w:lang w:val="es-ES"/>
        </w:rPr>
        <w:lastRenderedPageBreak/>
        <w:t>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AA21C6">
        <w:rPr>
          <w:rStyle w:val="FootnoteReference"/>
          <w:szCs w:val="22"/>
          <w:lang w:val="es-ES"/>
        </w:rPr>
        <w:footnoteReference w:id="116"/>
      </w:r>
      <w:r w:rsidRPr="00AA21C6">
        <w:rPr>
          <w:szCs w:val="22"/>
          <w:lang w:val="es-ES"/>
        </w:rPr>
        <w:t xml:space="preserve">  En los artículos 41 a 44 de las </w:t>
      </w:r>
      <w:r w:rsidRPr="0059568D">
        <w:rPr>
          <w:i/>
          <w:szCs w:val="22"/>
          <w:lang w:val="es-ES"/>
        </w:rPr>
        <w:t>Directrices de Bonn</w:t>
      </w:r>
      <w:r w:rsidRPr="00AA21C6">
        <w:rPr>
          <w:szCs w:val="22"/>
          <w:lang w:val="es-ES"/>
        </w:rPr>
        <w:t xml:space="preserve"> se señalan algunos requisitos básicos de las condiciones mutuamente convenidas.</w:t>
      </w:r>
    </w:p>
    <w:p w:rsidR="00C0409B" w:rsidRPr="00AA21C6" w:rsidRDefault="00C0409B" w:rsidP="00C0409B">
      <w:pPr>
        <w:pStyle w:val="ONUMFS"/>
        <w:numPr>
          <w:ilvl w:val="0"/>
          <w:numId w:val="0"/>
        </w:numPr>
        <w:rPr>
          <w:b/>
          <w:szCs w:val="22"/>
          <w:lang w:val="es-ES"/>
        </w:rPr>
      </w:pPr>
      <w:r w:rsidRPr="00AA21C6">
        <w:rPr>
          <w:szCs w:val="22"/>
          <w:lang w:val="es-ES"/>
        </w:rPr>
        <w:t xml:space="preserve">En el Artículo 18 del </w:t>
      </w:r>
      <w:r w:rsidRPr="0059568D">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aborda específicamente el cumplimiento de las condiciones mutuamente acordadas o convenidas, a saber:  “</w:t>
      </w:r>
      <w:r w:rsidRPr="00AA21C6">
        <w:rPr>
          <w:iCs/>
          <w:szCs w:val="22"/>
          <w:lang w:val="es-ES"/>
        </w:rPr>
        <w:t>1.</w:t>
      </w:r>
      <w:r w:rsidRPr="00AA21C6">
        <w:rPr>
          <w:szCs w:val="22"/>
          <w:lang w:val="es-ES"/>
        </w:rPr>
        <w:t xml:space="preserve"> </w:t>
      </w:r>
      <w:r w:rsidRPr="00AA21C6">
        <w:rPr>
          <w:iCs/>
          <w:szCs w:val="22"/>
          <w:lang w:val="es-ES"/>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AA21C6">
        <w:rPr>
          <w:szCs w:val="22"/>
          <w:lang w:val="es-ES"/>
        </w:rPr>
        <w:t>”.</w:t>
      </w:r>
    </w:p>
    <w:p w:rsidR="00C0409B" w:rsidRPr="00AA21C6" w:rsidRDefault="00C0409B" w:rsidP="00C0409B">
      <w:pPr>
        <w:pStyle w:val="ONUMFS"/>
        <w:numPr>
          <w:ilvl w:val="0"/>
          <w:numId w:val="0"/>
        </w:numPr>
        <w:rPr>
          <w:b/>
          <w:szCs w:val="22"/>
          <w:lang w:val="es-ES"/>
        </w:rPr>
      </w:pPr>
      <w:r w:rsidRPr="00AA21C6">
        <w:rPr>
          <w:b/>
          <w:szCs w:val="22"/>
          <w:lang w:val="es-ES"/>
        </w:rPr>
        <w:t>Protocolo de Nagoya sobre Acceso a los Recursos Genéticos y Participación Justa y Equitativa en los Beneficios que se Deriven de su Utilización al Convenio sobre la Diversidad Biológica (2010)</w:t>
      </w:r>
    </w:p>
    <w:p w:rsidR="00C0409B" w:rsidRPr="00AA21C6" w:rsidRDefault="00C0409B" w:rsidP="00C0409B">
      <w:pPr>
        <w:pStyle w:val="ONUMFS"/>
        <w:numPr>
          <w:ilvl w:val="0"/>
          <w:numId w:val="0"/>
        </w:numPr>
        <w:rPr>
          <w:szCs w:val="22"/>
          <w:lang w:val="es-ES"/>
        </w:rPr>
      </w:pPr>
      <w:r w:rsidRPr="00AA21C6">
        <w:rPr>
          <w:szCs w:val="22"/>
          <w:lang w:val="es-ES"/>
        </w:rPr>
        <w:t>Durante la décima reunión de la Conferencia de las Partes (COP 10), celebrada en Nagoya (Japón) en octubre de 2010, se adoptó un protocolo.  Con arreglo al artículo 1, el objetivo del Protocolo es “</w:t>
      </w:r>
      <w:r w:rsidRPr="00AA21C6">
        <w:rPr>
          <w:iCs/>
          <w:szCs w:val="22"/>
          <w:lang w:val="es-ES"/>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AA21C6">
        <w:rPr>
          <w:szCs w:val="22"/>
          <w:lang w:val="es-ES"/>
        </w:rPr>
        <w:t>”.  El Secretario General de las Naciones Unidas será el depositario del Protocolo y lo abrirá a la firma en la Sede de las Naciones Unidas de Nueva York del 2 de febrero de 2011 al 1 de febrero de 2012.</w:t>
      </w:r>
    </w:p>
    <w:p w:rsidR="00C0409B" w:rsidRPr="00AA21C6" w:rsidRDefault="00C0409B" w:rsidP="00C0409B">
      <w:pPr>
        <w:pStyle w:val="ONUMFS"/>
        <w:numPr>
          <w:ilvl w:val="0"/>
          <w:numId w:val="0"/>
        </w:numPr>
        <w:rPr>
          <w:b/>
          <w:szCs w:val="22"/>
          <w:lang w:val="es-ES"/>
        </w:rPr>
      </w:pPr>
      <w:r w:rsidRPr="00AA21C6">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C0409B" w:rsidRPr="00AA21C6" w:rsidRDefault="00C0409B" w:rsidP="00C0409B">
      <w:pPr>
        <w:pStyle w:val="ONUMFS"/>
        <w:numPr>
          <w:ilvl w:val="0"/>
          <w:numId w:val="0"/>
        </w:numPr>
        <w:rPr>
          <w:b/>
          <w:bCs/>
          <w:szCs w:val="22"/>
          <w:lang w:val="es-ES"/>
        </w:rPr>
      </w:pPr>
      <w:r w:rsidRPr="00AA21C6">
        <w:rPr>
          <w:b/>
          <w:bCs/>
          <w:szCs w:val="22"/>
          <w:lang w:val="es-ES"/>
        </w:rPr>
        <w:t>Nación</w:t>
      </w:r>
    </w:p>
    <w:p w:rsidR="00C0409B" w:rsidRPr="00AA21C6" w:rsidRDefault="00C0409B" w:rsidP="00C0409B">
      <w:pPr>
        <w:pStyle w:val="ONUMFS"/>
        <w:numPr>
          <w:ilvl w:val="0"/>
          <w:numId w:val="0"/>
        </w:numPr>
        <w:rPr>
          <w:b/>
          <w:szCs w:val="22"/>
          <w:lang w:val="es-ES"/>
        </w:rPr>
      </w:pPr>
      <w:bookmarkStart w:id="13" w:name="_Ref289681765"/>
      <w:bookmarkEnd w:id="13"/>
      <w:r w:rsidRPr="00AA21C6">
        <w:rPr>
          <w:szCs w:val="22"/>
          <w:lang w:val="es-ES"/>
        </w:rPr>
        <w:t xml:space="preserve">Según el </w:t>
      </w:r>
      <w:r w:rsidRPr="0059568D">
        <w:rPr>
          <w:iCs/>
          <w:szCs w:val="22"/>
          <w:lang w:val="es-ES"/>
        </w:rPr>
        <w:t>Diccionario de la lengua española</w:t>
      </w:r>
      <w:r w:rsidRPr="00AA21C6">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  En el </w:t>
      </w:r>
      <w:r w:rsidRPr="0059568D">
        <w:rPr>
          <w:i/>
          <w:szCs w:val="22"/>
          <w:lang w:val="es-ES"/>
        </w:rPr>
        <w:t>Acuerdo sobre los ADPIC</w:t>
      </w:r>
      <w:r w:rsidRPr="00AA21C6">
        <w:rPr>
          <w:szCs w:val="22"/>
          <w:lang w:val="es-ES"/>
        </w:rPr>
        <w:t xml:space="preserve">, por “nacionales” se entiende “las personas físicas o jurídicas que tengan domicilio o un establecimiento industrial o comercial, real y efectivo, en </w:t>
      </w:r>
      <w:r w:rsidRPr="00AA21C6">
        <w:rPr>
          <w:szCs w:val="22"/>
          <w:lang w:val="es-ES"/>
        </w:rPr>
        <w:lastRenderedPageBreak/>
        <w:t>ese territorio aduanero”.</w:t>
      </w:r>
      <w:r w:rsidRPr="00AA21C6">
        <w:rPr>
          <w:rStyle w:val="FootnoteReference"/>
          <w:szCs w:val="22"/>
          <w:lang w:val="es-ES"/>
        </w:rPr>
        <w:footnoteReference w:id="117"/>
      </w:r>
      <w:r w:rsidRPr="00AA21C6">
        <w:rPr>
          <w:szCs w:val="22"/>
          <w:lang w:val="es-ES"/>
        </w:rPr>
        <w:t xml:space="preserve">  La voz “nación” suele connotar que la comunidad está forjada por un mismo origen, cultura e historia, a lo cual se suma no pocas veces una lengua que es común.</w:t>
      </w:r>
      <w:r w:rsidRPr="00AA21C6">
        <w:rPr>
          <w:rStyle w:val="FootnoteReference"/>
          <w:szCs w:val="22"/>
          <w:lang w:val="es-ES"/>
        </w:rPr>
        <w:footnoteReference w:id="118"/>
      </w:r>
      <w:r w:rsidRPr="00AA21C6">
        <w:rPr>
          <w:szCs w:val="22"/>
          <w:lang w:val="es-ES"/>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AA21C6">
        <w:rPr>
          <w:rStyle w:val="FootnoteReference"/>
          <w:szCs w:val="22"/>
          <w:lang w:val="es-ES"/>
        </w:rPr>
        <w:footnoteReference w:id="119"/>
      </w:r>
    </w:p>
    <w:p w:rsidR="00C0409B" w:rsidRPr="00AA21C6" w:rsidRDefault="00C0409B" w:rsidP="00C0409B">
      <w:pPr>
        <w:pStyle w:val="ONUMFS"/>
        <w:keepNext/>
        <w:numPr>
          <w:ilvl w:val="0"/>
          <w:numId w:val="0"/>
        </w:numPr>
        <w:rPr>
          <w:b/>
          <w:bCs/>
          <w:szCs w:val="22"/>
          <w:lang w:val="es-ES"/>
        </w:rPr>
      </w:pPr>
      <w:r w:rsidRPr="00AA21C6">
        <w:rPr>
          <w:b/>
          <w:bCs/>
          <w:szCs w:val="22"/>
          <w:lang w:val="es-ES"/>
        </w:rPr>
        <w:t>Novedad</w:t>
      </w:r>
    </w:p>
    <w:p w:rsidR="00C0409B" w:rsidRPr="00AA21C6" w:rsidRDefault="00C0409B" w:rsidP="00C0409B">
      <w:pPr>
        <w:pStyle w:val="ONUMFS"/>
        <w:keepNext/>
        <w:numPr>
          <w:ilvl w:val="0"/>
          <w:numId w:val="0"/>
        </w:numPr>
        <w:rPr>
          <w:szCs w:val="22"/>
          <w:lang w:val="es-ES"/>
        </w:rPr>
      </w:pPr>
      <w:r w:rsidRPr="00AA21C6">
        <w:rPr>
          <w:szCs w:val="22"/>
          <w:lang w:val="es-ES"/>
        </w:rPr>
        <w:t>La novedad es uno de los criterios que se aplican en todo examen de patentes para determinar si se concede una patente.  Una invención es nueva si no existe en el estado de la técnica.</w:t>
      </w:r>
      <w:r w:rsidRPr="00AA21C6">
        <w:rPr>
          <w:rStyle w:val="FootnoteReference"/>
          <w:szCs w:val="22"/>
          <w:lang w:val="es-ES"/>
        </w:rPr>
        <w:footnoteReference w:id="120"/>
      </w:r>
    </w:p>
    <w:p w:rsidR="00C0409B" w:rsidRPr="00AA21C6" w:rsidRDefault="00C0409B" w:rsidP="00C0409B">
      <w:pPr>
        <w:pStyle w:val="ONUMFS"/>
        <w:numPr>
          <w:ilvl w:val="0"/>
          <w:numId w:val="0"/>
        </w:numPr>
        <w:rPr>
          <w:szCs w:val="22"/>
          <w:lang w:val="es-ES"/>
        </w:rPr>
      </w:pPr>
      <w:r w:rsidRPr="00AA21C6">
        <w:rPr>
          <w:szCs w:val="22"/>
          <w:lang w:val="es-ES"/>
        </w:rPr>
        <w:t xml:space="preserve">En el artículo 33 del </w:t>
      </w:r>
      <w:r w:rsidR="005C21FD">
        <w:rPr>
          <w:i/>
          <w:szCs w:val="22"/>
          <w:lang w:val="es-ES"/>
        </w:rPr>
        <w:t>Tratado de Cooperación en materia de Patentes</w:t>
      </w:r>
      <w:r w:rsidRPr="00AA21C6">
        <w:rPr>
          <w:szCs w:val="22"/>
          <w:lang w:val="es-ES"/>
        </w:rPr>
        <w:t xml:space="preserve"> </w:t>
      </w:r>
      <w:r w:rsidR="005C21FD">
        <w:rPr>
          <w:szCs w:val="22"/>
          <w:lang w:val="es-ES"/>
        </w:rPr>
        <w:t xml:space="preserve">(PCT) </w:t>
      </w:r>
      <w:r w:rsidRPr="00AA21C6">
        <w:rPr>
          <w:szCs w:val="22"/>
          <w:lang w:val="es-ES"/>
        </w:rPr>
        <w:t>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54 del </w:t>
      </w:r>
      <w:r w:rsidRPr="005C21FD">
        <w:rPr>
          <w:i/>
          <w:szCs w:val="22"/>
          <w:lang w:val="es-ES"/>
        </w:rPr>
        <w:t>Convenio sobre la Patente Europea</w:t>
      </w:r>
      <w:r w:rsidRPr="00AA21C6">
        <w:rPr>
          <w:szCs w:val="22"/>
          <w:lang w:val="es-ES"/>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C0409B" w:rsidRPr="00AA21C6" w:rsidRDefault="00C0409B" w:rsidP="00C0409B">
      <w:pPr>
        <w:pStyle w:val="ONUMFS"/>
        <w:numPr>
          <w:ilvl w:val="0"/>
          <w:numId w:val="0"/>
        </w:numPr>
        <w:rPr>
          <w:szCs w:val="22"/>
          <w:lang w:val="es-ES"/>
        </w:rPr>
      </w:pPr>
      <w:r w:rsidRPr="00AA21C6">
        <w:rPr>
          <w:szCs w:val="22"/>
          <w:lang w:val="es-ES"/>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C0409B" w:rsidRPr="00AA21C6" w:rsidRDefault="00C0409B" w:rsidP="00C0409B">
      <w:pPr>
        <w:pStyle w:val="ONUMFS"/>
        <w:numPr>
          <w:ilvl w:val="0"/>
          <w:numId w:val="0"/>
        </w:numPr>
        <w:rPr>
          <w:b/>
          <w:bCs/>
          <w:szCs w:val="22"/>
          <w:lang w:val="es-ES"/>
        </w:rPr>
      </w:pPr>
      <w:r w:rsidRPr="00AA21C6">
        <w:rPr>
          <w:b/>
          <w:bCs/>
          <w:szCs w:val="22"/>
          <w:lang w:val="es-ES"/>
        </w:rPr>
        <w:t>Ofensivo</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5C21FD">
        <w:rPr>
          <w:iCs/>
          <w:szCs w:val="22"/>
          <w:lang w:val="es-ES"/>
        </w:rPr>
        <w:t>Diccionario de la lengua española</w:t>
      </w:r>
      <w:r w:rsidRPr="00AA21C6">
        <w:rPr>
          <w:szCs w:val="22"/>
          <w:lang w:val="es-ES"/>
        </w:rPr>
        <w:t xml:space="preserve"> de la Real Academia Española, por “ofensivo” se entiende “que ofende o puede ofender” y, a su vez, “ofender” significa “ir en contra de lo que se tiene comúnmente por bueno, correcto o agradable”.</w:t>
      </w:r>
    </w:p>
    <w:p w:rsidR="00C0409B" w:rsidRPr="00AA21C6" w:rsidRDefault="00C0409B" w:rsidP="00C0409B">
      <w:pPr>
        <w:pStyle w:val="ONUMFS"/>
        <w:numPr>
          <w:ilvl w:val="0"/>
          <w:numId w:val="0"/>
        </w:numPr>
        <w:rPr>
          <w:b/>
          <w:bCs/>
          <w:szCs w:val="22"/>
          <w:lang w:val="es-ES"/>
        </w:rPr>
      </w:pPr>
      <w:r w:rsidRPr="00AA21C6">
        <w:rPr>
          <w:b/>
          <w:bCs/>
          <w:szCs w:val="22"/>
          <w:lang w:val="es-ES"/>
        </w:rPr>
        <w:t>Patente</w:t>
      </w:r>
    </w:p>
    <w:p w:rsidR="00C0409B" w:rsidRPr="00AA21C6" w:rsidRDefault="00C0409B" w:rsidP="00C0409B">
      <w:pPr>
        <w:pStyle w:val="ONUMFS"/>
        <w:numPr>
          <w:ilvl w:val="0"/>
          <w:numId w:val="0"/>
        </w:numPr>
        <w:rPr>
          <w:szCs w:val="22"/>
          <w:lang w:val="es-ES"/>
        </w:rPr>
      </w:pPr>
      <w:r w:rsidRPr="00AA21C6">
        <w:rPr>
          <w:szCs w:val="22"/>
          <w:lang w:val="es-ES"/>
        </w:rPr>
        <w:t>Se entiende por patente “</w:t>
      </w:r>
      <w:r w:rsidRPr="00AA21C6">
        <w:rPr>
          <w:iCs/>
          <w:szCs w:val="22"/>
          <w:lang w:val="es-ES"/>
        </w:rPr>
        <w:t xml:space="preserve">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w:t>
      </w:r>
      <w:r w:rsidRPr="00AA21C6">
        <w:rPr>
          <w:iCs/>
          <w:szCs w:val="22"/>
          <w:lang w:val="es-ES"/>
        </w:rPr>
        <w:lastRenderedPageBreak/>
        <w:t>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AA21C6">
        <w:rPr>
          <w:szCs w:val="22"/>
          <w:lang w:val="es-ES"/>
        </w:rPr>
        <w:t>”</w:t>
      </w:r>
      <w:r w:rsidRPr="00AA21C6">
        <w:rPr>
          <w:rStyle w:val="FootnoteReference"/>
          <w:szCs w:val="22"/>
          <w:lang w:val="es-ES"/>
        </w:rPr>
        <w:footnoteReference w:id="121"/>
      </w:r>
    </w:p>
    <w:p w:rsidR="00C0409B" w:rsidRPr="00AA21C6" w:rsidRDefault="00C0409B" w:rsidP="00C0409B">
      <w:pPr>
        <w:pStyle w:val="ONUMFS"/>
        <w:numPr>
          <w:ilvl w:val="0"/>
          <w:numId w:val="0"/>
        </w:numPr>
        <w:rPr>
          <w:szCs w:val="22"/>
          <w:lang w:val="es-ES"/>
        </w:rPr>
      </w:pPr>
      <w:r w:rsidRPr="00AA21C6">
        <w:rPr>
          <w:szCs w:val="22"/>
          <w:lang w:val="es-ES"/>
        </w:rPr>
        <w:t xml:space="preserve">En el artículo 27.1 del </w:t>
      </w:r>
      <w:r w:rsidRPr="005C21FD">
        <w:rPr>
          <w:i/>
          <w:szCs w:val="22"/>
          <w:lang w:val="es-ES"/>
        </w:rPr>
        <w:t>Acuerdo sobre los Derechos de Propiedad Intelectual relacionados con el Comercio</w:t>
      </w:r>
      <w:r w:rsidRPr="00AA21C6">
        <w:rPr>
          <w:szCs w:val="22"/>
          <w:lang w:val="es-ES"/>
        </w:rPr>
        <w:t xml:space="preserve"> (Acuerdo sobre los ADPIC)</w:t>
      </w:r>
      <w:r w:rsidR="005C21FD">
        <w:rPr>
          <w:szCs w:val="22"/>
          <w:lang w:val="es-ES"/>
        </w:rPr>
        <w:t>, de la Organización Mundial del Comercio (OMC),</w:t>
      </w:r>
      <w:r w:rsidRPr="00AA21C6">
        <w:rPr>
          <w:szCs w:val="22"/>
          <w:lang w:val="es-ES"/>
        </w:rPr>
        <w:t xml:space="preserve"> se estipula que </w:t>
      </w:r>
      <w:r w:rsidRPr="00AA21C6">
        <w:rPr>
          <w:iCs/>
          <w:szCs w:val="22"/>
          <w:lang w:val="es-ES"/>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C0409B" w:rsidRPr="00AA21C6" w:rsidRDefault="00C0409B" w:rsidP="00C0409B">
      <w:pPr>
        <w:pStyle w:val="ONUMFS"/>
        <w:numPr>
          <w:ilvl w:val="0"/>
          <w:numId w:val="0"/>
        </w:numPr>
        <w:rPr>
          <w:b/>
          <w:bCs/>
          <w:szCs w:val="22"/>
          <w:lang w:val="es-ES"/>
        </w:rPr>
      </w:pPr>
      <w:r w:rsidRPr="00AA21C6">
        <w:rPr>
          <w:b/>
          <w:bCs/>
          <w:szCs w:val="22"/>
          <w:lang w:val="es-ES"/>
        </w:rPr>
        <w:t>Conservación</w:t>
      </w:r>
    </w:p>
    <w:p w:rsidR="00C0409B" w:rsidRPr="00AA21C6" w:rsidRDefault="00C0409B" w:rsidP="00C0409B">
      <w:pPr>
        <w:pStyle w:val="ONUMFS"/>
        <w:numPr>
          <w:ilvl w:val="0"/>
          <w:numId w:val="0"/>
        </w:numPr>
        <w:rPr>
          <w:szCs w:val="22"/>
          <w:lang w:val="es-ES"/>
        </w:rPr>
      </w:pPr>
      <w:r w:rsidRPr="00AA21C6">
        <w:rPr>
          <w:szCs w:val="22"/>
          <w:lang w:val="es-ES"/>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AA21C6">
        <w:rPr>
          <w:rStyle w:val="FootnoteReference"/>
          <w:szCs w:val="22"/>
          <w:lang w:val="es-ES"/>
        </w:rPr>
        <w:footnoteReference w:id="122"/>
      </w:r>
    </w:p>
    <w:p w:rsidR="00C0409B" w:rsidRPr="00AA21C6" w:rsidRDefault="00C0409B" w:rsidP="00C0409B">
      <w:pPr>
        <w:pStyle w:val="ONUMFS"/>
        <w:numPr>
          <w:ilvl w:val="0"/>
          <w:numId w:val="0"/>
        </w:numPr>
        <w:rPr>
          <w:szCs w:val="22"/>
          <w:lang w:val="es-ES"/>
        </w:rPr>
      </w:pPr>
      <w:r w:rsidRPr="00AA21C6">
        <w:rPr>
          <w:szCs w:val="22"/>
          <w:lang w:val="es-ES"/>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5C21FD">
        <w:rPr>
          <w:i/>
          <w:szCs w:val="22"/>
          <w:lang w:val="es-ES"/>
        </w:rPr>
        <w:t>Convenio sobre la Diversidad Biológica</w:t>
      </w:r>
      <w:r w:rsidRPr="00AA21C6">
        <w:rPr>
          <w:i/>
          <w:szCs w:val="22"/>
          <w:lang w:val="es-ES"/>
        </w:rPr>
        <w:t xml:space="preserve"> </w:t>
      </w:r>
      <w:r w:rsidRPr="00AA21C6">
        <w:rPr>
          <w:szCs w:val="22"/>
          <w:lang w:val="es-ES"/>
        </w:rPr>
        <w:t>(1992) y la UNESCO, se ocupan de los aspectos relacionados con la conservación, conservación y salvaguardia de los conocimientos tradicionales en el contexto de sus respectivas políticas”.</w:t>
      </w:r>
      <w:r w:rsidRPr="00AA21C6">
        <w:rPr>
          <w:rStyle w:val="FootnoteReference"/>
          <w:szCs w:val="22"/>
          <w:lang w:val="es-ES"/>
        </w:rPr>
        <w:footnoteReference w:id="123"/>
      </w:r>
    </w:p>
    <w:p w:rsidR="00C0409B" w:rsidRPr="00AA21C6" w:rsidRDefault="00C0409B" w:rsidP="00C0409B">
      <w:pPr>
        <w:pStyle w:val="ONUMFS"/>
        <w:numPr>
          <w:ilvl w:val="0"/>
          <w:numId w:val="0"/>
        </w:numPr>
        <w:rPr>
          <w:b/>
          <w:bCs/>
          <w:szCs w:val="22"/>
          <w:lang w:val="es-ES"/>
        </w:rPr>
      </w:pPr>
      <w:r w:rsidRPr="00AA21C6">
        <w:rPr>
          <w:b/>
          <w:bCs/>
          <w:szCs w:val="22"/>
          <w:lang w:val="es-ES"/>
        </w:rPr>
        <w:t>Consentimiento fundamentado previo</w:t>
      </w:r>
    </w:p>
    <w:p w:rsidR="00C0409B" w:rsidRPr="00AA21C6" w:rsidRDefault="00C0409B" w:rsidP="00C0409B">
      <w:pPr>
        <w:pStyle w:val="ONUMFS"/>
        <w:numPr>
          <w:ilvl w:val="0"/>
          <w:numId w:val="0"/>
        </w:numPr>
        <w:rPr>
          <w:szCs w:val="22"/>
          <w:lang w:val="es-ES"/>
        </w:rPr>
      </w:pPr>
      <w:r w:rsidRPr="00AA21C6">
        <w:rPr>
          <w:szCs w:val="22"/>
          <w:lang w:val="es-ES"/>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5C21FD">
        <w:rPr>
          <w:i/>
          <w:szCs w:val="22"/>
          <w:lang w:val="es-ES"/>
        </w:rPr>
        <w:t>Convenio de Basilea sobre el control de los movimientos transfronterizos de los desechos peligrosos y su eliminación</w:t>
      </w:r>
      <w:r w:rsidRPr="00AA21C6">
        <w:rPr>
          <w:szCs w:val="22"/>
          <w:lang w:val="es-ES"/>
        </w:rPr>
        <w:t xml:space="preserve">, </w:t>
      </w:r>
      <w:r w:rsidR="005C21FD">
        <w:rPr>
          <w:szCs w:val="22"/>
          <w:lang w:val="es-ES"/>
        </w:rPr>
        <w:t xml:space="preserve">de 1989, </w:t>
      </w:r>
      <w:r w:rsidRPr="00AA21C6">
        <w:rPr>
          <w:szCs w:val="22"/>
          <w:lang w:val="es-ES"/>
        </w:rPr>
        <w:t xml:space="preserve">y en el </w:t>
      </w:r>
      <w:r w:rsidRPr="005C21FD">
        <w:rPr>
          <w:i/>
          <w:szCs w:val="22"/>
          <w:lang w:val="es-ES"/>
        </w:rPr>
        <w:t>Convenio sobre la Diversidad Biológica</w:t>
      </w:r>
      <w:r w:rsidRPr="00AA21C6">
        <w:rPr>
          <w:i/>
          <w:szCs w:val="22"/>
          <w:lang w:val="es-ES"/>
        </w:rPr>
        <w:t xml:space="preserve"> </w:t>
      </w:r>
      <w:r w:rsidRPr="00AA21C6">
        <w:rPr>
          <w:szCs w:val="22"/>
          <w:lang w:val="es-ES"/>
        </w:rPr>
        <w:t>(1992).</w:t>
      </w:r>
    </w:p>
    <w:p w:rsidR="00C0409B" w:rsidRPr="00AA21C6" w:rsidRDefault="00C0409B" w:rsidP="00C0409B">
      <w:pPr>
        <w:pStyle w:val="ONUMFS"/>
        <w:numPr>
          <w:ilvl w:val="0"/>
          <w:numId w:val="0"/>
        </w:numPr>
        <w:rPr>
          <w:szCs w:val="22"/>
          <w:lang w:val="es-ES"/>
        </w:rPr>
      </w:pPr>
      <w:r w:rsidRPr="00AA21C6">
        <w:rPr>
          <w:szCs w:val="22"/>
          <w:lang w:val="es-ES"/>
        </w:rPr>
        <w:t xml:space="preserve">En lo que respecta al acceso a recursos genéticos, en el artículo 15.5 del </w:t>
      </w:r>
      <w:r w:rsidRPr="005C21FD">
        <w:rPr>
          <w:i/>
          <w:szCs w:val="22"/>
          <w:lang w:val="es-ES"/>
        </w:rPr>
        <w:t>CDB</w:t>
      </w:r>
      <w:r w:rsidRPr="00AA21C6">
        <w:rPr>
          <w:szCs w:val="22"/>
          <w:lang w:val="es-ES"/>
        </w:rPr>
        <w:t xml:space="preserve"> se estipula que “estará sometido al consentimiento fundamentado previo de la Parte Contratante que proporciona los recursos, a menos que esa Parte decida otra cosa”.</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16.1) del </w:t>
      </w:r>
      <w:r w:rsidRPr="005C21FD">
        <w:rPr>
          <w:i/>
          <w:szCs w:val="22"/>
          <w:lang w:val="es-ES"/>
        </w:rPr>
        <w:t xml:space="preserve">Protocolo de Nagoya sobre Acceso a los Recursos Genéticos y Participación Justa y Equitativa en los Beneficios que se Deriven de su Utilización al Convenio </w:t>
      </w:r>
      <w:r w:rsidRPr="005C21FD">
        <w:rPr>
          <w:i/>
          <w:szCs w:val="22"/>
          <w:lang w:val="es-ES"/>
        </w:rPr>
        <w:lastRenderedPageBreak/>
        <w:t>sobre la Diversidad Biológica</w:t>
      </w:r>
      <w:r w:rsidRPr="00AA21C6">
        <w:rPr>
          <w:szCs w:val="22"/>
          <w:lang w:val="es-ES"/>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C0409B" w:rsidRPr="00AA21C6" w:rsidRDefault="00C0409B" w:rsidP="00C0409B">
      <w:pPr>
        <w:pStyle w:val="ONUMFS"/>
        <w:numPr>
          <w:ilvl w:val="0"/>
          <w:numId w:val="0"/>
        </w:numPr>
        <w:rPr>
          <w:szCs w:val="22"/>
          <w:lang w:val="es-ES"/>
        </w:rPr>
      </w:pPr>
      <w:r w:rsidRPr="00AA21C6">
        <w:rPr>
          <w:szCs w:val="22"/>
          <w:lang w:val="es-ES"/>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5C21FD">
        <w:rPr>
          <w:i/>
          <w:szCs w:val="22"/>
          <w:lang w:val="es-ES"/>
        </w:rPr>
        <w:t>Declaración Universal sobre el Genoma Humano y los Derechos Humanos</w:t>
      </w:r>
      <w:r w:rsidRPr="00AA21C6">
        <w:rPr>
          <w:szCs w:val="22"/>
          <w:lang w:val="es-ES"/>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w:t>
      </w:r>
      <w:r w:rsidRPr="005C21FD">
        <w:rPr>
          <w:i/>
          <w:szCs w:val="22"/>
          <w:lang w:val="es-ES"/>
        </w:rPr>
        <w:t>Declaración sobre Bioética y Derechos Humanos</w:t>
      </w:r>
      <w:r w:rsidRPr="00AA21C6">
        <w:rPr>
          <w:szCs w:val="22"/>
          <w:lang w:val="es-ES"/>
        </w:rPr>
        <w:t xml:space="preserve"> de la UNESCO de 2005 se exige el “previo consentimiento libre e informado de la persona interesada”, en lo que respecta a “toda intervención médica preventiva, diagnóstica y terapéutica” o “investigación científica”.</w:t>
      </w:r>
    </w:p>
    <w:p w:rsidR="00C0409B" w:rsidRPr="00AA21C6" w:rsidRDefault="00C0409B" w:rsidP="00C0409B">
      <w:pPr>
        <w:pStyle w:val="ONUMFS"/>
        <w:numPr>
          <w:ilvl w:val="0"/>
          <w:numId w:val="0"/>
        </w:numPr>
        <w:rPr>
          <w:szCs w:val="22"/>
          <w:lang w:val="es-ES"/>
        </w:rPr>
      </w:pPr>
      <w:r w:rsidRPr="00AA21C6">
        <w:rPr>
          <w:szCs w:val="22"/>
          <w:lang w:val="es-ES"/>
        </w:rPr>
        <w:t>El concepto ha sido acuñado con el fin de poner en vigor el principio general de la participación de los pueblos indígenas en la decisión, elaboración, ejecución y evaluación de los programas que los afecten.</w:t>
      </w:r>
      <w:r w:rsidRPr="00AA21C6">
        <w:rPr>
          <w:rStyle w:val="FootnoteReference"/>
          <w:szCs w:val="22"/>
          <w:lang w:val="es-ES"/>
        </w:rPr>
        <w:footnoteReference w:id="124"/>
      </w:r>
    </w:p>
    <w:p w:rsidR="00C0409B" w:rsidRPr="00AA21C6" w:rsidRDefault="00C0409B" w:rsidP="00C0409B">
      <w:pPr>
        <w:pStyle w:val="ONUMFS"/>
        <w:numPr>
          <w:ilvl w:val="0"/>
          <w:numId w:val="0"/>
        </w:numPr>
        <w:rPr>
          <w:szCs w:val="22"/>
          <w:lang w:val="es-ES"/>
        </w:rPr>
      </w:pPr>
      <w:r w:rsidRPr="00AA21C6">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C0409B" w:rsidRPr="00AA21C6" w:rsidRDefault="00C0409B" w:rsidP="00C0409B">
      <w:pPr>
        <w:pStyle w:val="ONUMFS"/>
        <w:numPr>
          <w:ilvl w:val="0"/>
          <w:numId w:val="0"/>
        </w:numPr>
        <w:rPr>
          <w:szCs w:val="22"/>
          <w:lang w:val="es-ES"/>
        </w:rPr>
      </w:pPr>
      <w:r w:rsidRPr="00AA21C6">
        <w:rPr>
          <w:szCs w:val="22"/>
          <w:lang w:val="es-ES"/>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AA21C6">
        <w:rPr>
          <w:rStyle w:val="FootnoteReference"/>
          <w:szCs w:val="22"/>
          <w:lang w:val="es-ES"/>
        </w:rPr>
        <w:footnoteReference w:id="125"/>
      </w:r>
    </w:p>
    <w:p w:rsidR="00C0409B" w:rsidRPr="00AA21C6" w:rsidRDefault="00C0409B" w:rsidP="00C0409B">
      <w:pPr>
        <w:pStyle w:val="ONUMFS"/>
        <w:numPr>
          <w:ilvl w:val="0"/>
          <w:numId w:val="0"/>
        </w:numPr>
        <w:rPr>
          <w:b/>
          <w:bCs/>
          <w:kern w:val="36"/>
          <w:szCs w:val="22"/>
          <w:lang w:val="es-ES"/>
        </w:rPr>
      </w:pPr>
      <w:r w:rsidRPr="00AA21C6">
        <w:rPr>
          <w:b/>
          <w:bCs/>
          <w:kern w:val="36"/>
          <w:szCs w:val="22"/>
          <w:lang w:val="es-ES"/>
        </w:rPr>
        <w:t>Estado de la técnica</w:t>
      </w:r>
    </w:p>
    <w:p w:rsidR="00C0409B" w:rsidRPr="00AA21C6" w:rsidRDefault="00C0409B" w:rsidP="00C0409B">
      <w:pPr>
        <w:pStyle w:val="ONUMFS"/>
        <w:numPr>
          <w:ilvl w:val="0"/>
          <w:numId w:val="0"/>
        </w:numPr>
        <w:rPr>
          <w:szCs w:val="22"/>
          <w:lang w:val="es-ES"/>
        </w:rPr>
      </w:pPr>
      <w:r w:rsidRPr="00AA21C6">
        <w:rPr>
          <w:szCs w:val="22"/>
          <w:lang w:val="es-ES"/>
        </w:rPr>
        <w:t xml:space="preserve">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w:t>
      </w:r>
      <w:r w:rsidRPr="00AA21C6">
        <w:rPr>
          <w:szCs w:val="22"/>
          <w:lang w:val="es-ES"/>
        </w:rPr>
        <w:lastRenderedPageBreak/>
        <w:t>divulgación oral y utilización anterior y en qué momento se produjeron tales divulgaciones o sacaron a la luz tales publicaciones.</w:t>
      </w:r>
      <w:r w:rsidRPr="00AA21C6">
        <w:rPr>
          <w:rStyle w:val="FootnoteReference"/>
          <w:szCs w:val="22"/>
          <w:lang w:val="es-ES"/>
        </w:rPr>
        <w:footnoteReference w:id="126"/>
      </w:r>
    </w:p>
    <w:p w:rsidR="00C0409B" w:rsidRPr="00AA21C6" w:rsidRDefault="00C0409B" w:rsidP="00C0409B">
      <w:pPr>
        <w:pStyle w:val="ONUMFS"/>
        <w:numPr>
          <w:ilvl w:val="0"/>
          <w:numId w:val="0"/>
        </w:numPr>
        <w:rPr>
          <w:szCs w:val="22"/>
          <w:lang w:val="es-ES"/>
        </w:rPr>
      </w:pPr>
      <w:r w:rsidRPr="00AA21C6">
        <w:rPr>
          <w:szCs w:val="22"/>
          <w:lang w:val="es-ES"/>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C0409B" w:rsidRPr="00AA21C6" w:rsidRDefault="00C0409B" w:rsidP="00C0409B">
      <w:pPr>
        <w:pStyle w:val="ONUMFS"/>
        <w:keepNext/>
        <w:keepLines/>
        <w:numPr>
          <w:ilvl w:val="0"/>
          <w:numId w:val="0"/>
        </w:numPr>
        <w:rPr>
          <w:szCs w:val="22"/>
          <w:lang w:val="es-ES"/>
        </w:rPr>
      </w:pPr>
      <w:r w:rsidRPr="00AA21C6">
        <w:rPr>
          <w:szCs w:val="22"/>
          <w:lang w:val="es-ES"/>
        </w:rPr>
        <w:t xml:space="preserve">En el caso de Europa, en el artículo 54.2 del </w:t>
      </w:r>
      <w:r w:rsidRPr="005C21FD">
        <w:rPr>
          <w:i/>
          <w:szCs w:val="22"/>
          <w:lang w:val="es-ES"/>
        </w:rPr>
        <w:t>Convenio sobre la Patente Europea</w:t>
      </w:r>
      <w:r w:rsidRPr="00AA21C6">
        <w:rPr>
          <w:szCs w:val="22"/>
          <w:lang w:val="es-ES"/>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5C21FD">
        <w:rPr>
          <w:i/>
          <w:szCs w:val="22"/>
          <w:lang w:val="es-ES"/>
        </w:rPr>
        <w:t>Directrices de Examen de la Oficina Europea de Patentes</w:t>
      </w:r>
      <w:r w:rsidRPr="00AA21C6">
        <w:rPr>
          <w:szCs w:val="22"/>
          <w:lang w:val="es-ES"/>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AA21C6">
        <w:rPr>
          <w:rStyle w:val="FootnoteReference"/>
          <w:szCs w:val="22"/>
          <w:lang w:val="es-ES"/>
        </w:rPr>
        <w:footnoteReference w:id="127"/>
      </w:r>
    </w:p>
    <w:p w:rsidR="00C0409B" w:rsidRPr="00AA21C6" w:rsidRDefault="00C0409B" w:rsidP="00C0409B">
      <w:pPr>
        <w:pStyle w:val="ONUMFS"/>
        <w:numPr>
          <w:ilvl w:val="0"/>
          <w:numId w:val="0"/>
        </w:numPr>
        <w:rPr>
          <w:szCs w:val="22"/>
          <w:lang w:val="es-ES"/>
        </w:rPr>
      </w:pPr>
      <w:r w:rsidRPr="00AA21C6">
        <w:rPr>
          <w:szCs w:val="22"/>
          <w:lang w:val="es-ES"/>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C0409B" w:rsidRPr="00AA21C6" w:rsidRDefault="00C0409B" w:rsidP="00C0409B">
      <w:pPr>
        <w:pStyle w:val="ONUMFS"/>
        <w:numPr>
          <w:ilvl w:val="0"/>
          <w:numId w:val="0"/>
        </w:numPr>
        <w:rPr>
          <w:szCs w:val="22"/>
          <w:lang w:val="es-ES"/>
        </w:rPr>
      </w:pPr>
      <w:r w:rsidRPr="00AA21C6">
        <w:rPr>
          <w:szCs w:val="22"/>
          <w:lang w:val="es-ES"/>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C0409B" w:rsidRPr="00AA21C6" w:rsidRDefault="00C0409B" w:rsidP="00C0409B">
      <w:pPr>
        <w:pStyle w:val="ONUMFS"/>
        <w:numPr>
          <w:ilvl w:val="0"/>
          <w:numId w:val="0"/>
        </w:numPr>
        <w:rPr>
          <w:b/>
          <w:bCs/>
          <w:szCs w:val="22"/>
          <w:lang w:val="es-ES"/>
        </w:rPr>
      </w:pPr>
      <w:r w:rsidRPr="00AA21C6">
        <w:rPr>
          <w:b/>
          <w:bCs/>
          <w:szCs w:val="22"/>
          <w:lang w:val="es-ES"/>
        </w:rPr>
        <w:t>Protección</w:t>
      </w:r>
    </w:p>
    <w:p w:rsidR="00C0409B" w:rsidRPr="00AA21C6" w:rsidRDefault="00C0409B" w:rsidP="00C0409B">
      <w:pPr>
        <w:pStyle w:val="ONUMFS"/>
        <w:numPr>
          <w:ilvl w:val="0"/>
          <w:numId w:val="0"/>
        </w:numPr>
        <w:rPr>
          <w:szCs w:val="22"/>
          <w:lang w:val="es-ES"/>
        </w:rPr>
      </w:pPr>
      <w:r w:rsidRPr="00AA21C6">
        <w:rPr>
          <w:szCs w:val="22"/>
          <w:lang w:val="es-ES"/>
        </w:rPr>
        <w:t>En el contexto del CIG, por “protección” se entiende generalmente la protección de los conocimientos tradicionales y las expresiones culturales tradicionales contra algún tipo de utilización no autorizada por terceros.</w:t>
      </w:r>
      <w:r w:rsidRPr="00AA21C6">
        <w:rPr>
          <w:rStyle w:val="FootnoteReference"/>
          <w:szCs w:val="22"/>
          <w:lang w:val="es-ES"/>
        </w:rPr>
        <w:footnoteReference w:id="128"/>
      </w:r>
      <w:r w:rsidRPr="00AA21C6">
        <w:rPr>
          <w:szCs w:val="22"/>
          <w:lang w:val="es-ES"/>
        </w:rPr>
        <w:t xml:space="preserve">  Se han desarrollado y aplicado dos formas de protección.</w:t>
      </w:r>
    </w:p>
    <w:p w:rsidR="00C0409B" w:rsidRPr="00AA21C6" w:rsidRDefault="00C0409B" w:rsidP="00C0409B">
      <w:pPr>
        <w:pStyle w:val="ONUMFS"/>
        <w:numPr>
          <w:ilvl w:val="0"/>
          <w:numId w:val="0"/>
        </w:numPr>
        <w:rPr>
          <w:szCs w:val="22"/>
          <w:lang w:val="es-ES"/>
        </w:rPr>
      </w:pPr>
      <w:r w:rsidRPr="00AA21C6">
        <w:rPr>
          <w:i/>
          <w:iCs/>
          <w:szCs w:val="22"/>
          <w:u w:val="single"/>
          <w:lang w:val="es-ES"/>
        </w:rPr>
        <w:t>Protección positiva</w:t>
      </w:r>
    </w:p>
    <w:p w:rsidR="00C0409B" w:rsidRPr="00AA21C6" w:rsidRDefault="00C0409B" w:rsidP="00C0409B">
      <w:pPr>
        <w:pStyle w:val="ONUMFS"/>
        <w:numPr>
          <w:ilvl w:val="0"/>
          <w:numId w:val="0"/>
        </w:numPr>
        <w:rPr>
          <w:szCs w:val="22"/>
          <w:lang w:val="es-ES"/>
        </w:rPr>
      </w:pPr>
      <w:r w:rsidRPr="00AA21C6">
        <w:rPr>
          <w:szCs w:val="22"/>
          <w:lang w:val="es-ES"/>
        </w:rPr>
        <w:t xml:space="preserve">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w:t>
      </w:r>
      <w:r w:rsidRPr="00AA21C6">
        <w:rPr>
          <w:szCs w:val="22"/>
          <w:lang w:val="es-ES"/>
        </w:rPr>
        <w:lastRenderedPageBreak/>
        <w:t>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AA21C6">
        <w:rPr>
          <w:rStyle w:val="FootnoteReference"/>
          <w:szCs w:val="22"/>
          <w:lang w:val="es-ES"/>
        </w:rPr>
        <w:footnoteReference w:id="129"/>
      </w:r>
      <w:r w:rsidRPr="00AA21C6">
        <w:rPr>
          <w:szCs w:val="22"/>
          <w:lang w:val="es-ES"/>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AA21C6">
        <w:rPr>
          <w:rStyle w:val="FootnoteReference"/>
          <w:szCs w:val="22"/>
          <w:lang w:val="es-ES"/>
        </w:rPr>
        <w:footnoteReference w:id="130"/>
      </w:r>
    </w:p>
    <w:p w:rsidR="00C0409B" w:rsidRPr="00AA21C6" w:rsidRDefault="00C0409B" w:rsidP="00C0409B">
      <w:pPr>
        <w:pStyle w:val="ONUMFS"/>
        <w:keepNext/>
        <w:numPr>
          <w:ilvl w:val="0"/>
          <w:numId w:val="0"/>
        </w:numPr>
        <w:rPr>
          <w:i/>
          <w:szCs w:val="22"/>
          <w:u w:val="single"/>
          <w:lang w:val="es-ES"/>
        </w:rPr>
      </w:pPr>
      <w:r w:rsidRPr="00AA21C6">
        <w:rPr>
          <w:i/>
          <w:szCs w:val="22"/>
          <w:u w:val="single"/>
          <w:lang w:val="es-ES"/>
        </w:rPr>
        <w:t>Protección preventiva</w:t>
      </w:r>
    </w:p>
    <w:p w:rsidR="00C0409B" w:rsidRPr="00AA21C6" w:rsidRDefault="00C0409B" w:rsidP="00C0409B">
      <w:pPr>
        <w:pStyle w:val="ONUMFS"/>
        <w:keepNext/>
        <w:numPr>
          <w:ilvl w:val="0"/>
          <w:numId w:val="0"/>
        </w:numPr>
        <w:rPr>
          <w:szCs w:val="22"/>
          <w:lang w:val="es-ES"/>
        </w:rPr>
      </w:pPr>
      <w:r w:rsidRPr="00AA21C6">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AA21C6">
        <w:rPr>
          <w:rStyle w:val="FootnoteReference"/>
          <w:szCs w:val="22"/>
          <w:lang w:val="es-ES"/>
        </w:rPr>
        <w:footnoteReference w:id="131"/>
      </w:r>
      <w:r w:rsidRPr="00AA21C6">
        <w:rPr>
          <w:szCs w:val="22"/>
          <w:lang w:val="es-ES"/>
        </w:rPr>
        <w:t xml:space="preserve">  La protección preventiva de los conocimientos tradicionales prevé medidas para impedir o invalidar patentes que reivindican ilegítimamente como invenciones conocimientos tradicionales preexistentes.</w:t>
      </w:r>
    </w:p>
    <w:p w:rsidR="00C0409B" w:rsidRPr="00AA21C6" w:rsidRDefault="00C0409B" w:rsidP="00C0409B">
      <w:pPr>
        <w:pStyle w:val="ONUMFS"/>
        <w:numPr>
          <w:ilvl w:val="0"/>
          <w:numId w:val="0"/>
        </w:numPr>
        <w:rPr>
          <w:b/>
          <w:bCs/>
          <w:szCs w:val="22"/>
          <w:lang w:val="es-ES"/>
        </w:rPr>
      </w:pPr>
      <w:r w:rsidRPr="00AA21C6">
        <w:rPr>
          <w:b/>
          <w:bCs/>
          <w:szCs w:val="22"/>
          <w:lang w:val="es-ES"/>
        </w:rPr>
        <w:t>Protocolo</w:t>
      </w:r>
    </w:p>
    <w:p w:rsidR="00C0409B" w:rsidRPr="00AA21C6" w:rsidRDefault="00C0409B" w:rsidP="00C0409B">
      <w:pPr>
        <w:pStyle w:val="ONUMFS"/>
        <w:numPr>
          <w:ilvl w:val="0"/>
          <w:numId w:val="0"/>
        </w:numPr>
        <w:rPr>
          <w:szCs w:val="22"/>
          <w:lang w:val="es-ES"/>
        </w:rPr>
      </w:pPr>
      <w:r w:rsidRPr="00AA21C6">
        <w:rPr>
          <w:szCs w:val="22"/>
          <w:lang w:val="es-ES"/>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AA21C6">
        <w:rPr>
          <w:rStyle w:val="FootnoteReference"/>
          <w:szCs w:val="22"/>
          <w:lang w:val="es-ES"/>
        </w:rPr>
        <w:footnoteReference w:id="132"/>
      </w:r>
    </w:p>
    <w:p w:rsidR="00C0409B" w:rsidRPr="00AA21C6" w:rsidRDefault="00C0409B" w:rsidP="00C0409B">
      <w:pPr>
        <w:pStyle w:val="ONUMFS"/>
        <w:numPr>
          <w:ilvl w:val="0"/>
          <w:numId w:val="0"/>
        </w:numPr>
        <w:rPr>
          <w:b/>
          <w:bCs/>
          <w:szCs w:val="22"/>
          <w:lang w:val="es-ES"/>
        </w:rPr>
      </w:pPr>
      <w:r w:rsidRPr="00AA21C6">
        <w:rPr>
          <w:b/>
          <w:bCs/>
          <w:szCs w:val="22"/>
          <w:lang w:val="es-ES"/>
        </w:rPr>
        <w:t>Proveedores y beneficiarios</w:t>
      </w:r>
    </w:p>
    <w:p w:rsidR="00C0409B" w:rsidRPr="00AA21C6" w:rsidRDefault="00C0409B" w:rsidP="00C0409B">
      <w:pPr>
        <w:pStyle w:val="ONUMFS"/>
        <w:numPr>
          <w:ilvl w:val="0"/>
          <w:numId w:val="0"/>
        </w:numPr>
        <w:rPr>
          <w:szCs w:val="22"/>
          <w:lang w:val="es-ES"/>
        </w:rPr>
      </w:pPr>
      <w:r w:rsidRPr="00AA21C6">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AA21C6">
        <w:rPr>
          <w:rStyle w:val="FootnoteReference"/>
          <w:szCs w:val="22"/>
          <w:lang w:val="es-ES"/>
        </w:rPr>
        <w:footnoteReference w:id="133"/>
      </w:r>
    </w:p>
    <w:p w:rsidR="00C0409B" w:rsidRPr="00AA21C6" w:rsidRDefault="00C0409B" w:rsidP="00C0409B">
      <w:pPr>
        <w:pStyle w:val="ONUMFS"/>
        <w:numPr>
          <w:ilvl w:val="0"/>
          <w:numId w:val="0"/>
        </w:numPr>
        <w:rPr>
          <w:b/>
          <w:bCs/>
          <w:kern w:val="36"/>
          <w:szCs w:val="22"/>
          <w:lang w:val="es-ES"/>
        </w:rPr>
      </w:pPr>
      <w:r w:rsidRPr="00AA21C6">
        <w:rPr>
          <w:b/>
          <w:bCs/>
          <w:kern w:val="36"/>
          <w:szCs w:val="22"/>
          <w:lang w:val="es-ES"/>
        </w:rPr>
        <w:t>Dominio público</w:t>
      </w:r>
    </w:p>
    <w:p w:rsidR="00C0409B" w:rsidRPr="00AA21C6" w:rsidRDefault="00C0409B" w:rsidP="00C0409B">
      <w:pPr>
        <w:pStyle w:val="ONUMFS"/>
        <w:numPr>
          <w:ilvl w:val="0"/>
          <w:numId w:val="0"/>
        </w:numPr>
        <w:rPr>
          <w:szCs w:val="22"/>
          <w:lang w:val="es-ES"/>
        </w:rPr>
      </w:pPr>
      <w:r w:rsidRPr="00AA21C6">
        <w:rPr>
          <w:szCs w:val="22"/>
          <w:lang w:val="es-ES"/>
        </w:rPr>
        <w:t>En general, se considera que una obra forma parte del dominio público si no existe una restricción jurídica sobre su uso por parte del público.</w:t>
      </w:r>
      <w:r w:rsidRPr="00AA21C6">
        <w:rPr>
          <w:rStyle w:val="FootnoteReference"/>
          <w:szCs w:val="22"/>
          <w:lang w:val="es-ES"/>
        </w:rPr>
        <w:footnoteReference w:id="134"/>
      </w:r>
    </w:p>
    <w:p w:rsidR="00C0409B" w:rsidRPr="00AA21C6" w:rsidRDefault="00C0409B" w:rsidP="00C0409B">
      <w:pPr>
        <w:pStyle w:val="ONUMFS"/>
        <w:numPr>
          <w:ilvl w:val="0"/>
          <w:numId w:val="0"/>
        </w:numPr>
        <w:rPr>
          <w:szCs w:val="22"/>
          <w:lang w:val="es-ES"/>
        </w:rPr>
      </w:pPr>
      <w:r w:rsidRPr="00AA21C6">
        <w:rPr>
          <w:szCs w:val="22"/>
          <w:lang w:val="es-ES"/>
        </w:rPr>
        <w:lastRenderedPageBreak/>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AA21C6">
        <w:rPr>
          <w:rStyle w:val="FootnoteReference"/>
          <w:szCs w:val="22"/>
          <w:lang w:val="es-ES"/>
        </w:rPr>
        <w:footnoteReference w:id="135"/>
      </w:r>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4" w:name="sdfootnote52anc"/>
      <w:r w:rsidRPr="00AA21C6">
        <w:rPr>
          <w:rStyle w:val="FootnoteReference"/>
          <w:szCs w:val="22"/>
          <w:lang w:val="es-ES"/>
        </w:rPr>
        <w:footnoteReference w:id="136"/>
      </w:r>
      <w:bookmarkEnd w:id="14"/>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AA21C6">
        <w:rPr>
          <w:rStyle w:val="FootnoteReference"/>
          <w:szCs w:val="22"/>
          <w:lang w:val="es-ES"/>
        </w:rPr>
        <w:footnoteReference w:id="137"/>
      </w:r>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C0409B" w:rsidRPr="00AA21C6" w:rsidRDefault="00C0409B" w:rsidP="00C0409B">
      <w:pPr>
        <w:pStyle w:val="ONUMFS"/>
        <w:numPr>
          <w:ilvl w:val="0"/>
          <w:numId w:val="0"/>
        </w:numPr>
        <w:rPr>
          <w:b/>
          <w:szCs w:val="22"/>
          <w:lang w:val="es-ES"/>
        </w:rPr>
      </w:pPr>
      <w:r w:rsidRPr="00AA21C6">
        <w:rPr>
          <w:b/>
          <w:bCs/>
          <w:szCs w:val="22"/>
          <w:lang w:val="es-ES"/>
        </w:rPr>
        <w:t>Disponibilidad pública</w:t>
      </w:r>
    </w:p>
    <w:p w:rsidR="00C0409B" w:rsidRPr="00AA21C6" w:rsidRDefault="00C0409B" w:rsidP="00C0409B">
      <w:pPr>
        <w:pStyle w:val="ONUMFS"/>
        <w:numPr>
          <w:ilvl w:val="0"/>
          <w:numId w:val="0"/>
        </w:numPr>
        <w:rPr>
          <w:szCs w:val="22"/>
          <w:lang w:val="es-ES"/>
        </w:rPr>
      </w:pPr>
      <w:r w:rsidRPr="00AA21C6">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AA21C6">
        <w:rPr>
          <w:iCs/>
          <w:szCs w:val="22"/>
          <w:lang w:val="es-ES"/>
        </w:rPr>
        <w:t xml:space="preserve">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w:t>
      </w:r>
      <w:r w:rsidRPr="00AA21C6">
        <w:rPr>
          <w:iCs/>
          <w:szCs w:val="22"/>
          <w:lang w:val="es-ES"/>
        </w:rPr>
        <w:lastRenderedPageBreak/>
        <w:t>fundamentado previo otorgado con anterioridad.  Cuando no se pueda identificar a un titular, el Estado, por ejemplo, podría adoptar una decisión respecto a los beneficiarios.”</w:t>
      </w:r>
      <w:r w:rsidRPr="00AA21C6">
        <w:rPr>
          <w:rStyle w:val="FootnoteReference"/>
          <w:iCs/>
          <w:szCs w:val="22"/>
          <w:lang w:val="es-ES"/>
        </w:rPr>
        <w:footnoteReference w:id="138"/>
      </w:r>
    </w:p>
    <w:p w:rsidR="00C0409B" w:rsidRPr="00AA21C6" w:rsidRDefault="00C0409B" w:rsidP="00C0409B">
      <w:pPr>
        <w:pStyle w:val="ONUMFS"/>
        <w:numPr>
          <w:ilvl w:val="0"/>
          <w:numId w:val="0"/>
        </w:numPr>
        <w:rPr>
          <w:szCs w:val="22"/>
          <w:lang w:val="es-ES"/>
        </w:rPr>
      </w:pPr>
      <w:r w:rsidRPr="00AA21C6">
        <w:rPr>
          <w:szCs w:val="22"/>
          <w:lang w:val="es-ES"/>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C0409B" w:rsidRPr="00AA21C6" w:rsidRDefault="00C0409B" w:rsidP="00C0409B">
      <w:pPr>
        <w:pStyle w:val="ONUMFS"/>
        <w:keepNext/>
        <w:numPr>
          <w:ilvl w:val="0"/>
          <w:numId w:val="0"/>
        </w:numPr>
        <w:rPr>
          <w:b/>
          <w:szCs w:val="22"/>
          <w:lang w:val="es-ES"/>
        </w:rPr>
      </w:pPr>
      <w:r w:rsidRPr="00AA21C6">
        <w:rPr>
          <w:b/>
          <w:bCs/>
          <w:szCs w:val="22"/>
          <w:lang w:val="es-ES"/>
        </w:rPr>
        <w:t>Registros de conocimientos tradicionales</w:t>
      </w:r>
    </w:p>
    <w:p w:rsidR="00C0409B" w:rsidRPr="00AA21C6" w:rsidRDefault="00C0409B" w:rsidP="00C0409B">
      <w:pPr>
        <w:pStyle w:val="ONUMFS"/>
        <w:keepNext/>
        <w:numPr>
          <w:ilvl w:val="0"/>
          <w:numId w:val="0"/>
        </w:numPr>
        <w:rPr>
          <w:szCs w:val="22"/>
          <w:lang w:val="es-ES"/>
        </w:rPr>
      </w:pPr>
      <w:r w:rsidRPr="00AA21C6">
        <w:rPr>
          <w:szCs w:val="22"/>
          <w:lang w:val="es-ES"/>
        </w:rPr>
        <w:t>Los registros se pueden analizar desde varias perspectivas distintas.  Según su naturaleza jurídica, los registros pueden ser o bien declarativos o bien constitutivos en función del sistema en el que se basan.</w:t>
      </w:r>
      <w:r w:rsidRPr="00AA21C6">
        <w:rPr>
          <w:rStyle w:val="FootnoteReference"/>
          <w:szCs w:val="22"/>
          <w:lang w:val="es-ES"/>
        </w:rPr>
        <w:footnoteReference w:id="139"/>
      </w:r>
    </w:p>
    <w:p w:rsidR="00C0409B" w:rsidRPr="00AA21C6" w:rsidRDefault="00C0409B" w:rsidP="00C0409B">
      <w:pPr>
        <w:pStyle w:val="ONUMFS"/>
        <w:numPr>
          <w:ilvl w:val="0"/>
          <w:numId w:val="0"/>
        </w:numPr>
        <w:rPr>
          <w:szCs w:val="22"/>
          <w:lang w:val="es-ES"/>
        </w:rPr>
      </w:pPr>
      <w:r w:rsidRPr="00AA21C6">
        <w:rPr>
          <w:szCs w:val="22"/>
          <w:lang w:val="es-ES"/>
        </w:rPr>
        <w:t>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AA21C6">
        <w:rPr>
          <w:rStyle w:val="FootnoteReference"/>
          <w:szCs w:val="22"/>
          <w:lang w:val="es-ES"/>
        </w:rPr>
        <w:footnoteReference w:id="140"/>
      </w:r>
    </w:p>
    <w:p w:rsidR="00C0409B" w:rsidRPr="00AA21C6" w:rsidRDefault="00C0409B" w:rsidP="00C0409B">
      <w:pPr>
        <w:pStyle w:val="ONUMFS"/>
        <w:numPr>
          <w:ilvl w:val="0"/>
          <w:numId w:val="0"/>
        </w:numPr>
        <w:rPr>
          <w:szCs w:val="22"/>
          <w:lang w:val="es-ES"/>
        </w:rPr>
      </w:pPr>
      <w:r w:rsidRPr="00AA21C6">
        <w:rPr>
          <w:szCs w:val="22"/>
          <w:lang w:val="es-ES"/>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AA21C6">
        <w:rPr>
          <w:rStyle w:val="FootnoteReference"/>
          <w:szCs w:val="22"/>
          <w:lang w:val="es-ES"/>
        </w:rPr>
        <w:footnoteReference w:id="141"/>
      </w:r>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AA21C6">
        <w:rPr>
          <w:iCs/>
          <w:szCs w:val="22"/>
          <w:lang w:val="es-ES"/>
        </w:rPr>
        <w:t xml:space="preserve"> </w:t>
      </w:r>
      <w:r w:rsidRPr="00AA21C6">
        <w:rPr>
          <w:szCs w:val="22"/>
          <w:lang w:val="es-ES"/>
        </w:rPr>
        <w:t>se estipula que “</w:t>
      </w:r>
      <w:r w:rsidRPr="00AA21C6">
        <w:rPr>
          <w:iCs/>
          <w:szCs w:val="22"/>
          <w:lang w:val="es-ES"/>
        </w:rPr>
        <w:t xml:space="preserve">[l]os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w:t>
      </w:r>
      <w:r w:rsidRPr="00AA21C6">
        <w:rPr>
          <w:iCs/>
          <w:szCs w:val="22"/>
          <w:lang w:val="es-ES"/>
        </w:rPr>
        <w:lastRenderedPageBreak/>
        <w:t>pueblos indígenas con relación a sus conocimientos colectivos</w:t>
      </w:r>
      <w:r w:rsidRPr="00AA21C6">
        <w:rPr>
          <w:szCs w:val="22"/>
          <w:lang w:val="es-ES"/>
        </w:rPr>
        <w:t>”.</w:t>
      </w:r>
      <w:r w:rsidRPr="00AA21C6">
        <w:rPr>
          <w:rStyle w:val="FootnoteReference"/>
          <w:szCs w:val="22"/>
          <w:lang w:val="es-ES"/>
        </w:rPr>
        <w:footnoteReference w:id="142"/>
      </w:r>
      <w:r w:rsidRPr="00AA21C6">
        <w:rPr>
          <w:szCs w:val="22"/>
          <w:lang w:val="es-ES"/>
        </w:rPr>
        <w:t xml:space="preserve">  En el artículo 15 se estipula además que “</w:t>
      </w:r>
      <w:r w:rsidRPr="00AA21C6">
        <w:rPr>
          <w:iCs/>
          <w:szCs w:val="22"/>
          <w:lang w:val="es-ES"/>
        </w:rPr>
        <w:t>[l]</w:t>
      </w:r>
      <w:r w:rsidRPr="00AA21C6">
        <w:rPr>
          <w:szCs w:val="22"/>
          <w:lang w:val="es-ES"/>
        </w:rPr>
        <w:t>os conocimientos colectivos de los pueblos indígenas podrán ser inscritos en tres tipos de registros</w:t>
      </w:r>
      <w:r w:rsidRPr="00AA21C6">
        <w:rPr>
          <w:iCs/>
          <w:szCs w:val="22"/>
          <w:lang w:val="es-ES"/>
        </w:rPr>
        <w:t>:  (a)</w:t>
      </w:r>
      <w:r w:rsidRPr="00AA21C6">
        <w:rPr>
          <w:szCs w:val="22"/>
          <w:lang w:val="es-ES"/>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AA21C6">
        <w:rPr>
          <w:i/>
          <w:iCs/>
          <w:szCs w:val="22"/>
          <w:lang w:val="es-ES"/>
        </w:rPr>
        <w:t>.</w:t>
      </w:r>
      <w:r w:rsidRPr="00AA21C6">
        <w:rPr>
          <w:szCs w:val="22"/>
          <w:lang w:val="es-ES"/>
        </w:rPr>
        <w:t>”</w:t>
      </w:r>
    </w:p>
    <w:p w:rsidR="00C0409B" w:rsidRPr="00AA21C6" w:rsidRDefault="00C0409B" w:rsidP="00C0409B">
      <w:pPr>
        <w:pStyle w:val="ONUMFS"/>
        <w:keepNext/>
        <w:numPr>
          <w:ilvl w:val="0"/>
          <w:numId w:val="0"/>
        </w:numPr>
        <w:rPr>
          <w:b/>
          <w:bCs/>
          <w:kern w:val="36"/>
          <w:szCs w:val="22"/>
          <w:lang w:val="es-ES"/>
        </w:rPr>
      </w:pPr>
      <w:r w:rsidRPr="00AA21C6">
        <w:rPr>
          <w:b/>
          <w:bCs/>
          <w:kern w:val="36"/>
          <w:szCs w:val="22"/>
          <w:lang w:val="es-ES"/>
        </w:rPr>
        <w:t>Reputación</w:t>
      </w:r>
    </w:p>
    <w:p w:rsidR="00C0409B" w:rsidRPr="00AA21C6" w:rsidRDefault="00C0409B" w:rsidP="00C0409B">
      <w:pPr>
        <w:pStyle w:val="ONUMFS"/>
        <w:keepNext/>
        <w:numPr>
          <w:ilvl w:val="0"/>
          <w:numId w:val="0"/>
        </w:numPr>
        <w:rPr>
          <w:szCs w:val="22"/>
          <w:lang w:val="es-ES"/>
        </w:rPr>
      </w:pPr>
      <w:r w:rsidRPr="00AA21C6">
        <w:rPr>
          <w:szCs w:val="22"/>
          <w:lang w:val="es-ES"/>
        </w:rPr>
        <w:t>Según el Diccionario de la lengua española de la Real Academia Española, es el “prestigio o estima en que son tenidos alguien o algo”.  La reputación está amparada por los derechos morales del autor.</w:t>
      </w:r>
      <w:r w:rsidRPr="00AA21C6">
        <w:rPr>
          <w:rStyle w:val="FootnoteReference"/>
          <w:szCs w:val="22"/>
          <w:lang w:val="es-ES"/>
        </w:rPr>
        <w:footnoteReference w:id="143"/>
      </w:r>
      <w:r w:rsidRPr="00AA21C6">
        <w:rPr>
          <w:szCs w:val="22"/>
          <w:lang w:val="es-ES"/>
        </w:rPr>
        <w:t xml:space="preserve">  En la Conferencia de Revisión de Bruselas del </w:t>
      </w:r>
      <w:r w:rsidRPr="005C21FD">
        <w:rPr>
          <w:i/>
          <w:szCs w:val="22"/>
          <w:lang w:val="es-ES"/>
        </w:rPr>
        <w:t>Convenio de Berna</w:t>
      </w:r>
      <w:r w:rsidR="005C21FD">
        <w:rPr>
          <w:i/>
          <w:szCs w:val="22"/>
          <w:lang w:val="es-ES"/>
        </w:rPr>
        <w:t xml:space="preserve"> para la Protección de las Obras Literarias y Artísticas</w:t>
      </w:r>
      <w:r w:rsidR="005C21FD">
        <w:rPr>
          <w:szCs w:val="22"/>
          <w:lang w:val="es-ES"/>
        </w:rPr>
        <w:t xml:space="preserve"> (1971)</w:t>
      </w:r>
      <w:r w:rsidRPr="00AA21C6">
        <w:rPr>
          <w:szCs w:val="22"/>
          <w:lang w:val="es-ES"/>
        </w:rPr>
        <w:t xml:space="preserve">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AA21C6">
        <w:rPr>
          <w:rStyle w:val="FootnoteReference"/>
          <w:szCs w:val="22"/>
          <w:lang w:val="es-ES"/>
        </w:rPr>
        <w:footnoteReference w:id="144"/>
      </w:r>
    </w:p>
    <w:p w:rsidR="00C0409B" w:rsidRPr="00AA21C6" w:rsidRDefault="00C0409B" w:rsidP="00C0409B">
      <w:pPr>
        <w:pStyle w:val="ONUMFS"/>
        <w:numPr>
          <w:ilvl w:val="0"/>
          <w:numId w:val="0"/>
        </w:numPr>
        <w:rPr>
          <w:b/>
          <w:szCs w:val="22"/>
          <w:lang w:val="es-ES"/>
        </w:rPr>
      </w:pPr>
      <w:r w:rsidRPr="00AA21C6">
        <w:rPr>
          <w:b/>
          <w:szCs w:val="22"/>
          <w:lang w:val="es-ES"/>
        </w:rPr>
        <w:t>Sagrado</w:t>
      </w:r>
    </w:p>
    <w:p w:rsidR="00C0409B" w:rsidRPr="00AA21C6" w:rsidRDefault="00C0409B" w:rsidP="00C0409B">
      <w:pPr>
        <w:pStyle w:val="ONUMFS"/>
        <w:numPr>
          <w:ilvl w:val="0"/>
          <w:numId w:val="0"/>
        </w:numPr>
        <w:rPr>
          <w:szCs w:val="22"/>
          <w:lang w:val="es-ES"/>
        </w:rPr>
      </w:pPr>
      <w:r w:rsidRPr="00AA21C6">
        <w:rPr>
          <w:szCs w:val="22"/>
          <w:lang w:val="es-ES"/>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AA21C6">
        <w:rPr>
          <w:rStyle w:val="FootnoteReference"/>
          <w:szCs w:val="22"/>
          <w:lang w:val="es-ES"/>
        </w:rPr>
        <w:footnoteReference w:id="145"/>
      </w:r>
    </w:p>
    <w:p w:rsidR="00C0409B" w:rsidRPr="00AA21C6" w:rsidRDefault="00C0409B" w:rsidP="00C0409B">
      <w:pPr>
        <w:pStyle w:val="ONUMFS"/>
        <w:numPr>
          <w:ilvl w:val="0"/>
          <w:numId w:val="0"/>
        </w:numPr>
        <w:rPr>
          <w:szCs w:val="22"/>
          <w:lang w:val="es-ES"/>
        </w:rPr>
      </w:pPr>
      <w:r w:rsidRPr="00AA21C6">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5C21FD">
        <w:rPr>
          <w:i/>
          <w:szCs w:val="22"/>
          <w:lang w:val="es-ES"/>
        </w:rPr>
        <w:t>Informe de la OMPI relativo a las misiones exploratorias sobre propiedad intelectual y conocimientos tradicionales</w:t>
      </w:r>
      <w:r w:rsidRPr="00AA21C6">
        <w:rPr>
          <w:szCs w:val="22"/>
          <w:lang w:val="es-ES"/>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AA21C6">
        <w:rPr>
          <w:szCs w:val="22"/>
          <w:vertAlign w:val="superscript"/>
          <w:lang w:val="es-ES"/>
        </w:rPr>
        <w:t xml:space="preserve"> </w:t>
      </w:r>
      <w:r w:rsidRPr="00AA21C6">
        <w:rPr>
          <w:szCs w:val="22"/>
          <w:lang w:val="es-ES"/>
        </w:rPr>
        <w:t xml:space="preserve"> En ciertos sistemas de CC.TT., se supone que las creencias y los códigos culturales explican o guían las consecuencias de las actividades de la vida.</w:t>
      </w:r>
      <w:r w:rsidRPr="00AA21C6">
        <w:rPr>
          <w:rStyle w:val="FootnoteReference"/>
          <w:szCs w:val="22"/>
          <w:lang w:val="es-ES"/>
        </w:rPr>
        <w:footnoteReference w:id="146"/>
      </w:r>
      <w:r w:rsidRPr="00AA21C6">
        <w:rPr>
          <w:szCs w:val="22"/>
          <w:vertAlign w:val="superscript"/>
          <w:lang w:val="es-ES"/>
        </w:rPr>
        <w:t xml:space="preserve"> </w:t>
      </w:r>
      <w:r w:rsidRPr="00AA21C6">
        <w:rPr>
          <w:szCs w:val="22"/>
          <w:lang w:val="es-ES"/>
        </w:rPr>
        <w:t xml:space="preserve"> En el Perú, algunos “conocimientos </w:t>
      </w:r>
      <w:r w:rsidRPr="00AA21C6">
        <w:rPr>
          <w:szCs w:val="22"/>
          <w:lang w:val="es-ES"/>
        </w:rPr>
        <w:lastRenderedPageBreak/>
        <w:t>se transmitían de generación en generación en un ‘libro’ sagrado, no escrito”.</w:t>
      </w:r>
      <w:r w:rsidRPr="00AA21C6">
        <w:rPr>
          <w:rStyle w:val="FootnoteReference"/>
          <w:szCs w:val="22"/>
          <w:lang w:val="es-ES"/>
        </w:rPr>
        <w:footnoteReference w:id="147"/>
      </w:r>
      <w:r w:rsidRPr="00AA21C6">
        <w:rPr>
          <w:szCs w:val="22"/>
          <w:lang w:val="es-ES"/>
        </w:rPr>
        <w:t xml:space="preserve">  El núcleo de los CC.TT. sagrados y secretos es ponderado de distintas maneras en las comunidades indígenas y locales, y se almacena, se transmite y se registra de maneras diferentes.</w:t>
      </w:r>
    </w:p>
    <w:p w:rsidR="00C0409B" w:rsidRPr="00AA21C6" w:rsidRDefault="00C0409B" w:rsidP="00C0409B">
      <w:pPr>
        <w:pStyle w:val="ONUMFS"/>
        <w:numPr>
          <w:ilvl w:val="0"/>
          <w:numId w:val="0"/>
        </w:numPr>
        <w:rPr>
          <w:szCs w:val="22"/>
          <w:lang w:val="es-ES"/>
        </w:rPr>
      </w:pPr>
      <w:r w:rsidRPr="00AA21C6">
        <w:rPr>
          <w:szCs w:val="22"/>
          <w:lang w:val="es-ES"/>
        </w:rPr>
        <w:t>Desde la perspectiva de la P.I., y en particular de la labor del Comité, pueden formularse las observaciones siguientes:</w:t>
      </w:r>
    </w:p>
    <w:p w:rsidR="00C0409B" w:rsidRPr="00AA21C6" w:rsidRDefault="00C0409B" w:rsidP="00C0409B">
      <w:pPr>
        <w:pStyle w:val="ONUMFS"/>
        <w:numPr>
          <w:ilvl w:val="0"/>
          <w:numId w:val="50"/>
        </w:numPr>
        <w:tabs>
          <w:tab w:val="clear" w:pos="1741"/>
          <w:tab w:val="num" w:pos="-5103"/>
        </w:tabs>
        <w:ind w:left="567" w:firstLine="0"/>
        <w:rPr>
          <w:szCs w:val="22"/>
          <w:lang w:val="es-ES"/>
        </w:rPr>
      </w:pPr>
      <w:r w:rsidRPr="00AA21C6">
        <w:rPr>
          <w:szCs w:val="22"/>
          <w:lang w:val="es-ES"/>
        </w:rPr>
        <w:t>una delegación preguntó si los CC.TT. sagrados se tendrían en cuenta al examinar la protección por P.I. de los CC.TT.</w:t>
      </w:r>
      <w:r w:rsidRPr="00AA21C6">
        <w:rPr>
          <w:rStyle w:val="FootnoteReference"/>
          <w:szCs w:val="22"/>
          <w:lang w:val="es-ES"/>
        </w:rPr>
        <w:footnoteReference w:id="148"/>
      </w:r>
      <w:r w:rsidRPr="00AA21C6">
        <w:rPr>
          <w:szCs w:val="22"/>
          <w:lang w:val="es-ES"/>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5" w:name="sdfootnote53anc"/>
      <w:r w:rsidRPr="00AA21C6">
        <w:rPr>
          <w:rStyle w:val="FootnoteReference"/>
          <w:szCs w:val="22"/>
          <w:lang w:val="es-ES"/>
        </w:rPr>
        <w:footnoteReference w:id="149"/>
      </w:r>
      <w:bookmarkEnd w:id="15"/>
    </w:p>
    <w:p w:rsidR="00C0409B" w:rsidRPr="00AA21C6" w:rsidRDefault="00C0409B" w:rsidP="00C0409B">
      <w:pPr>
        <w:pStyle w:val="ONUMFS"/>
        <w:keepNext/>
        <w:keepLines/>
        <w:numPr>
          <w:ilvl w:val="0"/>
          <w:numId w:val="50"/>
        </w:numPr>
        <w:tabs>
          <w:tab w:val="clear" w:pos="1741"/>
          <w:tab w:val="num" w:pos="-5103"/>
        </w:tabs>
        <w:ind w:left="567" w:firstLine="0"/>
        <w:rPr>
          <w:szCs w:val="22"/>
          <w:lang w:val="es-ES"/>
        </w:rPr>
      </w:pPr>
      <w:r w:rsidRPr="00AA21C6">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AA21C6">
        <w:rPr>
          <w:rStyle w:val="FootnoteReference"/>
          <w:szCs w:val="22"/>
          <w:lang w:val="es-ES"/>
        </w:rPr>
        <w:footnoteReference w:id="150"/>
      </w:r>
    </w:p>
    <w:p w:rsidR="00C0409B" w:rsidRPr="00AA21C6" w:rsidRDefault="00C0409B" w:rsidP="00C0409B">
      <w:pPr>
        <w:pStyle w:val="ONUMFS"/>
        <w:numPr>
          <w:ilvl w:val="0"/>
          <w:numId w:val="0"/>
        </w:numPr>
        <w:rPr>
          <w:b/>
          <w:szCs w:val="22"/>
          <w:lang w:val="es-ES"/>
        </w:rPr>
      </w:pPr>
      <w:r w:rsidRPr="00AA21C6">
        <w:rPr>
          <w:b/>
          <w:szCs w:val="22"/>
          <w:lang w:val="es-ES"/>
        </w:rPr>
        <w:t>Salvaguardia</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5C21FD">
        <w:rPr>
          <w:i/>
          <w:szCs w:val="22"/>
          <w:lang w:val="es-ES"/>
        </w:rPr>
        <w:t>Convención para la Salvaguardia del Patrimonio Cultural Inmaterial</w:t>
      </w:r>
      <w:r w:rsidRPr="00AA21C6">
        <w:rPr>
          <w:szCs w:val="22"/>
          <w:lang w:val="es-ES"/>
        </w:rPr>
        <w:t xml:space="preserve"> (2003)</w:t>
      </w:r>
      <w:r w:rsidR="005C21FD">
        <w:rPr>
          <w:szCs w:val="22"/>
          <w:lang w:val="es-ES"/>
        </w:rPr>
        <w:t>, de la UNESCO,</w:t>
      </w:r>
      <w:r w:rsidRPr="00AA21C6">
        <w:rPr>
          <w:szCs w:val="22"/>
          <w:lang w:val="es-ES"/>
        </w:rPr>
        <w:t xml:space="preserve">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AA21C6">
        <w:rPr>
          <w:rStyle w:val="FootnoteReference"/>
          <w:szCs w:val="22"/>
          <w:lang w:val="es-ES"/>
        </w:rPr>
        <w:footnoteReference w:id="151"/>
      </w:r>
    </w:p>
    <w:p w:rsidR="00C0409B" w:rsidRPr="00AA21C6" w:rsidRDefault="00C0409B" w:rsidP="00C0409B">
      <w:pPr>
        <w:pStyle w:val="ONUMFS"/>
        <w:numPr>
          <w:ilvl w:val="0"/>
          <w:numId w:val="0"/>
        </w:numPr>
        <w:rPr>
          <w:b/>
          <w:szCs w:val="22"/>
          <w:lang w:val="es-ES"/>
        </w:rPr>
      </w:pPr>
      <w:r w:rsidRPr="00AA21C6">
        <w:rPr>
          <w:b/>
          <w:bCs/>
          <w:szCs w:val="22"/>
          <w:lang w:val="es-ES"/>
        </w:rPr>
        <w:t>Secreto</w:t>
      </w:r>
    </w:p>
    <w:p w:rsidR="00C0409B" w:rsidRPr="00AA21C6" w:rsidRDefault="00C0409B" w:rsidP="00C0409B">
      <w:pPr>
        <w:pStyle w:val="ONUMFS"/>
        <w:numPr>
          <w:ilvl w:val="0"/>
          <w:numId w:val="0"/>
        </w:numPr>
        <w:rPr>
          <w:szCs w:val="22"/>
          <w:lang w:val="es-ES"/>
        </w:rPr>
      </w:pPr>
      <w:r w:rsidRPr="00AA21C6">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AA21C6">
        <w:rPr>
          <w:rStyle w:val="FootnoteReference"/>
          <w:szCs w:val="22"/>
          <w:lang w:val="es-ES"/>
        </w:rPr>
        <w:footnoteReference w:id="152"/>
      </w:r>
    </w:p>
    <w:p w:rsidR="00C0409B" w:rsidRPr="00AA21C6" w:rsidRDefault="00C0409B" w:rsidP="00C0409B">
      <w:pPr>
        <w:pStyle w:val="ONUMFS"/>
        <w:numPr>
          <w:ilvl w:val="0"/>
          <w:numId w:val="0"/>
        </w:numPr>
        <w:rPr>
          <w:b/>
          <w:i/>
          <w:iCs/>
          <w:szCs w:val="22"/>
          <w:lang w:val="es-ES"/>
        </w:rPr>
      </w:pPr>
      <w:r w:rsidRPr="00AA21C6">
        <w:rPr>
          <w:rStyle w:val="Emphasis"/>
          <w:b/>
          <w:bCs/>
          <w:szCs w:val="22"/>
          <w:lang w:val="es-ES"/>
        </w:rPr>
        <w:lastRenderedPageBreak/>
        <w:t>Fuente de los recursos genéticos</w:t>
      </w:r>
    </w:p>
    <w:p w:rsidR="00C0409B" w:rsidRPr="00AA21C6" w:rsidRDefault="00C0409B" w:rsidP="00C0409B">
      <w:pPr>
        <w:pStyle w:val="ONUMFS"/>
        <w:numPr>
          <w:ilvl w:val="0"/>
          <w:numId w:val="0"/>
        </w:numPr>
        <w:rPr>
          <w:szCs w:val="22"/>
          <w:lang w:val="es-ES"/>
        </w:rPr>
      </w:pPr>
      <w:r w:rsidRPr="00AA21C6">
        <w:rPr>
          <w:szCs w:val="22"/>
          <w:lang w:val="es-ES"/>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AA21C6">
        <w:rPr>
          <w:rStyle w:val="FootnoteReference"/>
          <w:szCs w:val="22"/>
          <w:lang w:val="es-ES"/>
        </w:rPr>
        <w:footnoteReference w:id="153"/>
      </w:r>
      <w:r w:rsidRPr="00AA21C6">
        <w:rPr>
          <w:szCs w:val="22"/>
          <w:lang w:val="es-ES"/>
        </w:rPr>
        <w:t xml:space="preserve"> y, por último, el Sistema Multilateral del Tratado Internacional de la FAO,</w:t>
      </w:r>
      <w:r w:rsidRPr="00AA21C6">
        <w:rPr>
          <w:rStyle w:val="FootnoteReference"/>
          <w:szCs w:val="22"/>
          <w:lang w:val="es-ES"/>
        </w:rPr>
        <w:footnoteReference w:id="154"/>
      </w:r>
      <w:r w:rsidRPr="00AA21C6">
        <w:rPr>
          <w:szCs w:val="22"/>
          <w:lang w:val="es-ES"/>
        </w:rPr>
        <w:t xml:space="preserve"> las comunidades indígenas y locales;</w:t>
      </w:r>
      <w:bookmarkStart w:id="16" w:name="sdfootnote57anc"/>
      <w:r w:rsidRPr="00AA21C6">
        <w:rPr>
          <w:rStyle w:val="FootnoteReference"/>
          <w:szCs w:val="22"/>
          <w:lang w:val="es-ES"/>
        </w:rPr>
        <w:footnoteReference w:id="155"/>
      </w:r>
      <w:bookmarkEnd w:id="16"/>
      <w:r w:rsidRPr="00AA21C6">
        <w:rPr>
          <w:szCs w:val="22"/>
          <w:lang w:val="es-ES"/>
        </w:rPr>
        <w:t xml:space="preserve">  y las fuentes secundarias, incluidas en particular las colecciones </w:t>
      </w:r>
      <w:r w:rsidRPr="00AA21C6">
        <w:rPr>
          <w:i/>
          <w:szCs w:val="22"/>
          <w:lang w:val="es-ES"/>
        </w:rPr>
        <w:t>ex situ</w:t>
      </w:r>
      <w:r w:rsidRPr="00AA21C6">
        <w:rPr>
          <w:szCs w:val="22"/>
          <w:lang w:val="es-ES"/>
        </w:rPr>
        <w:t xml:space="preserve"> y la literatura científica”.</w:t>
      </w:r>
      <w:r w:rsidRPr="00AA21C6">
        <w:rPr>
          <w:rStyle w:val="FootnoteReference"/>
          <w:szCs w:val="22"/>
          <w:lang w:val="es-ES"/>
        </w:rPr>
        <w:footnoteReference w:id="156"/>
      </w:r>
    </w:p>
    <w:p w:rsidR="00C0409B" w:rsidRPr="00AA21C6" w:rsidRDefault="00C0409B" w:rsidP="00C0409B">
      <w:pPr>
        <w:pStyle w:val="ONUMFS"/>
        <w:keepNext/>
        <w:numPr>
          <w:ilvl w:val="0"/>
          <w:numId w:val="0"/>
        </w:numPr>
        <w:rPr>
          <w:b/>
          <w:bCs/>
          <w:iCs/>
          <w:szCs w:val="22"/>
          <w:lang w:val="es-ES"/>
        </w:rPr>
      </w:pPr>
      <w:r w:rsidRPr="00AA21C6">
        <w:rPr>
          <w:b/>
          <w:bCs/>
          <w:iCs/>
          <w:szCs w:val="22"/>
          <w:lang w:val="es-ES"/>
        </w:rPr>
        <w:t>Sui géneris</w:t>
      </w:r>
    </w:p>
    <w:p w:rsidR="00C0409B" w:rsidRPr="00AA21C6" w:rsidRDefault="00C0409B" w:rsidP="00C0409B">
      <w:pPr>
        <w:pStyle w:val="ONUMFS"/>
        <w:keepNext/>
        <w:numPr>
          <w:ilvl w:val="0"/>
          <w:numId w:val="0"/>
        </w:numPr>
        <w:rPr>
          <w:szCs w:val="22"/>
          <w:lang w:val="es-ES"/>
        </w:rPr>
      </w:pPr>
      <w:r w:rsidRPr="00AA21C6">
        <w:rPr>
          <w:szCs w:val="22"/>
          <w:lang w:val="es-ES"/>
        </w:rPr>
        <w:t>En el Diccionario de la lengua española de la Real Academia Española se define “sui géneris” como “([l]oc. lat.;  literalmente, 'de su género</w:t>
      </w:r>
      <w:r w:rsidR="008D49E2">
        <w:rPr>
          <w:szCs w:val="22"/>
          <w:lang w:val="es-ES"/>
        </w:rPr>
        <w:t xml:space="preserve">', 'de su especie'). loc. adj. </w:t>
      </w:r>
      <w:r w:rsidRPr="00AA21C6">
        <w:rPr>
          <w:szCs w:val="22"/>
          <w:lang w:val="es-ES"/>
        </w:rPr>
        <w:t xml:space="preserve">[d]icho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w:t>
      </w:r>
      <w:r w:rsidRPr="005C21FD">
        <w:rPr>
          <w:i/>
          <w:szCs w:val="22"/>
          <w:lang w:val="es-ES"/>
        </w:rPr>
        <w:t>Convenio Internacional para la Protección de las Obtenciones Vegetales</w:t>
      </w:r>
      <w:r w:rsidRPr="00AA21C6">
        <w:rPr>
          <w:szCs w:val="22"/>
          <w:lang w:val="es-ES"/>
        </w:rPr>
        <w:t xml:space="preserve"> de 1991 (“el Convenio de la UPOV”), y la protección de la propiedad intelectual de los circuitos integrados, como se refleja en el </w:t>
      </w:r>
      <w:r w:rsidRPr="005C21FD">
        <w:rPr>
          <w:i/>
          <w:szCs w:val="22"/>
          <w:lang w:val="es-ES"/>
        </w:rPr>
        <w:t>Tratado sobre la Propiedad Intelectual respecto de los Circuitos Integrados</w:t>
      </w:r>
      <w:r w:rsidRPr="00AA21C6">
        <w:rPr>
          <w:szCs w:val="22"/>
          <w:lang w:val="es-ES"/>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C0409B" w:rsidRPr="00AA21C6" w:rsidRDefault="00C0409B" w:rsidP="00C0409B">
      <w:pPr>
        <w:pStyle w:val="ONUMFS"/>
        <w:numPr>
          <w:ilvl w:val="0"/>
          <w:numId w:val="0"/>
        </w:numPr>
        <w:rPr>
          <w:b/>
          <w:bCs/>
          <w:szCs w:val="22"/>
          <w:lang w:val="es-ES"/>
        </w:rPr>
      </w:pPr>
      <w:r w:rsidRPr="00AA21C6">
        <w:rPr>
          <w:b/>
          <w:bCs/>
          <w:szCs w:val="22"/>
          <w:lang w:val="es-ES"/>
        </w:rPr>
        <w:t>Protocolo de Swakopmund sobre la Protección de los Conocimientos Tradicionales y las Expresiones del Folclore</w:t>
      </w:r>
    </w:p>
    <w:p w:rsidR="00C0409B" w:rsidRPr="00AA21C6" w:rsidRDefault="00C0409B" w:rsidP="00C0409B">
      <w:pPr>
        <w:pStyle w:val="ONUMFS"/>
        <w:numPr>
          <w:ilvl w:val="0"/>
          <w:numId w:val="0"/>
        </w:numPr>
        <w:rPr>
          <w:szCs w:val="22"/>
          <w:lang w:val="es-ES"/>
        </w:rPr>
      </w:pPr>
      <w:r w:rsidRPr="00AA21C6">
        <w:rPr>
          <w:szCs w:val="22"/>
          <w:lang w:val="es-ES"/>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C0409B" w:rsidRPr="00AA21C6" w:rsidRDefault="00C0409B" w:rsidP="005C21FD">
      <w:pPr>
        <w:pStyle w:val="ONUMFS"/>
        <w:keepNext/>
        <w:numPr>
          <w:ilvl w:val="0"/>
          <w:numId w:val="0"/>
        </w:numPr>
        <w:rPr>
          <w:b/>
          <w:bCs/>
          <w:szCs w:val="22"/>
          <w:lang w:val="es-ES"/>
        </w:rPr>
      </w:pPr>
      <w:r w:rsidRPr="00AA21C6">
        <w:rPr>
          <w:b/>
          <w:bCs/>
          <w:szCs w:val="22"/>
          <w:lang w:val="es-ES"/>
        </w:rPr>
        <w:lastRenderedPageBreak/>
        <w:t>Expresiones materiales (o tangibles)</w:t>
      </w:r>
    </w:p>
    <w:p w:rsidR="00C0409B" w:rsidRPr="00AA21C6" w:rsidRDefault="00C0409B" w:rsidP="00C0409B">
      <w:pPr>
        <w:pStyle w:val="ONUMFS"/>
        <w:numPr>
          <w:ilvl w:val="0"/>
          <w:numId w:val="0"/>
        </w:numPr>
        <w:rPr>
          <w:szCs w:val="22"/>
          <w:lang w:val="es-ES"/>
        </w:rPr>
      </w:pPr>
      <w:r w:rsidRPr="00AA21C6">
        <w:rPr>
          <w:szCs w:val="22"/>
          <w:lang w:val="es-ES"/>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C0409B" w:rsidRPr="00AA21C6" w:rsidRDefault="00C0409B" w:rsidP="00C0409B">
      <w:pPr>
        <w:pStyle w:val="ONUMFS"/>
        <w:numPr>
          <w:ilvl w:val="0"/>
          <w:numId w:val="0"/>
        </w:numPr>
        <w:rPr>
          <w:szCs w:val="22"/>
          <w:lang w:val="es-ES"/>
        </w:rPr>
      </w:pPr>
      <w:r w:rsidRPr="00AA21C6">
        <w:rPr>
          <w:szCs w:val="22"/>
          <w:lang w:val="es-ES"/>
        </w:rPr>
        <w:t>Las expresiones tangibles son las expresiones incorporadas en objetos materiales.</w:t>
      </w:r>
      <w:r w:rsidRPr="00AA21C6">
        <w:rPr>
          <w:rStyle w:val="FootnoteReference"/>
          <w:szCs w:val="22"/>
          <w:lang w:val="es-ES"/>
        </w:rPr>
        <w:footnoteReference w:id="157"/>
      </w:r>
      <w:r w:rsidRPr="00AA21C6">
        <w:rPr>
          <w:szCs w:val="22"/>
          <w:lang w:val="es-ES"/>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C0409B" w:rsidRPr="00AA21C6" w:rsidRDefault="00C0409B" w:rsidP="00C0409B">
      <w:pPr>
        <w:pStyle w:val="ONUMFS"/>
        <w:numPr>
          <w:ilvl w:val="0"/>
          <w:numId w:val="0"/>
        </w:numPr>
        <w:ind w:left="1134" w:hanging="584"/>
        <w:rPr>
          <w:szCs w:val="22"/>
          <w:lang w:val="es-ES"/>
        </w:rPr>
      </w:pPr>
      <w:r w:rsidRPr="00AA21C6">
        <w:rPr>
          <w:szCs w:val="22"/>
          <w:lang w:val="es-ES"/>
        </w:rPr>
        <w:t>a)</w:t>
      </w:r>
      <w:r w:rsidRPr="00AA21C6">
        <w:rPr>
          <w:szCs w:val="22"/>
          <w:lang w:val="es-ES"/>
        </w:rPr>
        <w:tab/>
        <w:t>las obras de arte popular y tradicional, tales como:  dibujos, pinturas, tallas, esculturas, alfarería, terracota, mosaico, ebanistería, forja, joyería, cestería, labores de punto, textiles, tapices, trajes;</w:t>
      </w:r>
    </w:p>
    <w:p w:rsidR="00C0409B" w:rsidRPr="00AA21C6" w:rsidRDefault="00C0409B" w:rsidP="00C0409B">
      <w:pPr>
        <w:pStyle w:val="ONUMFS"/>
        <w:numPr>
          <w:ilvl w:val="0"/>
          <w:numId w:val="0"/>
        </w:numPr>
        <w:ind w:left="1134" w:hanging="584"/>
        <w:rPr>
          <w:szCs w:val="22"/>
          <w:lang w:val="es-ES"/>
        </w:rPr>
      </w:pPr>
      <w:r w:rsidRPr="00AA21C6">
        <w:rPr>
          <w:szCs w:val="22"/>
          <w:lang w:val="es-ES"/>
        </w:rPr>
        <w:t>b)</w:t>
      </w:r>
      <w:r w:rsidRPr="00AA21C6">
        <w:rPr>
          <w:szCs w:val="22"/>
          <w:lang w:val="es-ES"/>
        </w:rPr>
        <w:tab/>
        <w:t>los instrumentos musicales;</w:t>
      </w:r>
    </w:p>
    <w:p w:rsidR="00C0409B" w:rsidRPr="00AA21C6" w:rsidRDefault="00C0409B" w:rsidP="00C0409B">
      <w:pPr>
        <w:pStyle w:val="ONUMFS"/>
        <w:numPr>
          <w:ilvl w:val="0"/>
          <w:numId w:val="0"/>
        </w:numPr>
        <w:ind w:left="1134" w:hanging="567"/>
        <w:rPr>
          <w:szCs w:val="22"/>
          <w:lang w:val="es-ES"/>
        </w:rPr>
      </w:pPr>
      <w:r w:rsidRPr="00AA21C6">
        <w:rPr>
          <w:szCs w:val="22"/>
          <w:lang w:val="es-ES"/>
        </w:rPr>
        <w:t>c)</w:t>
      </w:r>
      <w:r w:rsidRPr="00AA21C6">
        <w:rPr>
          <w:szCs w:val="22"/>
          <w:lang w:val="es-ES"/>
        </w:rPr>
        <w:tab/>
        <w:t>las obras arquitectónicas.</w:t>
      </w:r>
      <w:r w:rsidRPr="00AA21C6">
        <w:rPr>
          <w:rStyle w:val="FootnoteReference"/>
          <w:szCs w:val="22"/>
          <w:lang w:val="es-ES"/>
        </w:rPr>
        <w:footnoteReference w:id="158"/>
      </w:r>
    </w:p>
    <w:p w:rsidR="00C0409B" w:rsidRPr="00AA21C6" w:rsidRDefault="00C0409B" w:rsidP="00C0409B">
      <w:pPr>
        <w:pStyle w:val="ONUMFS"/>
        <w:keepNext/>
        <w:numPr>
          <w:ilvl w:val="0"/>
          <w:numId w:val="0"/>
        </w:numPr>
        <w:rPr>
          <w:b/>
          <w:bCs/>
          <w:szCs w:val="22"/>
          <w:lang w:val="es-ES"/>
        </w:rPr>
      </w:pPr>
      <w:r w:rsidRPr="00AA21C6">
        <w:rPr>
          <w:b/>
          <w:bCs/>
          <w:szCs w:val="22"/>
          <w:lang w:val="es-ES"/>
        </w:rPr>
        <w:t>Contexto tradicional</w:t>
      </w:r>
    </w:p>
    <w:p w:rsidR="00C0409B" w:rsidRPr="00AA21C6" w:rsidRDefault="00C0409B" w:rsidP="00C0409B">
      <w:pPr>
        <w:pStyle w:val="ONUMFS"/>
        <w:keepNext/>
        <w:numPr>
          <w:ilvl w:val="0"/>
          <w:numId w:val="0"/>
        </w:numPr>
        <w:rPr>
          <w:szCs w:val="22"/>
          <w:lang w:val="es-ES"/>
        </w:rPr>
      </w:pPr>
      <w:r w:rsidRPr="00AA21C6">
        <w:rPr>
          <w:szCs w:val="22"/>
          <w:lang w:val="es-ES"/>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AA21C6">
        <w:rPr>
          <w:rStyle w:val="FootnoteReference"/>
          <w:szCs w:val="22"/>
          <w:lang w:val="es-ES"/>
        </w:rPr>
        <w:footnoteReference w:id="159"/>
      </w:r>
      <w:r w:rsidRPr="00AA21C6">
        <w:rPr>
          <w:szCs w:val="22"/>
          <w:lang w:val="es-ES"/>
        </w:rPr>
        <w:t xml:space="preserve">  El término “tradicional” significa “que las expresiones culturales se derivan o se basan en la tradición y se identifican o asocian con un pueblo indígena o tradicional determinado y pueden practicarse de manera tradicional”.</w:t>
      </w:r>
      <w:r w:rsidRPr="00AA21C6">
        <w:rPr>
          <w:rStyle w:val="FootnoteReference"/>
          <w:szCs w:val="22"/>
          <w:lang w:val="es-ES"/>
        </w:rPr>
        <w:footnoteReference w:id="160"/>
      </w:r>
      <w:r w:rsidRPr="00AA21C6">
        <w:rPr>
          <w:szCs w:val="22"/>
          <w:lang w:val="es-ES"/>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AA21C6">
        <w:rPr>
          <w:rStyle w:val="FootnoteReference"/>
          <w:szCs w:val="22"/>
          <w:lang w:val="es-ES"/>
        </w:rPr>
        <w:footnoteReference w:id="161"/>
      </w:r>
    </w:p>
    <w:p w:rsidR="00C0409B" w:rsidRPr="00AA21C6" w:rsidRDefault="00C0409B" w:rsidP="00C0409B">
      <w:pPr>
        <w:pStyle w:val="ONUMFS"/>
        <w:numPr>
          <w:ilvl w:val="0"/>
          <w:numId w:val="0"/>
        </w:numPr>
        <w:rPr>
          <w:szCs w:val="22"/>
          <w:lang w:val="es-ES"/>
        </w:rPr>
      </w:pPr>
      <w:r w:rsidRPr="00AA21C6">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AA21C6">
        <w:rPr>
          <w:rStyle w:val="FootnoteReference"/>
          <w:szCs w:val="22"/>
          <w:lang w:val="es-ES"/>
        </w:rPr>
        <w:footnoteReference w:id="162"/>
      </w:r>
    </w:p>
    <w:p w:rsidR="00C0409B" w:rsidRPr="00AA21C6" w:rsidRDefault="00C0409B" w:rsidP="00C0409B">
      <w:pPr>
        <w:pStyle w:val="ONUMFS"/>
        <w:numPr>
          <w:ilvl w:val="0"/>
          <w:numId w:val="0"/>
        </w:numPr>
        <w:rPr>
          <w:b/>
          <w:bCs/>
          <w:szCs w:val="22"/>
          <w:lang w:val="es-ES"/>
        </w:rPr>
      </w:pPr>
      <w:r w:rsidRPr="00AA21C6">
        <w:rPr>
          <w:b/>
          <w:bCs/>
          <w:szCs w:val="22"/>
          <w:lang w:val="es-ES"/>
        </w:rPr>
        <w:t>Expresiones culturales tradicionales</w:t>
      </w:r>
    </w:p>
    <w:p w:rsidR="00C0409B" w:rsidRPr="00AA21C6" w:rsidRDefault="00C0409B" w:rsidP="00C0409B">
      <w:pPr>
        <w:pStyle w:val="ONUMFS"/>
        <w:numPr>
          <w:ilvl w:val="0"/>
          <w:numId w:val="0"/>
        </w:numPr>
        <w:rPr>
          <w:szCs w:val="22"/>
          <w:lang w:val="es-ES"/>
        </w:rPr>
      </w:pPr>
      <w:r w:rsidRPr="00AA21C6">
        <w:rPr>
          <w:szCs w:val="22"/>
          <w:lang w:val="es-ES"/>
        </w:rPr>
        <w:t xml:space="preserve">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w:t>
      </w:r>
      <w:r w:rsidRPr="00AA21C6">
        <w:rPr>
          <w:szCs w:val="22"/>
          <w:lang w:val="es-ES"/>
        </w:rPr>
        <w:lastRenderedPageBreak/>
        <w:t>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C0409B" w:rsidRPr="00AA21C6" w:rsidRDefault="00C0409B" w:rsidP="00C0409B">
      <w:pPr>
        <w:pStyle w:val="ONUMFS"/>
        <w:numPr>
          <w:ilvl w:val="0"/>
          <w:numId w:val="0"/>
        </w:numPr>
        <w:rPr>
          <w:b/>
          <w:bCs/>
          <w:szCs w:val="22"/>
          <w:lang w:val="es-ES"/>
        </w:rPr>
      </w:pPr>
      <w:r w:rsidRPr="00AA21C6">
        <w:rPr>
          <w:b/>
          <w:bCs/>
          <w:szCs w:val="22"/>
          <w:lang w:val="es-ES"/>
        </w:rPr>
        <w:t>Culturas tradicionales</w:t>
      </w:r>
    </w:p>
    <w:p w:rsidR="00C0409B" w:rsidRPr="00AA21C6" w:rsidRDefault="00C0409B" w:rsidP="00C0409B">
      <w:pPr>
        <w:pStyle w:val="ONUMFS"/>
        <w:numPr>
          <w:ilvl w:val="0"/>
          <w:numId w:val="0"/>
        </w:numPr>
        <w:rPr>
          <w:szCs w:val="22"/>
          <w:lang w:val="es-ES"/>
        </w:rPr>
      </w:pPr>
      <w:r w:rsidRPr="00AA21C6">
        <w:rPr>
          <w:szCs w:val="22"/>
          <w:lang w:val="es-ES"/>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AA21C6">
        <w:rPr>
          <w:rStyle w:val="FootnoteReference"/>
          <w:szCs w:val="22"/>
          <w:lang w:val="es-ES"/>
        </w:rPr>
        <w:footnoteReference w:id="163"/>
      </w:r>
    </w:p>
    <w:p w:rsidR="00C0409B" w:rsidRPr="00AA21C6" w:rsidRDefault="00C0409B" w:rsidP="00C0409B">
      <w:pPr>
        <w:pStyle w:val="ONUMFS"/>
        <w:numPr>
          <w:ilvl w:val="0"/>
          <w:numId w:val="0"/>
        </w:numPr>
        <w:rPr>
          <w:b/>
          <w:bCs/>
          <w:szCs w:val="22"/>
          <w:lang w:val="es-ES"/>
        </w:rPr>
      </w:pPr>
      <w:r w:rsidRPr="00AA21C6">
        <w:rPr>
          <w:b/>
          <w:bCs/>
          <w:szCs w:val="22"/>
          <w:lang w:val="es-ES"/>
        </w:rPr>
        <w:t>Conocimientos ecológicos tradicionales/conocimientos medioambientales tradicionales</w:t>
      </w:r>
    </w:p>
    <w:p w:rsidR="00C0409B" w:rsidRPr="00AA21C6" w:rsidRDefault="00C0409B" w:rsidP="00C0409B">
      <w:pPr>
        <w:pStyle w:val="ONUMFS"/>
        <w:numPr>
          <w:ilvl w:val="0"/>
          <w:numId w:val="0"/>
        </w:numPr>
        <w:rPr>
          <w:szCs w:val="22"/>
          <w:lang w:val="es-ES"/>
        </w:rPr>
      </w:pPr>
      <w:r w:rsidRPr="00AA21C6">
        <w:rPr>
          <w:szCs w:val="22"/>
          <w:lang w:val="es-ES"/>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AA21C6">
        <w:rPr>
          <w:rStyle w:val="FootnoteReference"/>
          <w:szCs w:val="22"/>
          <w:lang w:val="es-ES"/>
        </w:rPr>
        <w:footnoteReference w:id="164"/>
      </w:r>
      <w:r w:rsidRPr="00AA21C6">
        <w:rPr>
          <w:szCs w:val="22"/>
          <w:lang w:val="es-ES"/>
        </w:rPr>
        <w:t xml:space="preserve">  (Traducción oficiosa de la Oficina Internacional).</w:t>
      </w:r>
    </w:p>
    <w:p w:rsidR="00C0409B" w:rsidRPr="00AA21C6" w:rsidRDefault="00C0409B" w:rsidP="00C0409B">
      <w:pPr>
        <w:pStyle w:val="ONUMFS"/>
        <w:numPr>
          <w:ilvl w:val="0"/>
          <w:numId w:val="0"/>
        </w:numPr>
        <w:rPr>
          <w:szCs w:val="22"/>
          <w:lang w:val="es-ES"/>
        </w:rPr>
      </w:pPr>
      <w:r w:rsidRPr="00AA21C6">
        <w:rPr>
          <w:szCs w:val="22"/>
          <w:lang w:val="es-ES"/>
        </w:rPr>
        <w:t xml:space="preserve">Los conocimientos ecológicos tradicionales también pueden definirse como </w:t>
      </w:r>
      <w:r w:rsidRPr="00AA21C6">
        <w:rPr>
          <w:iCs/>
          <w:szCs w:val="22"/>
          <w:lang w:val="es-ES"/>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AA21C6">
        <w:rPr>
          <w:i/>
          <w:iCs/>
          <w:szCs w:val="22"/>
          <w:lang w:val="es-ES"/>
        </w:rPr>
        <w:t xml:space="preserve">.  </w:t>
      </w:r>
      <w:r w:rsidRPr="00AA21C6">
        <w:rPr>
          <w:szCs w:val="22"/>
          <w:lang w:val="es-ES"/>
        </w:rPr>
        <w:t>(Traducción oficiosa de la Oficina Internacional).</w:t>
      </w:r>
      <w:r w:rsidRPr="00AA21C6">
        <w:rPr>
          <w:rStyle w:val="FootnoteReference"/>
          <w:szCs w:val="22"/>
          <w:lang w:val="es-ES"/>
        </w:rPr>
        <w:footnoteReference w:id="165"/>
      </w:r>
    </w:p>
    <w:p w:rsidR="00C0409B" w:rsidRPr="00AA21C6" w:rsidRDefault="00C0409B" w:rsidP="00C0409B">
      <w:pPr>
        <w:pStyle w:val="ONUMFS"/>
        <w:numPr>
          <w:ilvl w:val="0"/>
          <w:numId w:val="0"/>
        </w:numPr>
        <w:rPr>
          <w:b/>
          <w:bCs/>
          <w:szCs w:val="22"/>
          <w:lang w:val="es-ES"/>
        </w:rPr>
      </w:pPr>
      <w:r w:rsidRPr="00AA21C6">
        <w:rPr>
          <w:b/>
          <w:bCs/>
          <w:szCs w:val="22"/>
          <w:lang w:val="es-ES"/>
        </w:rPr>
        <w:t>Conocimientos tradicionales</w:t>
      </w:r>
    </w:p>
    <w:p w:rsidR="00C0409B" w:rsidRPr="00AA21C6" w:rsidRDefault="00C0409B" w:rsidP="00C0409B">
      <w:pPr>
        <w:pStyle w:val="ONUMFS"/>
        <w:numPr>
          <w:ilvl w:val="0"/>
          <w:numId w:val="0"/>
        </w:numPr>
        <w:rPr>
          <w:szCs w:val="22"/>
          <w:lang w:val="es-ES"/>
        </w:rPr>
      </w:pPr>
      <w:r w:rsidRPr="00AA21C6">
        <w:rPr>
          <w:szCs w:val="22"/>
          <w:lang w:val="es-ES"/>
        </w:rPr>
        <w:t>Hasta el momento no se ha aceptado una definición estándar de “conocimientos tradicionales” en el ámbito internacional.</w:t>
      </w:r>
    </w:p>
    <w:p w:rsidR="00C0409B" w:rsidRPr="00AA21C6" w:rsidRDefault="00C0409B" w:rsidP="00C0409B">
      <w:pPr>
        <w:pStyle w:val="ONUMFS"/>
        <w:numPr>
          <w:ilvl w:val="0"/>
          <w:numId w:val="0"/>
        </w:numPr>
        <w:rPr>
          <w:szCs w:val="22"/>
          <w:lang w:val="es-ES"/>
        </w:rPr>
      </w:pPr>
      <w:r w:rsidRPr="00AA21C6">
        <w:rPr>
          <w:szCs w:val="22"/>
          <w:lang w:val="es-ES"/>
        </w:rPr>
        <w:t xml:space="preserve">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w:t>
      </w:r>
      <w:r w:rsidRPr="00AA21C6">
        <w:rPr>
          <w:szCs w:val="22"/>
          <w:lang w:val="es-ES"/>
        </w:rPr>
        <w:lastRenderedPageBreak/>
        <w:t>forma, los conocimientos tradicionales en sentido general se refieren al contenido de los conocimientos propiamente dichos y a las expresiones culturales tradicionales, incluidos los signos y símbolos asociados a conocimientos tradicionales.</w:t>
      </w:r>
    </w:p>
    <w:p w:rsidR="00C0409B" w:rsidRPr="00AA21C6" w:rsidRDefault="00C0409B" w:rsidP="00C0409B">
      <w:pPr>
        <w:pStyle w:val="ONUMFS"/>
        <w:numPr>
          <w:ilvl w:val="0"/>
          <w:numId w:val="0"/>
        </w:numPr>
        <w:rPr>
          <w:szCs w:val="22"/>
          <w:lang w:val="es-ES"/>
        </w:rPr>
      </w:pPr>
      <w:r w:rsidRPr="00AA21C6">
        <w:rPr>
          <w:szCs w:val="22"/>
          <w:lang w:val="es-ES"/>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medicinales, incluidos los medicamentos y remedios medicinales, conocimientos relacionados con la biodiversidad, etcétera.</w:t>
      </w:r>
      <w:r w:rsidRPr="00AA21C6">
        <w:rPr>
          <w:rStyle w:val="FootnoteReference"/>
          <w:szCs w:val="22"/>
          <w:lang w:val="es-ES"/>
        </w:rPr>
        <w:footnoteReference w:id="166"/>
      </w:r>
    </w:p>
    <w:p w:rsidR="00C0409B" w:rsidRPr="00AA21C6" w:rsidRDefault="00C0409B" w:rsidP="00C0409B">
      <w:pPr>
        <w:pStyle w:val="ONUMFS"/>
        <w:numPr>
          <w:ilvl w:val="0"/>
          <w:numId w:val="0"/>
        </w:numPr>
        <w:tabs>
          <w:tab w:val="left" w:pos="7230"/>
        </w:tabs>
        <w:rPr>
          <w:b/>
          <w:bCs/>
          <w:szCs w:val="22"/>
          <w:lang w:val="es-ES"/>
        </w:rPr>
      </w:pPr>
      <w:r w:rsidRPr="00AA21C6">
        <w:rPr>
          <w:b/>
          <w:bCs/>
          <w:szCs w:val="22"/>
          <w:lang w:val="es-ES"/>
        </w:rPr>
        <w:t>Biblioteca digital sobre Conocimientos Tradicionales</w:t>
      </w:r>
    </w:p>
    <w:p w:rsidR="00C0409B" w:rsidRPr="00AA21C6" w:rsidRDefault="00C0409B" w:rsidP="00C0409B">
      <w:pPr>
        <w:pStyle w:val="ONUMFS"/>
        <w:numPr>
          <w:ilvl w:val="0"/>
          <w:numId w:val="0"/>
        </w:numPr>
        <w:tabs>
          <w:tab w:val="left" w:pos="7230"/>
        </w:tabs>
        <w:rPr>
          <w:szCs w:val="22"/>
          <w:lang w:val="es-ES"/>
        </w:rPr>
      </w:pPr>
      <w:r w:rsidRPr="00AA21C6">
        <w:rPr>
          <w:szCs w:val="22"/>
          <w:lang w:val="es-ES"/>
        </w:rPr>
        <w:t>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AA21C6">
        <w:rPr>
          <w:rStyle w:val="FootnoteReference"/>
          <w:szCs w:val="22"/>
          <w:lang w:val="es-ES"/>
        </w:rPr>
        <w:footnoteReference w:id="167"/>
      </w:r>
    </w:p>
    <w:p w:rsidR="00C0409B" w:rsidRPr="00AA21C6" w:rsidRDefault="00C0409B" w:rsidP="00C0409B">
      <w:pPr>
        <w:pStyle w:val="ONUMFS"/>
        <w:numPr>
          <w:ilvl w:val="0"/>
          <w:numId w:val="0"/>
        </w:numPr>
        <w:rPr>
          <w:szCs w:val="22"/>
          <w:lang w:val="es-ES"/>
        </w:rPr>
      </w:pPr>
      <w:r w:rsidRPr="00AA21C6">
        <w:rPr>
          <w:szCs w:val="22"/>
          <w:lang w:val="es-ES"/>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AA21C6">
        <w:rPr>
          <w:rStyle w:val="FootnoteReference"/>
          <w:szCs w:val="22"/>
          <w:lang w:val="es-ES"/>
        </w:rPr>
        <w:footnoteReference w:id="168"/>
      </w:r>
    </w:p>
    <w:p w:rsidR="00C0409B" w:rsidRPr="00AA21C6" w:rsidRDefault="00C0409B" w:rsidP="00C0409B">
      <w:pPr>
        <w:pStyle w:val="ONUMFS"/>
        <w:numPr>
          <w:ilvl w:val="0"/>
          <w:numId w:val="0"/>
        </w:numPr>
        <w:rPr>
          <w:b/>
          <w:bCs/>
          <w:szCs w:val="22"/>
          <w:lang w:val="es-ES"/>
        </w:rPr>
      </w:pPr>
      <w:r w:rsidRPr="00AA21C6">
        <w:rPr>
          <w:b/>
          <w:bCs/>
          <w:szCs w:val="22"/>
          <w:lang w:val="es-ES"/>
        </w:rPr>
        <w:t>Poseedor de conocimientos tradicionales</w:t>
      </w:r>
    </w:p>
    <w:p w:rsidR="00C0409B" w:rsidRPr="00AA21C6" w:rsidRDefault="00C0409B" w:rsidP="00C0409B">
      <w:pPr>
        <w:pStyle w:val="ONUMFS"/>
        <w:numPr>
          <w:ilvl w:val="0"/>
          <w:numId w:val="0"/>
        </w:numPr>
        <w:rPr>
          <w:szCs w:val="22"/>
          <w:lang w:val="es-ES"/>
        </w:rPr>
      </w:pPr>
      <w:r w:rsidRPr="00AA21C6">
        <w:rPr>
          <w:szCs w:val="22"/>
          <w:lang w:val="es-ES"/>
        </w:rPr>
        <w:t xml:space="preserve">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w:t>
      </w:r>
      <w:r w:rsidRPr="00AA21C6">
        <w:rPr>
          <w:szCs w:val="22"/>
          <w:lang w:val="es-ES"/>
        </w:rPr>
        <w:lastRenderedPageBreak/>
        <w:t>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AA21C6">
        <w:rPr>
          <w:rStyle w:val="FootnoteReference"/>
          <w:szCs w:val="22"/>
          <w:lang w:val="es-ES"/>
        </w:rPr>
        <w:footnoteReference w:id="169"/>
      </w:r>
      <w:r w:rsidRPr="00AA21C6">
        <w:rPr>
          <w:szCs w:val="22"/>
          <w:lang w:val="es-ES"/>
        </w:rPr>
        <w:t xml:space="preserve">  En este contexto, “conocimientos tradicionales” se refiere tanto a los conocimientos tradicionales propiamente dichos como a las expresiones culturales tradicionales.</w:t>
      </w:r>
    </w:p>
    <w:p w:rsidR="00C0409B" w:rsidRPr="00AA21C6" w:rsidRDefault="00C0409B" w:rsidP="00C0409B">
      <w:pPr>
        <w:pStyle w:val="ONUMFS"/>
        <w:numPr>
          <w:ilvl w:val="0"/>
          <w:numId w:val="0"/>
        </w:numPr>
        <w:rPr>
          <w:szCs w:val="22"/>
          <w:lang w:val="es-ES"/>
        </w:rPr>
      </w:pPr>
      <w:r w:rsidRPr="00AA21C6">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AA21C6">
        <w:rPr>
          <w:rStyle w:val="FootnoteReference"/>
          <w:iCs/>
          <w:szCs w:val="22"/>
          <w:lang w:val="es-ES"/>
        </w:rPr>
        <w:footnoteReference w:id="170"/>
      </w:r>
    </w:p>
    <w:p w:rsidR="00C0409B" w:rsidRPr="00AA21C6" w:rsidRDefault="00C0409B" w:rsidP="00C0409B">
      <w:pPr>
        <w:pStyle w:val="ONUMFS"/>
        <w:numPr>
          <w:ilvl w:val="0"/>
          <w:numId w:val="0"/>
        </w:numPr>
        <w:rPr>
          <w:b/>
          <w:bCs/>
          <w:szCs w:val="22"/>
          <w:lang w:val="es-ES"/>
        </w:rPr>
      </w:pPr>
      <w:r w:rsidRPr="00AA21C6">
        <w:rPr>
          <w:b/>
          <w:bCs/>
          <w:szCs w:val="22"/>
          <w:lang w:val="es-ES"/>
        </w:rPr>
        <w:t>La Clasificación de Recursos sobre Conocimientos Tradicionales</w:t>
      </w:r>
    </w:p>
    <w:p w:rsidR="00C0409B" w:rsidRPr="00AA21C6" w:rsidRDefault="00C0409B" w:rsidP="00C0409B">
      <w:pPr>
        <w:pStyle w:val="ONUMFS"/>
        <w:numPr>
          <w:ilvl w:val="0"/>
          <w:numId w:val="0"/>
        </w:numPr>
        <w:rPr>
          <w:szCs w:val="22"/>
          <w:lang w:val="es-ES"/>
        </w:rPr>
      </w:pPr>
      <w:r w:rsidRPr="00AA21C6">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AA21C6">
        <w:rPr>
          <w:rStyle w:val="FootnoteReference"/>
          <w:szCs w:val="22"/>
          <w:lang w:val="es-ES"/>
        </w:rPr>
        <w:footnoteReference w:id="171"/>
      </w:r>
      <w:r w:rsidRPr="00AA21C6">
        <w:rPr>
          <w:szCs w:val="22"/>
          <w:lang w:val="es-ES"/>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AA21C6">
        <w:rPr>
          <w:rStyle w:val="FootnoteReference"/>
          <w:szCs w:val="22"/>
          <w:lang w:val="es-ES"/>
        </w:rPr>
        <w:footnoteReference w:id="172"/>
      </w:r>
    </w:p>
    <w:p w:rsidR="00C0409B" w:rsidRPr="00AA21C6" w:rsidRDefault="00C0409B" w:rsidP="00C0409B">
      <w:pPr>
        <w:pStyle w:val="ONUMFS"/>
        <w:numPr>
          <w:ilvl w:val="0"/>
          <w:numId w:val="0"/>
        </w:numPr>
        <w:tabs>
          <w:tab w:val="left" w:pos="6804"/>
        </w:tabs>
        <w:rPr>
          <w:b/>
          <w:bCs/>
          <w:szCs w:val="22"/>
          <w:lang w:val="es-ES"/>
        </w:rPr>
      </w:pPr>
      <w:r w:rsidRPr="00AA21C6">
        <w:rPr>
          <w:b/>
          <w:bCs/>
          <w:szCs w:val="22"/>
          <w:lang w:val="es-ES"/>
        </w:rPr>
        <w:t>Medicina tradicional</w:t>
      </w:r>
    </w:p>
    <w:p w:rsidR="00C0409B" w:rsidRPr="00AA21C6" w:rsidRDefault="00C0409B" w:rsidP="00C0409B">
      <w:pPr>
        <w:pStyle w:val="ONUMFS"/>
        <w:numPr>
          <w:ilvl w:val="0"/>
          <w:numId w:val="0"/>
        </w:numPr>
        <w:rPr>
          <w:szCs w:val="22"/>
          <w:lang w:val="es-ES"/>
        </w:rPr>
      </w:pPr>
      <w:r w:rsidRPr="00AA21C6">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AA21C6">
        <w:rPr>
          <w:rStyle w:val="FootnoteReference"/>
          <w:szCs w:val="22"/>
          <w:lang w:val="es-ES"/>
        </w:rPr>
        <w:footnoteReference w:id="173"/>
      </w:r>
      <w:r w:rsidRPr="00AA21C6">
        <w:rPr>
          <w:szCs w:val="22"/>
          <w:lang w:val="es-ES"/>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AA21C6">
        <w:rPr>
          <w:rStyle w:val="FootnoteReference"/>
          <w:szCs w:val="22"/>
          <w:lang w:val="es-ES"/>
        </w:rPr>
        <w:footnoteReference w:id="174"/>
      </w:r>
    </w:p>
    <w:p w:rsidR="00C0409B" w:rsidRPr="00AA21C6" w:rsidRDefault="00C0409B" w:rsidP="005C21FD">
      <w:pPr>
        <w:pStyle w:val="ONUMFS"/>
        <w:keepNext/>
        <w:numPr>
          <w:ilvl w:val="0"/>
          <w:numId w:val="0"/>
        </w:numPr>
        <w:rPr>
          <w:b/>
          <w:bCs/>
          <w:szCs w:val="22"/>
          <w:lang w:val="es-ES"/>
        </w:rPr>
      </w:pPr>
      <w:r w:rsidRPr="00AA21C6">
        <w:rPr>
          <w:b/>
          <w:bCs/>
          <w:szCs w:val="22"/>
          <w:lang w:val="es-ES"/>
        </w:rPr>
        <w:lastRenderedPageBreak/>
        <w:t>Innovaciones y creaciones basadas en la tradición</w:t>
      </w:r>
    </w:p>
    <w:p w:rsidR="00C0409B" w:rsidRPr="00AA21C6" w:rsidRDefault="00C0409B" w:rsidP="00C0409B">
      <w:pPr>
        <w:pStyle w:val="ONUMFS"/>
        <w:numPr>
          <w:ilvl w:val="0"/>
          <w:numId w:val="0"/>
        </w:numPr>
        <w:rPr>
          <w:szCs w:val="22"/>
          <w:lang w:val="es-ES"/>
        </w:rPr>
      </w:pPr>
      <w:r w:rsidRPr="00AA21C6">
        <w:rPr>
          <w:szCs w:val="22"/>
          <w:lang w:val="es-ES"/>
        </w:rPr>
        <w:t>Las tradiciones constituyen un conjunto de ideas y prácticas culturales que pertenecen al pasado y a las cuales se les atribuye determinada categoría.</w:t>
      </w:r>
      <w:r w:rsidRPr="00AA21C6">
        <w:rPr>
          <w:rStyle w:val="FootnoteReference"/>
          <w:szCs w:val="22"/>
          <w:lang w:val="es-ES"/>
        </w:rPr>
        <w:footnoteReference w:id="175"/>
      </w:r>
      <w:r w:rsidRPr="00AA21C6">
        <w:rPr>
          <w:szCs w:val="22"/>
          <w:lang w:val="es-ES"/>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AA21C6">
        <w:rPr>
          <w:rStyle w:val="FootnoteReference"/>
          <w:szCs w:val="22"/>
          <w:lang w:val="es-ES"/>
        </w:rPr>
        <w:footnoteReference w:id="176"/>
      </w:r>
      <w:r w:rsidRPr="00AA21C6">
        <w:rPr>
          <w:szCs w:val="22"/>
          <w:lang w:val="es-ES"/>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AA21C6">
        <w:rPr>
          <w:rStyle w:val="FootnoteReference"/>
          <w:szCs w:val="22"/>
          <w:lang w:val="es-ES"/>
        </w:rPr>
        <w:footnoteReference w:id="177"/>
      </w:r>
      <w:r w:rsidRPr="00AA21C6">
        <w:rPr>
          <w:szCs w:val="22"/>
          <w:lang w:val="es-ES"/>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AA21C6">
        <w:rPr>
          <w:szCs w:val="22"/>
          <w:vertAlign w:val="superscript"/>
          <w:lang w:val="es-ES"/>
        </w:rPr>
        <w:footnoteReference w:id="178"/>
      </w:r>
      <w:r w:rsidRPr="00AA21C6">
        <w:rPr>
          <w:szCs w:val="22"/>
          <w:lang w:val="es-ES"/>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AA21C6">
        <w:rPr>
          <w:color w:val="000000"/>
          <w:szCs w:val="22"/>
          <w:lang w:val="es-ES"/>
        </w:rPr>
        <w:t>.</w:t>
      </w:r>
      <w:r w:rsidRPr="00AA21C6">
        <w:rPr>
          <w:rStyle w:val="FootnoteReference"/>
          <w:color w:val="000000"/>
          <w:szCs w:val="22"/>
          <w:lang w:val="es-ES"/>
        </w:rPr>
        <w:footnoteReference w:id="179"/>
      </w:r>
    </w:p>
    <w:p w:rsidR="00C0409B" w:rsidRPr="00AA21C6" w:rsidRDefault="00C0409B" w:rsidP="00C0409B">
      <w:pPr>
        <w:pStyle w:val="ONUMFS"/>
        <w:numPr>
          <w:ilvl w:val="0"/>
          <w:numId w:val="0"/>
        </w:numPr>
        <w:rPr>
          <w:b/>
          <w:bCs/>
          <w:szCs w:val="22"/>
          <w:lang w:val="es-ES"/>
        </w:rPr>
      </w:pPr>
      <w:r w:rsidRPr="00AA21C6">
        <w:rPr>
          <w:b/>
          <w:bCs/>
          <w:szCs w:val="22"/>
          <w:lang w:val="es-ES"/>
        </w:rPr>
        <w:t>Convención de la UNESCO sobre las medidas que deben adoptarse para prohibir e impedir la importación, la exportación y la transferencia de propiedad ilícitas de bienes culturales</w:t>
      </w:r>
    </w:p>
    <w:p w:rsidR="00C0409B" w:rsidRPr="00AA21C6" w:rsidRDefault="00C0409B" w:rsidP="00C0409B">
      <w:pPr>
        <w:pStyle w:val="ONUMFS"/>
        <w:numPr>
          <w:ilvl w:val="0"/>
          <w:numId w:val="0"/>
        </w:numPr>
        <w:rPr>
          <w:szCs w:val="22"/>
          <w:lang w:val="es-ES"/>
        </w:rPr>
      </w:pPr>
      <w:r w:rsidRPr="00AA21C6">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C0409B" w:rsidRPr="00AA21C6" w:rsidRDefault="00C0409B" w:rsidP="00C0409B">
      <w:pPr>
        <w:pStyle w:val="ONUMFS"/>
        <w:numPr>
          <w:ilvl w:val="0"/>
          <w:numId w:val="0"/>
        </w:numPr>
        <w:rPr>
          <w:szCs w:val="22"/>
          <w:lang w:val="es-ES"/>
        </w:rPr>
      </w:pPr>
      <w:r w:rsidRPr="00AA21C6">
        <w:rPr>
          <w:szCs w:val="22"/>
          <w:lang w:val="es-ES"/>
        </w:rPr>
        <w:t>“La Convención solicita a sus Estados Partes actuar esencialmente en los siguientes aspectos:</w:t>
      </w:r>
    </w:p>
    <w:p w:rsidR="00C0409B" w:rsidRPr="00AA21C6" w:rsidRDefault="00C0409B" w:rsidP="00C0409B">
      <w:pPr>
        <w:pStyle w:val="ONUMFS"/>
        <w:numPr>
          <w:ilvl w:val="0"/>
          <w:numId w:val="0"/>
        </w:numPr>
        <w:ind w:left="567"/>
        <w:rPr>
          <w:szCs w:val="22"/>
          <w:lang w:val="es-ES"/>
        </w:rPr>
      </w:pPr>
      <w:r w:rsidRPr="00AA21C6">
        <w:rPr>
          <w:szCs w:val="22"/>
          <w:lang w:val="es-ES"/>
        </w:rPr>
        <w:t>1 - Medidas preventivas:  inventarios, certificados de exportación, medidas de control y aprobación de los negociantes de bienes culturales, aplicación de sanciones penales o administrativas, campañas de información, etcétera.</w:t>
      </w:r>
    </w:p>
    <w:p w:rsidR="00C0409B" w:rsidRPr="00AA21C6" w:rsidRDefault="00C0409B" w:rsidP="00C0409B">
      <w:pPr>
        <w:pStyle w:val="ONUMFS"/>
        <w:numPr>
          <w:ilvl w:val="0"/>
          <w:numId w:val="0"/>
        </w:numPr>
        <w:ind w:left="567"/>
        <w:rPr>
          <w:szCs w:val="22"/>
          <w:lang w:val="es-ES"/>
        </w:rPr>
      </w:pPr>
      <w:r w:rsidRPr="00AA21C6">
        <w:rPr>
          <w:szCs w:val="22"/>
          <w:lang w:val="es-ES"/>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C0409B" w:rsidRPr="00AA21C6" w:rsidRDefault="00C0409B" w:rsidP="00C0409B">
      <w:pPr>
        <w:pStyle w:val="ONUMFS"/>
        <w:numPr>
          <w:ilvl w:val="0"/>
          <w:numId w:val="0"/>
        </w:numPr>
        <w:ind w:left="567"/>
        <w:rPr>
          <w:szCs w:val="22"/>
          <w:lang w:val="es-ES"/>
        </w:rPr>
      </w:pPr>
      <w:r w:rsidRPr="00AA21C6">
        <w:rPr>
          <w:szCs w:val="22"/>
          <w:lang w:val="es-ES"/>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C0409B" w:rsidRPr="00AA21C6" w:rsidRDefault="00C0409B" w:rsidP="00C0409B">
      <w:pPr>
        <w:pStyle w:val="ONUMFS"/>
        <w:numPr>
          <w:ilvl w:val="0"/>
          <w:numId w:val="0"/>
        </w:numPr>
        <w:rPr>
          <w:b/>
          <w:bCs/>
          <w:szCs w:val="22"/>
          <w:lang w:val="es-ES"/>
        </w:rPr>
      </w:pPr>
      <w:r w:rsidRPr="00AA21C6">
        <w:rPr>
          <w:b/>
          <w:bCs/>
          <w:szCs w:val="22"/>
          <w:lang w:val="es-ES"/>
        </w:rPr>
        <w:lastRenderedPageBreak/>
        <w:t>Convención de la UNESCO sobre la protección y la promoción de la diversidad de las expresiones culturales</w:t>
      </w:r>
    </w:p>
    <w:p w:rsidR="00C0409B" w:rsidRPr="00AA21C6" w:rsidRDefault="00C0409B" w:rsidP="00C0409B">
      <w:pPr>
        <w:pStyle w:val="ONUMFS"/>
        <w:numPr>
          <w:ilvl w:val="0"/>
          <w:numId w:val="0"/>
        </w:numPr>
        <w:rPr>
          <w:szCs w:val="22"/>
          <w:lang w:val="es-ES"/>
        </w:rPr>
      </w:pPr>
      <w:r w:rsidRPr="00AA21C6">
        <w:rPr>
          <w:szCs w:val="22"/>
          <w:lang w:val="es-ES"/>
        </w:rPr>
        <w:t>La Convención sobre la protección y la promoción de la diversidad de las expresiones culturales es una convención internacional que fue adoptada por la UNESCO en 2005.  Entró en vigor el 18 de marzo de 2007.</w:t>
      </w:r>
    </w:p>
    <w:p w:rsidR="00C0409B" w:rsidRPr="00AA21C6" w:rsidRDefault="00C0409B" w:rsidP="00C0409B">
      <w:pPr>
        <w:pStyle w:val="ONUMFS"/>
        <w:numPr>
          <w:ilvl w:val="0"/>
          <w:numId w:val="0"/>
        </w:numPr>
        <w:rPr>
          <w:szCs w:val="22"/>
          <w:lang w:val="es-ES"/>
        </w:rPr>
      </w:pPr>
      <w:r w:rsidRPr="00AA21C6">
        <w:rPr>
          <w:szCs w:val="22"/>
          <w:lang w:val="es-ES"/>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C0409B" w:rsidRPr="00AA21C6" w:rsidRDefault="00C0409B" w:rsidP="00C0409B">
      <w:pPr>
        <w:pStyle w:val="ONUMFS"/>
        <w:numPr>
          <w:ilvl w:val="0"/>
          <w:numId w:val="0"/>
        </w:numPr>
        <w:rPr>
          <w:b/>
          <w:bCs/>
          <w:szCs w:val="22"/>
          <w:lang w:val="es-ES"/>
        </w:rPr>
      </w:pPr>
      <w:r w:rsidRPr="00AA21C6">
        <w:rPr>
          <w:b/>
          <w:bCs/>
          <w:szCs w:val="22"/>
          <w:lang w:val="es-ES"/>
        </w:rPr>
        <w:t>Convención de la UNESCO para la salvaguardia del patrimonio cultural inmaterial</w:t>
      </w:r>
    </w:p>
    <w:p w:rsidR="00C0409B" w:rsidRPr="00AA21C6" w:rsidRDefault="00C0409B" w:rsidP="00C0409B">
      <w:pPr>
        <w:pStyle w:val="ONUMFS"/>
        <w:numPr>
          <w:ilvl w:val="0"/>
          <w:numId w:val="0"/>
        </w:numPr>
        <w:rPr>
          <w:szCs w:val="22"/>
          <w:lang w:val="es-ES"/>
        </w:rPr>
      </w:pPr>
      <w:r w:rsidRPr="00AA21C6">
        <w:rPr>
          <w:szCs w:val="22"/>
          <w:lang w:val="es-ES"/>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C0409B" w:rsidRPr="00AA21C6" w:rsidRDefault="00C0409B" w:rsidP="00C0409B">
      <w:pPr>
        <w:pStyle w:val="ONUMFS"/>
        <w:numPr>
          <w:ilvl w:val="0"/>
          <w:numId w:val="0"/>
        </w:numPr>
        <w:rPr>
          <w:b/>
          <w:bCs/>
          <w:szCs w:val="22"/>
          <w:lang w:val="es-ES"/>
        </w:rPr>
      </w:pPr>
      <w:bookmarkStart w:id="17" w:name="sdfootnote13anc"/>
      <w:r w:rsidRPr="00AA21C6">
        <w:rPr>
          <w:b/>
          <w:bCs/>
          <w:szCs w:val="22"/>
          <w:lang w:val="es-ES"/>
        </w:rPr>
        <w:t>Competencia desleal</w:t>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BE2812">
        <w:rPr>
          <w:iCs/>
          <w:szCs w:val="22"/>
          <w:lang w:val="es-ES"/>
        </w:rPr>
        <w:t>Diccionario de Derecho</w:t>
      </w:r>
      <w:r w:rsidRPr="00AA21C6">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AA21C6">
        <w:rPr>
          <w:i/>
          <w:iCs/>
          <w:szCs w:val="22"/>
          <w:lang w:val="es-ES"/>
        </w:rPr>
        <w:t>“unfair competition”</w:t>
      </w:r>
      <w:r w:rsidRPr="00AA21C6">
        <w:rPr>
          <w:szCs w:val="22"/>
          <w:lang w:val="es-ES"/>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C0409B" w:rsidRPr="00AA21C6" w:rsidRDefault="00C0409B" w:rsidP="00C0409B">
      <w:pPr>
        <w:pStyle w:val="ONUMFS"/>
        <w:numPr>
          <w:ilvl w:val="0"/>
          <w:numId w:val="0"/>
        </w:numPr>
        <w:rPr>
          <w:szCs w:val="22"/>
          <w:lang w:val="es-ES"/>
        </w:rPr>
      </w:pPr>
      <w:r w:rsidRPr="00AA21C6">
        <w:rPr>
          <w:szCs w:val="22"/>
          <w:lang w:val="es-ES"/>
        </w:rPr>
        <w:t>En el párrafo 2 del artículo 10</w:t>
      </w:r>
      <w:r w:rsidRPr="00AA21C6">
        <w:rPr>
          <w:i/>
          <w:iCs/>
          <w:szCs w:val="22"/>
          <w:lang w:val="es-ES"/>
        </w:rPr>
        <w:t>bis</w:t>
      </w:r>
      <w:r w:rsidRPr="00AA21C6">
        <w:rPr>
          <w:szCs w:val="22"/>
          <w:lang w:val="es-ES"/>
        </w:rPr>
        <w:t xml:space="preserve"> del </w:t>
      </w:r>
      <w:r w:rsidRPr="00BE2812">
        <w:rPr>
          <w:i/>
          <w:szCs w:val="22"/>
          <w:lang w:val="es-ES"/>
        </w:rPr>
        <w:t>Convenio de París para la Protección de la Propiedad Industrial</w:t>
      </w:r>
      <w:r w:rsidRPr="00AA21C6">
        <w:rPr>
          <w:szCs w:val="22"/>
          <w:lang w:val="es-ES"/>
        </w:rPr>
        <w:t xml:space="preserve"> </w:t>
      </w:r>
      <w:r w:rsidR="00BE2812">
        <w:rPr>
          <w:szCs w:val="22"/>
          <w:lang w:val="es-ES"/>
        </w:rPr>
        <w:t xml:space="preserve">(1883) </w:t>
      </w:r>
      <w:r w:rsidRPr="00AA21C6">
        <w:rPr>
          <w:szCs w:val="22"/>
          <w:lang w:val="es-ES"/>
        </w:rPr>
        <w:t>se estipula que “[c]</w:t>
      </w:r>
      <w:proofErr w:type="spellStart"/>
      <w:r w:rsidRPr="00AA21C6">
        <w:rPr>
          <w:szCs w:val="22"/>
          <w:lang w:val="es-ES"/>
        </w:rPr>
        <w:t>onstituye</w:t>
      </w:r>
      <w:proofErr w:type="spellEnd"/>
      <w:r w:rsidRPr="00AA21C6">
        <w:rPr>
          <w:szCs w:val="22"/>
          <w:lang w:val="es-ES"/>
        </w:rPr>
        <w:t xml:space="preserve"> acto de competencia desleal todo acto de competencia contrario a los usos honestos en materia industrial o comercial”.  En el párrafo 3 del artículo 10</w:t>
      </w:r>
      <w:r w:rsidRPr="00AA21C6">
        <w:rPr>
          <w:i/>
          <w:iCs/>
          <w:szCs w:val="22"/>
          <w:lang w:val="es-ES"/>
        </w:rPr>
        <w:t>bis</w:t>
      </w:r>
      <w:r w:rsidRPr="00AA21C6">
        <w:rPr>
          <w:szCs w:val="22"/>
          <w:lang w:val="es-ES"/>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w:t>
      </w:r>
      <w:r w:rsidRPr="00AA21C6">
        <w:rPr>
          <w:szCs w:val="22"/>
          <w:lang w:val="es-ES"/>
        </w:rPr>
        <w:lastRenderedPageBreak/>
        <w:t>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7"/>
    <w:p w:rsidR="00C0409B" w:rsidRPr="00AA21C6" w:rsidRDefault="00C0409B" w:rsidP="00C0409B">
      <w:pPr>
        <w:pStyle w:val="ONUMFS"/>
        <w:numPr>
          <w:ilvl w:val="0"/>
          <w:numId w:val="0"/>
        </w:numPr>
        <w:rPr>
          <w:b/>
          <w:szCs w:val="22"/>
          <w:lang w:val="es-ES"/>
        </w:rPr>
      </w:pPr>
      <w:r w:rsidRPr="00AA21C6">
        <w:rPr>
          <w:b/>
          <w:szCs w:val="22"/>
          <w:lang w:val="es-ES"/>
        </w:rPr>
        <w:t>Declaración de las Naciones Unidas sobre los Derechos de los Pueblos Indígenas</w:t>
      </w:r>
    </w:p>
    <w:p w:rsidR="00C0409B" w:rsidRPr="00AA21C6" w:rsidRDefault="00C0409B" w:rsidP="00C0409B">
      <w:pPr>
        <w:pStyle w:val="ONUMFS"/>
        <w:numPr>
          <w:ilvl w:val="0"/>
          <w:numId w:val="0"/>
        </w:numPr>
        <w:rPr>
          <w:szCs w:val="22"/>
          <w:lang w:val="es-ES"/>
        </w:rPr>
      </w:pPr>
      <w:r w:rsidRPr="00AA21C6">
        <w:rPr>
          <w:szCs w:val="22"/>
          <w:lang w:val="es-ES"/>
        </w:rPr>
        <w:t xml:space="preserve">La Asamblea General de las Naciones Unidas adoptó la </w:t>
      </w:r>
      <w:r w:rsidRPr="00BE2812">
        <w:rPr>
          <w:i/>
          <w:szCs w:val="22"/>
          <w:lang w:val="es-ES"/>
        </w:rPr>
        <w:t>Declaración de las Naciones Unidas sobre los Derechos de los Pueblos Indígenas</w:t>
      </w:r>
      <w:r w:rsidRPr="00AA21C6">
        <w:rPr>
          <w:szCs w:val="22"/>
          <w:lang w:val="es-ES"/>
        </w:rPr>
        <w:t xml:space="preserve">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C0409B" w:rsidRPr="00AA21C6" w:rsidRDefault="00C0409B" w:rsidP="00C0409B">
      <w:pPr>
        <w:pStyle w:val="ONUMFS"/>
        <w:numPr>
          <w:ilvl w:val="0"/>
          <w:numId w:val="0"/>
        </w:numPr>
        <w:rPr>
          <w:szCs w:val="22"/>
          <w:lang w:val="es-ES"/>
        </w:rPr>
      </w:pPr>
      <w:r w:rsidRPr="00AA21C6">
        <w:rPr>
          <w:szCs w:val="22"/>
          <w:lang w:val="es-ES"/>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C0409B" w:rsidRPr="00AA21C6" w:rsidRDefault="00C0409B" w:rsidP="00C0409B">
      <w:pPr>
        <w:pStyle w:val="ONUMFS"/>
        <w:numPr>
          <w:ilvl w:val="0"/>
          <w:numId w:val="0"/>
        </w:numPr>
        <w:rPr>
          <w:b/>
          <w:bCs/>
          <w:szCs w:val="22"/>
          <w:lang w:val="es-ES"/>
        </w:rPr>
      </w:pPr>
      <w:r w:rsidRPr="00AA21C6">
        <w:rPr>
          <w:b/>
          <w:bCs/>
          <w:szCs w:val="22"/>
          <w:lang w:val="es-ES"/>
        </w:rPr>
        <w:t>Uso de las expresiones culturales tradicionales</w:t>
      </w:r>
    </w:p>
    <w:p w:rsidR="00C0409B" w:rsidRPr="00AA21C6" w:rsidRDefault="00C0409B" w:rsidP="00C0409B">
      <w:pPr>
        <w:pStyle w:val="ONUMFS"/>
        <w:numPr>
          <w:ilvl w:val="0"/>
          <w:numId w:val="0"/>
        </w:numPr>
        <w:rPr>
          <w:szCs w:val="22"/>
          <w:lang w:val="es-ES"/>
        </w:rPr>
      </w:pPr>
      <w:r w:rsidRPr="00AA21C6">
        <w:rPr>
          <w:szCs w:val="22"/>
          <w:lang w:val="es-ES"/>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C0409B" w:rsidRPr="00AA21C6" w:rsidRDefault="00C0409B" w:rsidP="00C0409B">
      <w:pPr>
        <w:pStyle w:val="ONUMFS"/>
        <w:numPr>
          <w:ilvl w:val="0"/>
          <w:numId w:val="0"/>
        </w:numPr>
        <w:rPr>
          <w:szCs w:val="22"/>
          <w:lang w:val="es-ES"/>
        </w:rPr>
      </w:pPr>
      <w:r w:rsidRPr="00AA21C6">
        <w:rPr>
          <w:i/>
          <w:iCs/>
          <w:szCs w:val="22"/>
          <w:u w:val="single"/>
          <w:lang w:val="es-ES"/>
        </w:rPr>
        <w:t>Uso comercial</w:t>
      </w:r>
    </w:p>
    <w:p w:rsidR="00C0409B" w:rsidRPr="00AA21C6" w:rsidRDefault="00C0409B" w:rsidP="00C0409B">
      <w:pPr>
        <w:pStyle w:val="ONUMFS"/>
        <w:numPr>
          <w:ilvl w:val="0"/>
          <w:numId w:val="0"/>
        </w:numPr>
        <w:rPr>
          <w:szCs w:val="22"/>
          <w:lang w:val="es-ES"/>
        </w:rPr>
      </w:pPr>
      <w:r w:rsidRPr="00AA21C6">
        <w:rPr>
          <w:szCs w:val="22"/>
          <w:lang w:val="es-ES"/>
        </w:rPr>
        <w:t xml:space="preserve">Se entiende por “uso comercial” todo uso con fines de comercio.  En el </w:t>
      </w:r>
      <w:r w:rsidRPr="00BE2812">
        <w:rPr>
          <w:iCs/>
          <w:szCs w:val="22"/>
          <w:lang w:val="es-ES"/>
        </w:rPr>
        <w:t>Diccionario Enciclopédico de Derecho Usual</w:t>
      </w:r>
      <w:r w:rsidRPr="00BE2812">
        <w:rPr>
          <w:szCs w:val="22"/>
          <w:lang w:val="es-ES"/>
        </w:rPr>
        <w:t xml:space="preserve"> </w:t>
      </w:r>
      <w:r w:rsidRPr="00AA21C6">
        <w:rPr>
          <w:szCs w:val="22"/>
          <w:lang w:val="es-ES"/>
        </w:rPr>
        <w:t xml:space="preserve">de Guillermo Cabanellas se define “comercio” como “negociación que busca la obtención de ganancia o lucro en la venta, permuta o compra de mercaderías”.  Para la referencia del término en inglés se utilizó el diccionario jurídico de Black, en el que </w:t>
      </w:r>
      <w:r w:rsidRPr="00AA21C6">
        <w:rPr>
          <w:i/>
          <w:iCs/>
          <w:szCs w:val="22"/>
          <w:lang w:val="es-ES"/>
        </w:rPr>
        <w:t>“commercial use”</w:t>
      </w:r>
      <w:r w:rsidRPr="00AA21C6">
        <w:rPr>
          <w:szCs w:val="22"/>
          <w:lang w:val="es-ES"/>
        </w:rPr>
        <w:t xml:space="preserve"> se define como todo uso relacionado con una actividad permanente con fines de lucro o que promueve dicha actividad;  por otra parte, </w:t>
      </w:r>
      <w:r w:rsidRPr="00AA21C6">
        <w:rPr>
          <w:i/>
          <w:iCs/>
          <w:szCs w:val="22"/>
          <w:lang w:val="es-ES"/>
        </w:rPr>
        <w:t>“non-commercial use”</w:t>
      </w:r>
      <w:r w:rsidRPr="00AA21C6">
        <w:rPr>
          <w:szCs w:val="22"/>
          <w:lang w:val="es-ES"/>
        </w:rPr>
        <w:t xml:space="preserve"> se define como todo uso con fines privados o de negocios que no implica la generación de ingresos o el derecho a un reconocimiento u otro tipo de compensación.</w:t>
      </w:r>
    </w:p>
    <w:p w:rsidR="00C0409B" w:rsidRPr="00AA21C6" w:rsidRDefault="00C0409B" w:rsidP="00C0409B">
      <w:pPr>
        <w:pStyle w:val="ONUMFS"/>
        <w:numPr>
          <w:ilvl w:val="0"/>
          <w:numId w:val="0"/>
        </w:numPr>
        <w:rPr>
          <w:szCs w:val="22"/>
          <w:lang w:val="es-ES"/>
        </w:rPr>
      </w:pPr>
      <w:r w:rsidRPr="00AA21C6">
        <w:rPr>
          <w:i/>
          <w:iCs/>
          <w:szCs w:val="22"/>
          <w:u w:val="single"/>
          <w:lang w:val="es-ES"/>
        </w:rPr>
        <w:t>Uso consuetudinario</w:t>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BE2812">
        <w:rPr>
          <w:i/>
          <w:szCs w:val="22"/>
          <w:lang w:val="es-ES"/>
        </w:rPr>
        <w:t>Marco Regional del Pacífico</w:t>
      </w:r>
      <w:r w:rsidRPr="00AA21C6">
        <w:rPr>
          <w:szCs w:val="22"/>
          <w:lang w:val="es-ES"/>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C0409B" w:rsidRPr="00AA21C6" w:rsidRDefault="00C0409B" w:rsidP="00C0409B">
      <w:pPr>
        <w:pStyle w:val="ONUMFS"/>
        <w:numPr>
          <w:ilvl w:val="0"/>
          <w:numId w:val="0"/>
        </w:numPr>
        <w:rPr>
          <w:szCs w:val="22"/>
          <w:lang w:val="es-ES"/>
        </w:rPr>
      </w:pPr>
      <w:r w:rsidRPr="00AA21C6">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C0409B" w:rsidRPr="00AA21C6" w:rsidRDefault="00C0409B" w:rsidP="00C0409B">
      <w:pPr>
        <w:pStyle w:val="ONUMFS"/>
        <w:numPr>
          <w:ilvl w:val="0"/>
          <w:numId w:val="0"/>
        </w:numPr>
        <w:rPr>
          <w:szCs w:val="22"/>
          <w:lang w:val="es-ES"/>
        </w:rPr>
      </w:pPr>
      <w:r w:rsidRPr="00AA21C6">
        <w:rPr>
          <w:i/>
          <w:iCs/>
          <w:szCs w:val="22"/>
          <w:u w:val="single"/>
          <w:lang w:val="es-ES"/>
        </w:rPr>
        <w:lastRenderedPageBreak/>
        <w:t>Uso leal</w:t>
      </w:r>
    </w:p>
    <w:p w:rsidR="00C0409B" w:rsidRPr="00AA21C6" w:rsidRDefault="00C0409B" w:rsidP="00C0409B">
      <w:pPr>
        <w:pStyle w:val="ONUMFS"/>
        <w:numPr>
          <w:ilvl w:val="0"/>
          <w:numId w:val="0"/>
        </w:numPr>
        <w:rPr>
          <w:szCs w:val="22"/>
          <w:lang w:val="es-ES"/>
        </w:rPr>
      </w:pPr>
      <w:r w:rsidRPr="00AA21C6">
        <w:rPr>
          <w:szCs w:val="22"/>
          <w:lang w:val="es-ES"/>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AA21C6">
        <w:rPr>
          <w:i/>
          <w:iCs/>
          <w:szCs w:val="22"/>
          <w:lang w:val="es-ES"/>
        </w:rPr>
        <w:t>“fair use”</w:t>
      </w:r>
      <w:r w:rsidRPr="00AA21C6">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C0409B" w:rsidRPr="00AA21C6" w:rsidRDefault="00C0409B" w:rsidP="00C0409B">
      <w:pPr>
        <w:pStyle w:val="ONUMFS"/>
        <w:numPr>
          <w:ilvl w:val="0"/>
          <w:numId w:val="0"/>
        </w:numPr>
        <w:rPr>
          <w:szCs w:val="22"/>
          <w:lang w:val="es-ES"/>
        </w:rPr>
      </w:pPr>
      <w:r w:rsidRPr="00AA21C6">
        <w:rPr>
          <w:i/>
          <w:iCs/>
          <w:szCs w:val="22"/>
          <w:u w:val="single"/>
          <w:lang w:val="es-ES"/>
        </w:rPr>
        <w:t>Uso doméstico / uso con fines de salud pública</w:t>
      </w:r>
    </w:p>
    <w:p w:rsidR="00C0409B" w:rsidRPr="00AA21C6" w:rsidRDefault="00C0409B" w:rsidP="00C0409B">
      <w:pPr>
        <w:pStyle w:val="ONUMFS"/>
        <w:numPr>
          <w:ilvl w:val="0"/>
          <w:numId w:val="0"/>
        </w:numPr>
        <w:rPr>
          <w:szCs w:val="22"/>
          <w:lang w:val="es-ES"/>
        </w:rPr>
      </w:pPr>
      <w:r w:rsidRPr="00AA21C6">
        <w:rPr>
          <w:szCs w:val="22"/>
          <w:lang w:val="es-ES"/>
        </w:rPr>
        <w:t xml:space="preserve">Por “uso doméstico” se entiende todo uso </w:t>
      </w:r>
      <w:r w:rsidRPr="00AA21C6">
        <w:rPr>
          <w:iCs/>
          <w:szCs w:val="22"/>
          <w:lang w:val="es-ES"/>
        </w:rPr>
        <w:t xml:space="preserve">“[p]erteneciente o relativo a la casa u hogar” </w:t>
      </w:r>
      <w:r w:rsidRPr="00AA21C6">
        <w:rPr>
          <w:szCs w:val="22"/>
          <w:lang w:val="es-ES"/>
        </w:rPr>
        <w:t>según define el término “doméstico” en el Diccionario de la lengua española de la Real Academia Española</w:t>
      </w:r>
      <w:r w:rsidRPr="00AA21C6">
        <w:rPr>
          <w:i/>
          <w:iCs/>
          <w:szCs w:val="22"/>
          <w:lang w:val="es-ES"/>
        </w:rPr>
        <w:t xml:space="preserve">.  </w:t>
      </w:r>
      <w:r w:rsidRPr="00AA21C6">
        <w:rPr>
          <w:szCs w:val="22"/>
          <w:lang w:val="es-ES"/>
        </w:rPr>
        <w:t>Para la referencia del término en inglés se utilizó el diccionario jurídico de Black</w:t>
      </w:r>
      <w:r w:rsidRPr="00AA21C6">
        <w:rPr>
          <w:i/>
          <w:iCs/>
          <w:szCs w:val="22"/>
          <w:lang w:val="es-ES"/>
        </w:rPr>
        <w:t xml:space="preserve">, </w:t>
      </w:r>
      <w:r w:rsidRPr="00AA21C6">
        <w:rPr>
          <w:szCs w:val="22"/>
          <w:lang w:val="es-ES"/>
        </w:rPr>
        <w:t>en el que</w:t>
      </w:r>
      <w:r w:rsidRPr="00AA21C6">
        <w:rPr>
          <w:i/>
          <w:iCs/>
          <w:szCs w:val="22"/>
          <w:lang w:val="es-ES"/>
        </w:rPr>
        <w:t xml:space="preserve"> “household” </w:t>
      </w:r>
      <w:r w:rsidRPr="00AA21C6">
        <w:rPr>
          <w:szCs w:val="22"/>
          <w:lang w:val="es-ES"/>
        </w:rPr>
        <w:t>se define como perteneciente a la casa o la familia, o doméstico.</w:t>
      </w:r>
    </w:p>
    <w:p w:rsidR="00C0409B" w:rsidRPr="00AA21C6" w:rsidRDefault="00C0409B" w:rsidP="00C0409B">
      <w:pPr>
        <w:pStyle w:val="ONUMFS"/>
        <w:numPr>
          <w:ilvl w:val="0"/>
          <w:numId w:val="0"/>
        </w:numPr>
        <w:rPr>
          <w:szCs w:val="22"/>
          <w:lang w:val="es-ES"/>
        </w:rPr>
      </w:pPr>
      <w:r w:rsidRPr="00AA21C6">
        <w:rPr>
          <w:szCs w:val="22"/>
          <w:lang w:val="es-ES"/>
        </w:rPr>
        <w:t xml:space="preserve">En cuanto al término “uso con fines de salud pública”, en el párrafo 1 de la Declaración de Doha relativa al </w:t>
      </w:r>
      <w:r w:rsidR="00BE2812" w:rsidRPr="00AA21C6">
        <w:rPr>
          <w:szCs w:val="22"/>
          <w:lang w:val="es-ES"/>
        </w:rPr>
        <w:t xml:space="preserve">Acuerdo </w:t>
      </w:r>
      <w:r w:rsidRPr="00AA21C6">
        <w:rPr>
          <w:szCs w:val="22"/>
          <w:lang w:val="es-ES"/>
        </w:rPr>
        <w:t>sobre los ADPIC y la salud pública se reconoce “</w:t>
      </w:r>
      <w:r w:rsidRPr="00AA21C6">
        <w:rPr>
          <w:iCs/>
          <w:szCs w:val="22"/>
          <w:lang w:val="es-ES"/>
        </w:rPr>
        <w:t>la gravedad de los problemas de salud pública que afligen a muchos países en desarrollo y menos adelantados, especialmente los resultantes del VIH/SIDA, la tuberculosis, el paludismo y otras epidemias</w:t>
      </w:r>
      <w:r w:rsidRPr="00AA21C6">
        <w:rPr>
          <w:szCs w:val="22"/>
          <w:lang w:val="es-ES"/>
        </w:rPr>
        <w:t>”.  En el párrafo 5.c) se estipula además que “</w:t>
      </w:r>
      <w:r w:rsidRPr="00AA21C6">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C0409B" w:rsidRPr="00AA21C6" w:rsidRDefault="00C0409B" w:rsidP="00C0409B">
      <w:pPr>
        <w:pStyle w:val="ONUMFS"/>
        <w:numPr>
          <w:ilvl w:val="0"/>
          <w:numId w:val="0"/>
        </w:numPr>
        <w:rPr>
          <w:szCs w:val="22"/>
          <w:lang w:val="es-ES"/>
        </w:rPr>
      </w:pPr>
      <w:r w:rsidRPr="00AA21C6">
        <w:rPr>
          <w:i/>
          <w:iCs/>
          <w:szCs w:val="22"/>
          <w:u w:val="single"/>
          <w:lang w:val="es-ES"/>
        </w:rPr>
        <w:t>Uso con fines de investigación / uso educativo</w:t>
      </w:r>
    </w:p>
    <w:p w:rsidR="00C0409B" w:rsidRPr="00AA21C6" w:rsidRDefault="00C0409B" w:rsidP="00C0409B">
      <w:pPr>
        <w:pStyle w:val="ONUMFS"/>
        <w:numPr>
          <w:ilvl w:val="0"/>
          <w:numId w:val="0"/>
        </w:numPr>
        <w:rPr>
          <w:szCs w:val="22"/>
          <w:lang w:val="es-ES"/>
        </w:rPr>
      </w:pPr>
      <w:r w:rsidRPr="00AA21C6">
        <w:rPr>
          <w:szCs w:val="22"/>
          <w:lang w:val="es-ES"/>
        </w:rPr>
        <w:t xml:space="preserve">En el Diccionario de la lengua española de la Real Academia Española se define “investigación” como </w:t>
      </w:r>
      <w:r w:rsidRPr="00AA21C6">
        <w:rPr>
          <w:iCs/>
          <w:szCs w:val="22"/>
          <w:lang w:val="es-ES"/>
        </w:rPr>
        <w:t>“[a]cción y efecto de investigar</w:t>
      </w:r>
      <w:r w:rsidRPr="00AA21C6">
        <w:rPr>
          <w:szCs w:val="22"/>
          <w:lang w:val="es-ES"/>
        </w:rPr>
        <w:t xml:space="preserve">”;  a su vez “investigar” como </w:t>
      </w:r>
      <w:r w:rsidRPr="00AA21C6">
        <w:rPr>
          <w:iCs/>
          <w:szCs w:val="22"/>
          <w:lang w:val="es-ES"/>
        </w:rPr>
        <w:t>“[r]ealizar actividades intelectuales y experimentales de modo sistemático con el propósito de aumentar los conocimientos sobre una determinada materia</w:t>
      </w:r>
      <w:r w:rsidRPr="00AA21C6">
        <w:rPr>
          <w:szCs w:val="22"/>
          <w:lang w:val="es-ES"/>
        </w:rPr>
        <w:t xml:space="preserve">” y “experimentar” como </w:t>
      </w:r>
      <w:r w:rsidRPr="00AA21C6">
        <w:rPr>
          <w:iCs/>
          <w:szCs w:val="22"/>
          <w:lang w:val="es-ES"/>
        </w:rPr>
        <w:t>“[p]robar y examinar prácticamente la virtud y propiedades de algo</w:t>
      </w:r>
      <w:r w:rsidRPr="00AA21C6">
        <w:rPr>
          <w:szCs w:val="22"/>
          <w:lang w:val="es-ES"/>
        </w:rPr>
        <w:t>”.  Para la referencia del término en inglés se utilizó el diccionario jurídico de Black</w:t>
      </w:r>
      <w:r w:rsidRPr="00AA21C6">
        <w:rPr>
          <w:iCs/>
          <w:szCs w:val="22"/>
          <w:lang w:val="es-ES"/>
        </w:rPr>
        <w:t>,</w:t>
      </w:r>
      <w:r w:rsidRPr="00AA21C6">
        <w:rPr>
          <w:szCs w:val="22"/>
          <w:lang w:val="es-ES"/>
        </w:rPr>
        <w:t xml:space="preserve"> en el que la expresión “</w:t>
      </w:r>
      <w:r w:rsidRPr="00AA21C6">
        <w:rPr>
          <w:iCs/>
          <w:szCs w:val="22"/>
          <w:lang w:val="es-ES"/>
        </w:rPr>
        <w:t>experimental-use defense”</w:t>
      </w:r>
      <w:r w:rsidRPr="00AA21C6">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C0409B" w:rsidRPr="00AA21C6" w:rsidRDefault="00C0409B" w:rsidP="00C0409B">
      <w:pPr>
        <w:pStyle w:val="ONUMFS"/>
        <w:numPr>
          <w:ilvl w:val="0"/>
          <w:numId w:val="0"/>
        </w:numPr>
        <w:rPr>
          <w:szCs w:val="22"/>
          <w:lang w:val="es-ES"/>
        </w:rPr>
      </w:pPr>
      <w:r w:rsidRPr="00AA21C6">
        <w:rPr>
          <w:szCs w:val="22"/>
          <w:lang w:val="es-ES"/>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C0409B" w:rsidRPr="00AA21C6" w:rsidRDefault="00C0409B" w:rsidP="00BE2812">
      <w:pPr>
        <w:pStyle w:val="ONUMFS"/>
        <w:numPr>
          <w:ilvl w:val="0"/>
          <w:numId w:val="0"/>
        </w:numPr>
        <w:spacing w:after="0"/>
        <w:ind w:left="550"/>
        <w:rPr>
          <w:szCs w:val="22"/>
          <w:lang w:val="es-ES"/>
        </w:rPr>
      </w:pPr>
      <w:r w:rsidRPr="00AA21C6">
        <w:rPr>
          <w:szCs w:val="22"/>
          <w:lang w:val="es-ES"/>
        </w:rPr>
        <w:t>a)</w:t>
      </w:r>
      <w:r w:rsidRPr="00AA21C6">
        <w:rPr>
          <w:szCs w:val="22"/>
          <w:lang w:val="es-ES"/>
        </w:rPr>
        <w:tab/>
        <w:t>actos efectuados con fines privados o no comerciales;</w:t>
      </w:r>
    </w:p>
    <w:p w:rsidR="00C0409B" w:rsidRPr="00AA21C6" w:rsidRDefault="00C0409B" w:rsidP="00C0409B">
      <w:pPr>
        <w:pStyle w:val="ONUMFS"/>
        <w:numPr>
          <w:ilvl w:val="0"/>
          <w:numId w:val="0"/>
        </w:numPr>
        <w:rPr>
          <w:szCs w:val="22"/>
          <w:lang w:val="es-ES"/>
        </w:rPr>
      </w:pPr>
      <w:r w:rsidRPr="00AA21C6">
        <w:rPr>
          <w:szCs w:val="22"/>
          <w:lang w:val="es-ES"/>
        </w:rPr>
        <w:tab/>
        <w:t>b)</w:t>
      </w:r>
      <w:r w:rsidRPr="00AA21C6">
        <w:rPr>
          <w:szCs w:val="22"/>
          <w:lang w:val="es-ES"/>
        </w:rPr>
        <w:tab/>
        <w:t>actos efectuados con fines experimentales o de investigación.</w:t>
      </w:r>
    </w:p>
    <w:p w:rsidR="00C0409B" w:rsidRPr="00AA21C6" w:rsidRDefault="00C0409B" w:rsidP="00C0409B">
      <w:pPr>
        <w:pStyle w:val="ONUMFS"/>
        <w:numPr>
          <w:ilvl w:val="0"/>
          <w:numId w:val="0"/>
        </w:numPr>
        <w:rPr>
          <w:b/>
          <w:bCs/>
          <w:szCs w:val="22"/>
          <w:lang w:val="es-ES"/>
        </w:rPr>
      </w:pPr>
      <w:r w:rsidRPr="00AA21C6">
        <w:rPr>
          <w:b/>
          <w:bCs/>
          <w:szCs w:val="22"/>
          <w:lang w:val="es-ES"/>
        </w:rPr>
        <w:t>Utilización</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2.c) del </w:t>
      </w:r>
      <w:r w:rsidRPr="00BE2812">
        <w:rPr>
          <w:i/>
          <w:szCs w:val="22"/>
          <w:lang w:val="es-ES"/>
        </w:rPr>
        <w:t xml:space="preserve">Protocolo de Nagoya sobre Acceso a los Recursos Genéticos y Participación Justa y Equitativa de los Beneficios que se Deriven de su Utilización al Convenio </w:t>
      </w:r>
      <w:r w:rsidRPr="00BE2812">
        <w:rPr>
          <w:i/>
          <w:szCs w:val="22"/>
          <w:lang w:val="es-ES"/>
        </w:rPr>
        <w:lastRenderedPageBreak/>
        <w:t>sobre la Diversidad Biológica</w:t>
      </w:r>
      <w:r w:rsidRPr="00AA21C6">
        <w:rPr>
          <w:szCs w:val="22"/>
          <w:lang w:val="es-ES"/>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C0409B" w:rsidRPr="00AA21C6" w:rsidRDefault="00C0409B" w:rsidP="00C0409B">
      <w:pPr>
        <w:pStyle w:val="ONUMFS"/>
        <w:numPr>
          <w:ilvl w:val="0"/>
          <w:numId w:val="0"/>
        </w:numPr>
        <w:rPr>
          <w:szCs w:val="22"/>
          <w:lang w:val="es-ES"/>
        </w:rPr>
      </w:pPr>
      <w:r w:rsidRPr="00AA21C6">
        <w:rPr>
          <w:szCs w:val="22"/>
          <w:lang w:val="es-ES"/>
        </w:rPr>
        <w:t>En el artículo 1.2.e) de la “Contribución de los países de ideas afines a los objetivos y principios sobre la protección de los recursos genéticos y proyecto de artículos preliminares sobre la protección de los recursos genéticos” (documento WIPO/GRTKF/IC/19/11) se establece la siguiente definición de “utilización de recursos genéticos”:  “realización de actividades de investigación y desarrollo sobre la composición genética y/o composición bioquímica de los recursos genéticos, sus derivados y los conocimientos tradicionales conexos, incluyendo mediante la aplicación de biotecnología”.</w:t>
      </w:r>
    </w:p>
    <w:p w:rsidR="00C0409B" w:rsidRPr="00AA21C6" w:rsidRDefault="00C0409B" w:rsidP="00C0409B">
      <w:pPr>
        <w:pStyle w:val="ONUMFS"/>
        <w:numPr>
          <w:ilvl w:val="0"/>
          <w:numId w:val="0"/>
        </w:numPr>
        <w:rPr>
          <w:b/>
          <w:bCs/>
          <w:szCs w:val="22"/>
          <w:lang w:val="es-ES"/>
        </w:rPr>
      </w:pPr>
      <w:r w:rsidRPr="00AA21C6">
        <w:rPr>
          <w:b/>
          <w:bCs/>
          <w:szCs w:val="22"/>
          <w:lang w:val="es-ES"/>
        </w:rPr>
        <w:t>Guía de la OMPI para la catalogación de conocimientos tradicionales</w:t>
      </w:r>
    </w:p>
    <w:p w:rsidR="00C0409B" w:rsidRPr="00AA21C6" w:rsidRDefault="00C0409B" w:rsidP="00C0409B">
      <w:pPr>
        <w:pStyle w:val="ONUMFS"/>
        <w:numPr>
          <w:ilvl w:val="0"/>
          <w:numId w:val="0"/>
        </w:numPr>
        <w:rPr>
          <w:szCs w:val="22"/>
          <w:lang w:val="es-ES"/>
        </w:rPr>
      </w:pPr>
      <w:r w:rsidRPr="00AA21C6">
        <w:rPr>
          <w:szCs w:val="22"/>
          <w:lang w:val="es-ES"/>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consulta de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consulta de 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AA21C6">
        <w:rPr>
          <w:rStyle w:val="FootnoteReference"/>
          <w:szCs w:val="22"/>
          <w:lang w:val="es-ES"/>
        </w:rPr>
        <w:footnoteReference w:id="180"/>
      </w:r>
    </w:p>
    <w:p w:rsidR="00C0409B" w:rsidRPr="00AA21C6" w:rsidRDefault="00C0409B" w:rsidP="00C0409B">
      <w:pPr>
        <w:pStyle w:val="ONUMFS"/>
        <w:numPr>
          <w:ilvl w:val="0"/>
          <w:numId w:val="0"/>
        </w:numPr>
        <w:rPr>
          <w:szCs w:val="22"/>
          <w:lang w:val="es-ES"/>
        </w:rPr>
      </w:pPr>
      <w:r w:rsidRPr="00AA21C6">
        <w:rPr>
          <w:szCs w:val="22"/>
          <w:lang w:val="es-ES"/>
        </w:rPr>
        <w:t>El borrador de consulta de la guía de la OMPI para la catalogación de conocimientos tradicionales 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C0409B" w:rsidRPr="00AA21C6" w:rsidRDefault="00C0409B" w:rsidP="00C0409B">
      <w:pPr>
        <w:pStyle w:val="ONUMFS"/>
        <w:numPr>
          <w:ilvl w:val="0"/>
          <w:numId w:val="0"/>
        </w:numPr>
        <w:rPr>
          <w:szCs w:val="22"/>
          <w:lang w:val="es-ES"/>
        </w:rPr>
      </w:pPr>
      <w:r w:rsidRPr="00AA21C6">
        <w:rPr>
          <w:szCs w:val="22"/>
          <w:lang w:val="es-ES"/>
        </w:rPr>
        <w:t>Durante el proceso de catalogación es posible proteger los conocimientos mediante derechos de propiedad intelectual y otros instrumentos jurídicos, pero únicamente si se toman las medidas adecuadas.  El borrador de consulta de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C0409B" w:rsidRPr="00AA21C6" w:rsidRDefault="00C0409B" w:rsidP="00C0409B">
      <w:pPr>
        <w:pStyle w:val="ONUMFS"/>
        <w:numPr>
          <w:ilvl w:val="0"/>
          <w:numId w:val="0"/>
        </w:numPr>
        <w:rPr>
          <w:b/>
          <w:bCs/>
          <w:szCs w:val="22"/>
          <w:lang w:val="es-ES"/>
        </w:rPr>
      </w:pPr>
      <w:r w:rsidRPr="00AA21C6">
        <w:rPr>
          <w:b/>
          <w:bCs/>
          <w:szCs w:val="22"/>
          <w:lang w:val="es-ES"/>
        </w:rPr>
        <w:t>Disposiciones Tipo OMPI-UNESCO para leyes nacionales sobre la protección de las expresiones del folclore contra la explotación ilícita y otras acciones lesivas</w:t>
      </w:r>
    </w:p>
    <w:p w:rsidR="00C0409B" w:rsidRPr="00AA21C6" w:rsidRDefault="00C0409B" w:rsidP="00C0409B">
      <w:pPr>
        <w:pStyle w:val="ONUMFS"/>
        <w:numPr>
          <w:ilvl w:val="0"/>
          <w:numId w:val="0"/>
        </w:numPr>
        <w:rPr>
          <w:szCs w:val="22"/>
          <w:lang w:val="es-ES"/>
        </w:rPr>
      </w:pPr>
      <w:r w:rsidRPr="00AA21C6">
        <w:rPr>
          <w:szCs w:val="22"/>
          <w:lang w:val="es-ES"/>
        </w:rPr>
        <w:t xml:space="preserve">Las </w:t>
      </w:r>
      <w:r w:rsidRPr="00BE2812">
        <w:rPr>
          <w:i/>
          <w:szCs w:val="22"/>
          <w:lang w:val="es-ES"/>
        </w:rPr>
        <w:t>Disposiciones Tipo</w:t>
      </w:r>
      <w:r w:rsidRPr="00AA21C6">
        <w:rPr>
          <w:szCs w:val="22"/>
          <w:lang w:val="es-ES"/>
        </w:rPr>
        <w:t xml:space="preserve"> fueron aprobadas en 1982 por un Comité de Expertos Gubernamentales nombrado por la OMPI y la UNESCO.  En ellas se establece un modelo </w:t>
      </w:r>
      <w:r w:rsidRPr="00AA21C6">
        <w:rPr>
          <w:iCs/>
          <w:szCs w:val="22"/>
          <w:lang w:val="es-ES"/>
        </w:rPr>
        <w:t>sui géneris</w:t>
      </w:r>
      <w:r w:rsidRPr="00AA21C6">
        <w:rPr>
          <w:i/>
          <w:iCs/>
          <w:szCs w:val="22"/>
          <w:lang w:val="es-ES"/>
        </w:rPr>
        <w:t xml:space="preserve"> </w:t>
      </w:r>
      <w:r w:rsidRPr="00AA21C6">
        <w:rPr>
          <w:szCs w:val="22"/>
          <w:lang w:val="es-ES"/>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C0409B" w:rsidRPr="00AA21C6" w:rsidRDefault="00C0409B" w:rsidP="00C0409B">
      <w:pPr>
        <w:pStyle w:val="ONUMFS"/>
        <w:numPr>
          <w:ilvl w:val="0"/>
          <w:numId w:val="0"/>
        </w:numPr>
        <w:rPr>
          <w:szCs w:val="22"/>
          <w:lang w:val="es-ES"/>
        </w:rPr>
      </w:pPr>
      <w:r w:rsidRPr="00AA21C6">
        <w:rPr>
          <w:szCs w:val="22"/>
          <w:lang w:val="es-ES"/>
        </w:rPr>
        <w:lastRenderedPageBreak/>
        <w:t xml:space="preserve">Con las </w:t>
      </w:r>
      <w:r w:rsidRPr="00BE2812">
        <w:rPr>
          <w:i/>
          <w:szCs w:val="22"/>
          <w:lang w:val="es-ES"/>
        </w:rPr>
        <w:t>Disposiciones Tipo</w:t>
      </w:r>
      <w:r w:rsidRPr="00AA21C6">
        <w:rPr>
          <w:szCs w:val="22"/>
          <w:lang w:val="es-ES"/>
        </w:rPr>
        <w:t xml:space="preserve">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C0409B" w:rsidRPr="00AA21C6" w:rsidRDefault="00C0409B" w:rsidP="008D49E2">
      <w:pPr>
        <w:pStyle w:val="ONUMFS"/>
        <w:keepNext/>
        <w:keepLines/>
        <w:numPr>
          <w:ilvl w:val="0"/>
          <w:numId w:val="0"/>
        </w:numPr>
        <w:rPr>
          <w:szCs w:val="22"/>
          <w:lang w:val="es-ES"/>
        </w:rPr>
      </w:pPr>
      <w:r w:rsidRPr="00AA21C6">
        <w:rPr>
          <w:szCs w:val="22"/>
          <w:lang w:val="es-ES"/>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C0409B" w:rsidRPr="00AA21C6" w:rsidRDefault="00C0409B" w:rsidP="008D49E2">
      <w:pPr>
        <w:pStyle w:val="Endofdocument-Annex"/>
        <w:ind w:left="0"/>
        <w:rPr>
          <w:szCs w:val="22"/>
          <w:lang w:val="es-ES"/>
        </w:rPr>
      </w:pPr>
    </w:p>
    <w:p w:rsidR="00C0409B" w:rsidRPr="00AA21C6" w:rsidRDefault="00C0409B" w:rsidP="008D49E2">
      <w:pPr>
        <w:pStyle w:val="Endofdocument-Annex"/>
        <w:ind w:left="0"/>
        <w:rPr>
          <w:szCs w:val="22"/>
          <w:lang w:val="es-ES"/>
        </w:rPr>
      </w:pPr>
    </w:p>
    <w:p w:rsidR="00C0409B" w:rsidRPr="00AA21C6" w:rsidRDefault="00C0409B" w:rsidP="008D49E2">
      <w:pPr>
        <w:pStyle w:val="Endofdocument-Annex"/>
        <w:ind w:left="0"/>
        <w:rPr>
          <w:szCs w:val="22"/>
          <w:lang w:val="es-ES"/>
        </w:rPr>
      </w:pPr>
    </w:p>
    <w:p w:rsidR="00AF565C" w:rsidRPr="008D49E2" w:rsidRDefault="00C0409B" w:rsidP="008D49E2">
      <w:pPr>
        <w:pStyle w:val="Endofdocument-Annex"/>
        <w:rPr>
          <w:szCs w:val="22"/>
          <w:lang w:val="es-ES"/>
        </w:rPr>
      </w:pPr>
      <w:r w:rsidRPr="00AA21C6">
        <w:rPr>
          <w:szCs w:val="22"/>
          <w:lang w:val="es-ES"/>
        </w:rPr>
        <w:t>[Fin del Anexo y del documento]</w:t>
      </w:r>
    </w:p>
    <w:sectPr w:rsidR="00AF565C" w:rsidRPr="008D49E2" w:rsidSect="00D14703">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094" w:rsidRDefault="00765094">
      <w:r>
        <w:separator/>
      </w:r>
    </w:p>
  </w:endnote>
  <w:endnote w:type="continuationSeparator" w:id="0">
    <w:p w:rsidR="00765094" w:rsidRDefault="00765094" w:rsidP="003B38C1">
      <w:r>
        <w:separator/>
      </w:r>
    </w:p>
    <w:p w:rsidR="00765094" w:rsidRPr="003B38C1" w:rsidRDefault="00765094" w:rsidP="003B38C1">
      <w:pPr>
        <w:spacing w:after="60"/>
        <w:rPr>
          <w:sz w:val="17"/>
        </w:rPr>
      </w:pPr>
      <w:r>
        <w:rPr>
          <w:sz w:val="17"/>
        </w:rPr>
        <w:t>[Endnote continued from previous page]</w:t>
      </w:r>
    </w:p>
  </w:endnote>
  <w:endnote w:type="continuationNotice" w:id="1">
    <w:p w:rsidR="00765094" w:rsidRPr="003B38C1" w:rsidRDefault="007650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094" w:rsidRDefault="00765094">
      <w:r>
        <w:separator/>
      </w:r>
    </w:p>
  </w:footnote>
  <w:footnote w:type="continuationSeparator" w:id="0">
    <w:p w:rsidR="00765094" w:rsidRDefault="00765094" w:rsidP="008B60B2">
      <w:r>
        <w:separator/>
      </w:r>
    </w:p>
    <w:p w:rsidR="00765094" w:rsidRPr="00ED77FB" w:rsidRDefault="00765094" w:rsidP="008B60B2">
      <w:pPr>
        <w:spacing w:after="60"/>
        <w:rPr>
          <w:sz w:val="17"/>
          <w:szCs w:val="17"/>
        </w:rPr>
      </w:pPr>
      <w:r w:rsidRPr="00ED77FB">
        <w:rPr>
          <w:sz w:val="17"/>
          <w:szCs w:val="17"/>
        </w:rPr>
        <w:t>[Footnote continued from previous page]</w:t>
      </w:r>
    </w:p>
  </w:footnote>
  <w:footnote w:type="continuationNotice" w:id="1">
    <w:p w:rsidR="00765094" w:rsidRPr="00ED77FB" w:rsidRDefault="00765094" w:rsidP="008B60B2">
      <w:pPr>
        <w:spacing w:before="60"/>
        <w:jc w:val="right"/>
        <w:rPr>
          <w:sz w:val="17"/>
          <w:szCs w:val="17"/>
        </w:rPr>
      </w:pPr>
      <w:r w:rsidRPr="00ED77FB">
        <w:rPr>
          <w:sz w:val="17"/>
          <w:szCs w:val="17"/>
        </w:rPr>
        <w:t>[Footnote continued on next page]</w:t>
      </w:r>
    </w:p>
  </w:footnote>
  <w:footnote w:id="2">
    <w:p w:rsidR="00765094" w:rsidRPr="008D49E2" w:rsidRDefault="00765094" w:rsidP="00C0409B">
      <w:pPr>
        <w:pStyle w:val="FootnoteText"/>
        <w:ind w:left="550" w:hanging="550"/>
        <w:rPr>
          <w:lang w:val="es-ES"/>
        </w:rPr>
      </w:pPr>
      <w:r w:rsidRPr="008D49E2">
        <w:rPr>
          <w:rStyle w:val="FootnoteReference"/>
          <w:lang w:val="es-ES"/>
        </w:rPr>
        <w:footnoteRef/>
      </w:r>
      <w:r w:rsidRPr="008D49E2">
        <w:rPr>
          <w:lang w:val="es-ES"/>
        </w:rPr>
        <w:t xml:space="preserve"> </w:t>
      </w:r>
      <w:r w:rsidRPr="008D49E2">
        <w:rPr>
          <w:lang w:val="es-ES"/>
        </w:rPr>
        <w:tab/>
        <w:t>Informe de la decimosexta sesión del Comité (WIPO/GRTKF/IC/16/8) y de la decimoséptima sesión del Comité (WIPO/GRTKF/IC/17/12).</w:t>
      </w:r>
    </w:p>
  </w:footnote>
  <w:footnote w:id="3">
    <w:p w:rsidR="00765094" w:rsidRPr="008D49E2" w:rsidRDefault="00765094" w:rsidP="00C0409B">
      <w:pPr>
        <w:pStyle w:val="FootnoteText"/>
        <w:rPr>
          <w:lang w:val="es-ES"/>
        </w:rPr>
      </w:pPr>
      <w:r w:rsidRPr="008D49E2">
        <w:rPr>
          <w:rStyle w:val="FootnoteReference"/>
          <w:lang w:val="es-ES"/>
        </w:rPr>
        <w:footnoteRef/>
      </w:r>
      <w:r w:rsidRPr="008D49E2">
        <w:rPr>
          <w:lang w:val="es-ES"/>
        </w:rPr>
        <w:t xml:space="preserve"> </w:t>
      </w:r>
      <w:r w:rsidRPr="008D49E2">
        <w:rPr>
          <w:lang w:val="es-ES"/>
        </w:rPr>
        <w:tab/>
        <w:t>Informe de la decimonovena sesión del Comité (WIPO/GRTKF/IC/19/12).</w:t>
      </w:r>
    </w:p>
  </w:footnote>
  <w:footnote w:id="4">
    <w:p w:rsidR="00765094" w:rsidRPr="008D49E2" w:rsidRDefault="00765094" w:rsidP="00C0409B">
      <w:pPr>
        <w:pStyle w:val="FootnoteText"/>
        <w:rPr>
          <w:lang w:val="es-ES"/>
        </w:rPr>
      </w:pPr>
      <w:r w:rsidRPr="008D49E2">
        <w:rPr>
          <w:rStyle w:val="FootnoteReference"/>
          <w:lang w:val="es-ES"/>
        </w:rPr>
        <w:t>*</w:t>
      </w:r>
      <w:r w:rsidRPr="008D49E2">
        <w:rPr>
          <w:lang w:val="es-ES"/>
        </w:rPr>
        <w:t xml:space="preserve"> </w:t>
      </w:r>
      <w:r w:rsidRPr="008D49E2">
        <w:rPr>
          <w:lang w:val="es-ES"/>
        </w:rPr>
        <w:tab/>
        <w:t>Los términos aparecen en el orden alfabético de la versión en inglés.</w:t>
      </w:r>
    </w:p>
  </w:footnote>
  <w:footnote w:id="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Protocolo de Nagoya sobre Acceso a los Recursos Genéticos y Participación Justa y Equitativa en los Beneficios que se Deriven de su Utilización al Convenio sobre la Diversidad Biológica, art. 5.4.</w:t>
      </w:r>
    </w:p>
  </w:footnote>
  <w:footnote w:id="6">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Directrices de Bonn sobre Acceso a los Recursos Genéticos y Distribución Justa y Equitativa de los Beneficios Provenientes de su Utilización, párr. 23.</w:t>
      </w:r>
    </w:p>
  </w:footnote>
  <w:footnote w:id="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r>
      <w:r w:rsidRPr="008D49E2">
        <w:rPr>
          <w:iCs/>
          <w:szCs w:val="18"/>
          <w:lang w:val="es-ES"/>
        </w:rPr>
        <w:t>Guía sobre los tratados de derecho de autor y derechos conexos administrados por la OMPI</w:t>
      </w:r>
      <w:r w:rsidRPr="008D49E2">
        <w:rPr>
          <w:szCs w:val="18"/>
          <w:lang w:val="es-ES"/>
        </w:rPr>
        <w:t xml:space="preserve"> y Glosario de términos y expresiones sobre derecho de autor y derechos conexos, pág. 273, OMPI.</w:t>
      </w:r>
    </w:p>
  </w:footnote>
  <w:footnote w:id="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La edición consultada del </w:t>
      </w:r>
      <w:r w:rsidRPr="008D49E2">
        <w:rPr>
          <w:i/>
          <w:iCs/>
          <w:szCs w:val="18"/>
          <w:lang w:val="es-ES"/>
        </w:rPr>
        <w:t>Black’s Law Dictionary</w:t>
      </w:r>
      <w:r w:rsidRPr="008D49E2">
        <w:rPr>
          <w:szCs w:val="18"/>
          <w:lang w:val="es-ES"/>
        </w:rPr>
        <w:t xml:space="preserve"> es la 8ª, a cargo de Bryan A. Garner.</w:t>
      </w:r>
    </w:p>
  </w:footnote>
  <w:footnote w:id="9">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gramStart"/>
      <w:r w:rsidRPr="00765094">
        <w:rPr>
          <w:i/>
          <w:szCs w:val="18"/>
        </w:rPr>
        <w:t xml:space="preserve">Recommendations </w:t>
      </w:r>
      <w:r w:rsidRPr="00765094">
        <w:rPr>
          <w:i/>
          <w:iCs/>
          <w:szCs w:val="18"/>
        </w:rPr>
        <w:t>for</w:t>
      </w:r>
      <w:r w:rsidRPr="00765094">
        <w:rPr>
          <w:i/>
          <w:szCs w:val="18"/>
        </w:rPr>
        <w:t xml:space="preserve"> African Negotiators from the 2nd Preparatory Meeting of African Indigenous Peoples and Local Communities</w:t>
      </w:r>
      <w:r w:rsidRPr="00765094">
        <w:rPr>
          <w:szCs w:val="18"/>
        </w:rPr>
        <w:t xml:space="preserve"> (UNEP/CBD/COP/10/INF/37) 14 de </w:t>
      </w:r>
      <w:proofErr w:type="spellStart"/>
      <w:r w:rsidRPr="00765094">
        <w:rPr>
          <w:szCs w:val="18"/>
        </w:rPr>
        <w:t>octubre</w:t>
      </w:r>
      <w:proofErr w:type="spellEnd"/>
      <w:r w:rsidRPr="00765094">
        <w:rPr>
          <w:szCs w:val="18"/>
        </w:rPr>
        <w:t xml:space="preserve"> de 2010.</w:t>
      </w:r>
      <w:proofErr w:type="gramEnd"/>
    </w:p>
  </w:footnote>
  <w:footnote w:id="1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“Informe de la decimoséptima sesión del Comité” (WIPO/GRTKF/IC/17/12).</w:t>
      </w:r>
    </w:p>
  </w:footnote>
  <w:footnote w:id="1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Directiva 98/44/CE del Parlamento Europeo y del Consejo de 6 de julio de 1998 relativa a la protección jurídica de las invenciones biotecnológicas, art. 2.1a).</w:t>
      </w:r>
    </w:p>
  </w:footnote>
  <w:footnote w:id="1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Código de Reglamentos Federales y Manual de procedimiento para el examen de patentes (MPEP) de la USPTO:  2403.01, art 1.801, Cap. 37.  (Traducción oficiosa de la Oficina Internacional).</w:t>
      </w:r>
    </w:p>
  </w:footnote>
  <w:footnote w:id="1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Directiva 98/44/CE del Parlamento Europeo y del Consejo de 6 de julio de 1998 relativa a la protección jurídica de las invenciones biotecnológicas, art. 3.1.</w:t>
      </w:r>
    </w:p>
  </w:footnote>
  <w:footnote w:id="14">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WIPO/GRTKF/IC/1/3, párr.16.</w:t>
      </w:r>
    </w:p>
  </w:footnote>
  <w:footnote w:id="1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Declaración de la FAO sobre biotecnología, disponible en:  </w:t>
      </w:r>
      <w:hyperlink r:id="rId1" w:history="1">
        <w:r w:rsidRPr="008D49E2">
          <w:rPr>
            <w:rStyle w:val="Hyperlink"/>
            <w:szCs w:val="18"/>
            <w:lang w:val="es-ES"/>
          </w:rPr>
          <w:t>http://www.fao.org/biotech/stat.asp</w:t>
        </w:r>
      </w:hyperlink>
      <w:r w:rsidRPr="008D49E2">
        <w:rPr>
          <w:szCs w:val="18"/>
          <w:lang w:val="es-ES"/>
        </w:rPr>
        <w:t>.</w:t>
      </w:r>
    </w:p>
  </w:footnote>
  <w:footnote w:id="16">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Véase la definición y la definición basada en la lista completa en:  </w:t>
      </w:r>
      <w:hyperlink r:id="rId2" w:history="1">
        <w:r w:rsidRPr="008D49E2">
          <w:rPr>
            <w:rStyle w:val="Hyperlink"/>
            <w:szCs w:val="18"/>
            <w:lang w:val="es-ES"/>
          </w:rPr>
          <w:t>http://www.oecd.org/sti/biotechnologypolicies/statisticaldefinitionofbiotechnology.htm</w:t>
        </w:r>
      </w:hyperlink>
      <w:r w:rsidRPr="008D49E2">
        <w:rPr>
          <w:szCs w:val="18"/>
          <w:lang w:val="es-ES"/>
        </w:rPr>
        <w:t xml:space="preserve">. </w:t>
      </w:r>
    </w:p>
  </w:footnote>
  <w:footnote w:id="1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Directrices de Bonn, art. 1, 7.a) y 17 a 21.</w:t>
      </w:r>
    </w:p>
  </w:footnote>
  <w:footnote w:id="1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Directrices de Bonn, art. 24 a 50, Apéndice II.</w:t>
      </w:r>
    </w:p>
  </w:footnote>
  <w:footnote w:id="1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Véase el glosario del PNUMA de términos para negociadores de acuerdos ambientales multilaterales, disponible en:  </w:t>
      </w:r>
      <w:hyperlink r:id="rId3" w:history="1">
        <w:r w:rsidRPr="008D49E2">
          <w:rPr>
            <w:rStyle w:val="Hyperlink"/>
            <w:szCs w:val="18"/>
            <w:lang w:val="es-ES"/>
          </w:rPr>
          <w:t>http://www.unep.org/delc/portals/119/Glossary/terms%20_for_Negotiators_MEAs.pdf</w:t>
        </w:r>
      </w:hyperlink>
      <w:r w:rsidRPr="008D49E2">
        <w:rPr>
          <w:szCs w:val="18"/>
          <w:lang w:val="es-ES"/>
        </w:rPr>
        <w:t xml:space="preserve">. </w:t>
      </w:r>
    </w:p>
  </w:footnote>
  <w:footnote w:id="2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Para más información, véase:  </w:t>
      </w:r>
      <w:hyperlink r:id="rId4" w:history="1">
        <w:r w:rsidRPr="008D49E2">
          <w:rPr>
            <w:rStyle w:val="Hyperlink"/>
            <w:szCs w:val="18"/>
            <w:lang w:val="es-ES"/>
          </w:rPr>
          <w:t>http://www.cbd.int/chm/</w:t>
        </w:r>
      </w:hyperlink>
      <w:r w:rsidRPr="008D49E2">
        <w:rPr>
          <w:szCs w:val="18"/>
          <w:lang w:val="es-ES"/>
        </w:rPr>
        <w:t xml:space="preserve">. </w:t>
      </w:r>
    </w:p>
  </w:footnote>
  <w:footnote w:id="2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“Lista y breve descripción técnica de las diferentes formas que pueden presentar los conocimientos tradicionales” (WIPO/GRTKF/IC/17/INF/9), párr. 16 del Anexo.</w:t>
      </w:r>
    </w:p>
  </w:footnote>
  <w:footnote w:id="2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8D49E2">
        <w:rPr>
          <w:i/>
          <w:iCs/>
          <w:szCs w:val="18"/>
          <w:lang w:val="es-ES"/>
        </w:rPr>
        <w:t>Rigveda</w:t>
      </w:r>
      <w:r w:rsidRPr="008D49E2">
        <w:rPr>
          <w:szCs w:val="18"/>
          <w:lang w:val="es-ES"/>
        </w:rPr>
        <w:t xml:space="preserve"> y el </w:t>
      </w:r>
      <w:r w:rsidRPr="008D49E2">
        <w:rPr>
          <w:i/>
          <w:iCs/>
          <w:szCs w:val="18"/>
          <w:lang w:val="es-ES"/>
        </w:rPr>
        <w:t>Atharvaveda.</w:t>
      </w:r>
    </w:p>
  </w:footnote>
  <w:footnote w:id="2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La medicina tradicional china fue codificada y se divulgó inicialmente por escrito en el </w:t>
      </w:r>
      <w:r w:rsidRPr="008D49E2">
        <w:rPr>
          <w:i/>
          <w:iCs/>
          <w:szCs w:val="18"/>
          <w:lang w:val="es-ES"/>
        </w:rPr>
        <w:t>Canon de Medicina Interna del Emperador Amarillo</w:t>
      </w:r>
      <w:r w:rsidRPr="008D49E2">
        <w:rPr>
          <w:szCs w:val="18"/>
          <w:lang w:val="es-ES"/>
        </w:rPr>
        <w:t>, primer clásico monumental que estableció la medicina tradicional china.  El Canon se compiló durante varios cientos de años y apareció entre los años 300 y 100 A.C.</w:t>
      </w:r>
    </w:p>
  </w:footnote>
  <w:footnote w:id="24">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765094">
        <w:rPr>
          <w:szCs w:val="18"/>
        </w:rPr>
        <w:t xml:space="preserve">8.  </w:t>
      </w:r>
      <w:proofErr w:type="spellStart"/>
      <w:r w:rsidRPr="00765094">
        <w:rPr>
          <w:szCs w:val="18"/>
        </w:rPr>
        <w:t>Véase</w:t>
      </w:r>
      <w:proofErr w:type="spellEnd"/>
      <w:r w:rsidRPr="00765094">
        <w:rPr>
          <w:szCs w:val="18"/>
        </w:rPr>
        <w:t xml:space="preserve"> </w:t>
      </w:r>
      <w:proofErr w:type="spellStart"/>
      <w:r w:rsidRPr="00765094">
        <w:rPr>
          <w:szCs w:val="18"/>
        </w:rPr>
        <w:t>también</w:t>
      </w:r>
      <w:proofErr w:type="spellEnd"/>
      <w:r w:rsidRPr="00765094">
        <w:rPr>
          <w:szCs w:val="18"/>
        </w:rPr>
        <w:t xml:space="preserve">, Karin Timmermans y </w:t>
      </w:r>
      <w:proofErr w:type="spellStart"/>
      <w:r w:rsidRPr="00765094">
        <w:rPr>
          <w:szCs w:val="18"/>
        </w:rPr>
        <w:t>Togi</w:t>
      </w:r>
      <w:proofErr w:type="spellEnd"/>
      <w:r w:rsidRPr="00765094">
        <w:rPr>
          <w:szCs w:val="18"/>
        </w:rPr>
        <w:t xml:space="preserve"> </w:t>
      </w:r>
      <w:proofErr w:type="spellStart"/>
      <w:r w:rsidRPr="00765094">
        <w:rPr>
          <w:szCs w:val="18"/>
        </w:rPr>
        <w:t>Hutadjulu</w:t>
      </w:r>
      <w:proofErr w:type="spellEnd"/>
      <w:r w:rsidRPr="00765094">
        <w:rPr>
          <w:szCs w:val="18"/>
        </w:rPr>
        <w:t xml:space="preserve">:  “The </w:t>
      </w:r>
      <w:proofErr w:type="spellStart"/>
      <w:r w:rsidRPr="00765094">
        <w:rPr>
          <w:szCs w:val="18"/>
        </w:rPr>
        <w:t>TRIPs</w:t>
      </w:r>
      <w:proofErr w:type="spellEnd"/>
      <w:r w:rsidRPr="00765094">
        <w:rPr>
          <w:szCs w:val="18"/>
        </w:rPr>
        <w:t xml:space="preserve"> Agreement and Pharmaceuticals:  Report of an ASEAN Workshop on the </w:t>
      </w:r>
      <w:proofErr w:type="spellStart"/>
      <w:r w:rsidRPr="00765094">
        <w:rPr>
          <w:szCs w:val="18"/>
        </w:rPr>
        <w:t>TRIPs</w:t>
      </w:r>
      <w:proofErr w:type="spellEnd"/>
      <w:r w:rsidRPr="00765094">
        <w:rPr>
          <w:szCs w:val="18"/>
        </w:rPr>
        <w:t xml:space="preserve"> Agreement and its Impact on Pharmaceuticals”, </w:t>
      </w:r>
      <w:proofErr w:type="spellStart"/>
      <w:r w:rsidRPr="00765094">
        <w:rPr>
          <w:szCs w:val="18"/>
        </w:rPr>
        <w:t>pág</w:t>
      </w:r>
      <w:proofErr w:type="spellEnd"/>
      <w:r w:rsidRPr="00765094">
        <w:rPr>
          <w:szCs w:val="18"/>
        </w:rPr>
        <w:t>. 45.</w:t>
      </w:r>
    </w:p>
  </w:footnote>
  <w:footnote w:id="25">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Intervención de la Delegación del Canadá.  Véase el informe de la segunda sesión (OMPI/GRTKF/IC/2/16), párr. </w:t>
      </w:r>
      <w:r w:rsidRPr="00765094">
        <w:rPr>
          <w:szCs w:val="18"/>
        </w:rPr>
        <w:t>131.</w:t>
      </w:r>
    </w:p>
  </w:footnote>
  <w:footnote w:id="26">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rStyle w:val="FootnoteReference"/>
          <w:szCs w:val="18"/>
        </w:rPr>
        <w:tab/>
      </w:r>
      <w:r w:rsidRPr="00765094">
        <w:rPr>
          <w:szCs w:val="18"/>
        </w:rPr>
        <w:t xml:space="preserve">Terri </w:t>
      </w:r>
      <w:proofErr w:type="spellStart"/>
      <w:r w:rsidRPr="00765094">
        <w:rPr>
          <w:szCs w:val="18"/>
        </w:rPr>
        <w:t>Janke</w:t>
      </w:r>
      <w:proofErr w:type="spellEnd"/>
      <w:r w:rsidRPr="00765094">
        <w:rPr>
          <w:szCs w:val="18"/>
        </w:rPr>
        <w:t xml:space="preserve">, </w:t>
      </w:r>
      <w:r w:rsidRPr="00765094">
        <w:rPr>
          <w:i/>
          <w:iCs/>
          <w:szCs w:val="18"/>
        </w:rPr>
        <w:t xml:space="preserve">Pathways &amp; Protocols – A </w:t>
      </w:r>
      <w:proofErr w:type="spellStart"/>
      <w:r w:rsidRPr="00765094">
        <w:rPr>
          <w:i/>
          <w:iCs/>
          <w:szCs w:val="18"/>
        </w:rPr>
        <w:t>Filmaker’s</w:t>
      </w:r>
      <w:proofErr w:type="spellEnd"/>
      <w:r w:rsidRPr="00765094">
        <w:rPr>
          <w:i/>
          <w:iCs/>
          <w:szCs w:val="18"/>
        </w:rPr>
        <w:t xml:space="preserve"> guide to Working with Indigenous People, Culture and Concepts</w:t>
      </w:r>
      <w:r w:rsidRPr="00765094">
        <w:rPr>
          <w:iCs/>
          <w:szCs w:val="18"/>
        </w:rPr>
        <w:t xml:space="preserve">, </w:t>
      </w:r>
      <w:proofErr w:type="spellStart"/>
      <w:r w:rsidRPr="00765094">
        <w:rPr>
          <w:iCs/>
          <w:szCs w:val="18"/>
        </w:rPr>
        <w:t>pág</w:t>
      </w:r>
      <w:proofErr w:type="spellEnd"/>
      <w:r w:rsidRPr="00765094">
        <w:rPr>
          <w:iCs/>
          <w:szCs w:val="18"/>
        </w:rPr>
        <w:t>. 51.</w:t>
      </w:r>
    </w:p>
  </w:footnote>
  <w:footnote w:id="2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Proyecto de glosario encargado por la Comisión Nacional de los Países Bajos ante la UNESCO a un grupo de expertos de dicho país (TER/CH/2002/</w:t>
      </w:r>
      <w:proofErr w:type="spellStart"/>
      <w:r w:rsidRPr="008D49E2">
        <w:rPr>
          <w:szCs w:val="18"/>
          <w:lang w:val="es-ES"/>
        </w:rPr>
        <w:t>WD</w:t>
      </w:r>
      <w:proofErr w:type="spellEnd"/>
      <w:r w:rsidRPr="008D49E2">
        <w:rPr>
          <w:szCs w:val="18"/>
          <w:lang w:val="es-ES"/>
        </w:rPr>
        <w:t>/4) 2002.  (Traducción oficiosa de la Oficina Internacional).</w:t>
      </w:r>
    </w:p>
  </w:footnote>
  <w:footnote w:id="2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Convención de la UNESCO sobre la protección y la promoción de la diversidad de las expresiones culturales, 2005, art. 4.1.</w:t>
      </w:r>
    </w:p>
  </w:footnote>
  <w:footnote w:id="2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Convención de la UNESCO sobre la protección y la promoción de la diversidad de las expresiones culturales, 2005, art. 4.3).</w:t>
      </w:r>
    </w:p>
  </w:footnote>
  <w:footnote w:id="3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ab/>
        <w:t xml:space="preserve">Tesauro de la UNESCO, </w:t>
      </w:r>
      <w:hyperlink r:id="rId5" w:history="1">
        <w:r w:rsidRPr="008D49E2">
          <w:rPr>
            <w:rStyle w:val="Hyperlink"/>
            <w:szCs w:val="18"/>
            <w:lang w:val="es-ES"/>
          </w:rPr>
          <w:t>http://www.vocabularyserver.com/unesco/?tema=2563</w:t>
        </w:r>
      </w:hyperlink>
      <w:r w:rsidRPr="008D49E2">
        <w:rPr>
          <w:szCs w:val="18"/>
          <w:lang w:val="es-ES"/>
        </w:rPr>
        <w:t xml:space="preserve">. </w:t>
      </w:r>
      <w:hyperlink r:id="rId6" w:history="1">
        <w:r w:rsidRPr="00765094">
          <w:rPr>
            <w:rStyle w:val="Hyperlink"/>
            <w:szCs w:val="18"/>
          </w:rPr>
          <w:t>http://www.vocabularyserver.com/unesco/index.php?tema=6846?/identidad-cultural</w:t>
        </w:r>
      </w:hyperlink>
      <w:r w:rsidRPr="00765094">
        <w:rPr>
          <w:szCs w:val="18"/>
        </w:rPr>
        <w:t xml:space="preserve">.  </w:t>
      </w:r>
      <w:r w:rsidRPr="008D49E2">
        <w:rPr>
          <w:szCs w:val="18"/>
          <w:lang w:val="es-ES"/>
        </w:rPr>
        <w:t>(Traducción oficiosa de la Oficina Internacional).</w:t>
      </w:r>
    </w:p>
  </w:footnote>
  <w:footnote w:id="3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ab/>
        <w:t>Convenio Nº 169 de la OIT sobre pueblos indígenas y tribales en países independientes, 1989, art. 2.2)b).</w:t>
      </w:r>
    </w:p>
  </w:footnote>
  <w:footnote w:id="3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Disposiciones Tipo para leyes nacionales sobre la protección de las expresiones del folclore contra la explotación ilícita y otras acciones lesivas (1982), Parte III, párr. 42.</w:t>
      </w:r>
    </w:p>
  </w:footnote>
  <w:footnote w:id="3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Proteger los derechos de la comunidad sobre los conocimientos tradicionales:  repercusiones de las leyes y prácticas consuetudinarias.  Seminario de planificación de la investigación, Cuzco (Perú), 20 a 25 de mayo de 2005.</w:t>
      </w:r>
    </w:p>
  </w:footnote>
  <w:footnote w:id="34">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El Derecho consuetudinario y el sistema de propiedad intelectual en la protección de las expresiones y los conocimientos culturales tradicionales.  Documento básico de trabajo – versión 3.0, diciembre de 2006:  </w:t>
      </w:r>
      <w:hyperlink r:id="rId7" w:history="1">
        <w:r w:rsidRPr="008D49E2">
          <w:rPr>
            <w:rStyle w:val="Hyperlink"/>
            <w:szCs w:val="18"/>
            <w:lang w:val="es-ES"/>
          </w:rPr>
          <w:t>http://www.wipo.int/tk/es/consultaciones/customary_law/index.html</w:t>
        </w:r>
      </w:hyperlink>
    </w:p>
  </w:footnote>
  <w:footnote w:id="3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Paul Kuruk, “El derecho consuetudinario en África y la protección del folclore”, en </w:t>
      </w:r>
      <w:r w:rsidRPr="008D49E2">
        <w:rPr>
          <w:i/>
          <w:iCs/>
          <w:szCs w:val="18"/>
          <w:lang w:val="es-ES"/>
        </w:rPr>
        <w:t>Boletín de Derecho de Autor,</w:t>
      </w:r>
      <w:r w:rsidRPr="008D49E2">
        <w:rPr>
          <w:szCs w:val="18"/>
          <w:lang w:val="es-ES"/>
        </w:rPr>
        <w:t xml:space="preserve"> XXXVI, No.2, 2002, pág. 6 (</w:t>
      </w:r>
      <w:hyperlink r:id="rId8" w:history="1">
        <w:r w:rsidRPr="008D49E2">
          <w:rPr>
            <w:rStyle w:val="Hyperlink"/>
            <w:szCs w:val="18"/>
            <w:lang w:val="es-ES"/>
          </w:rPr>
          <w:t>http://unesdoc.unesco.org/images/0012/001277/127784s.pdf</w:t>
        </w:r>
      </w:hyperlink>
      <w:r w:rsidRPr="008D49E2">
        <w:rPr>
          <w:szCs w:val="18"/>
          <w:lang w:val="es-ES"/>
        </w:rPr>
        <w:t xml:space="preserve">), extraído </w:t>
      </w:r>
      <w:r w:rsidRPr="008D49E2">
        <w:rPr>
          <w:iCs/>
          <w:szCs w:val="18"/>
          <w:lang w:val="es-ES"/>
        </w:rPr>
        <w:t xml:space="preserve">en parte, París, 15 de junio de 1982, </w:t>
      </w:r>
      <w:r w:rsidRPr="008D49E2">
        <w:rPr>
          <w:i/>
          <w:iCs/>
          <w:szCs w:val="18"/>
          <w:lang w:val="es-ES"/>
        </w:rPr>
        <w:t>Gazette du Palais</w:t>
      </w:r>
      <w:r w:rsidRPr="008D49E2">
        <w:rPr>
          <w:iCs/>
          <w:szCs w:val="18"/>
          <w:lang w:val="es-ES"/>
        </w:rPr>
        <w:t xml:space="preserve">, 1982.2, Resumen, pág. 378, o París, 25 de abril de 1978, </w:t>
      </w:r>
      <w:r w:rsidRPr="008D49E2">
        <w:rPr>
          <w:i/>
          <w:iCs/>
          <w:szCs w:val="18"/>
          <w:lang w:val="es-ES"/>
        </w:rPr>
        <w:t>Gazette du Palais</w:t>
      </w:r>
      <w:r w:rsidRPr="008D49E2">
        <w:rPr>
          <w:iCs/>
          <w:szCs w:val="18"/>
          <w:lang w:val="es-ES"/>
        </w:rPr>
        <w:t>,</w:t>
      </w:r>
      <w:r w:rsidRPr="008D49E2">
        <w:rPr>
          <w:szCs w:val="18"/>
          <w:lang w:val="es-ES"/>
        </w:rPr>
        <w:t xml:space="preserve"> 1978,2, pág. 448.</w:t>
      </w:r>
    </w:p>
  </w:footnote>
  <w:footnote w:id="36">
    <w:p w:rsidR="00765094" w:rsidRPr="008D49E2" w:rsidRDefault="00765094" w:rsidP="00C0409B">
      <w:pPr>
        <w:pStyle w:val="FootnoteText"/>
        <w:tabs>
          <w:tab w:val="left" w:pos="550"/>
        </w:tabs>
        <w:ind w:left="550" w:hanging="550"/>
        <w:rPr>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El Derecho consuetudinario y el sistema de propiedad intelectual en la protección de las expresiones y los conocimientos culturales tradicionales.  Documento básico de trabajo – versión 3.0, diciembre de 2006, disponible en:  </w:t>
      </w:r>
      <w:hyperlink r:id="rId9" w:history="1">
        <w:r w:rsidRPr="008D49E2">
          <w:rPr>
            <w:rStyle w:val="Hyperlink"/>
            <w:szCs w:val="18"/>
            <w:lang w:val="es-ES"/>
          </w:rPr>
          <w:t>http://www.wipo.int/tk/es/consultaciones/customary_law/index.html</w:t>
        </w:r>
      </w:hyperlink>
      <w:r w:rsidRPr="008D49E2">
        <w:rPr>
          <w:lang w:val="es-ES"/>
        </w:rPr>
        <w:t>.</w:t>
      </w:r>
    </w:p>
  </w:footnote>
  <w:footnote w:id="3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Véase el documento WIPO/GRTKF/IC/2/3, párr. 2;  la base de datos de Internet está disponible en:  </w:t>
      </w:r>
      <w:hyperlink r:id="rId10" w:history="1">
        <w:r w:rsidRPr="008D49E2">
          <w:rPr>
            <w:rStyle w:val="Hyperlink"/>
            <w:szCs w:val="18"/>
            <w:lang w:val="es-ES"/>
          </w:rPr>
          <w:t>http://www.wipo.int/tk/es/databases/contracts/index.html</w:t>
        </w:r>
      </w:hyperlink>
      <w:r w:rsidRPr="008D49E2">
        <w:rPr>
          <w:szCs w:val="18"/>
          <w:lang w:val="es-ES"/>
        </w:rPr>
        <w:t xml:space="preserve">. </w:t>
      </w:r>
    </w:p>
  </w:footnote>
  <w:footnote w:id="3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WIPO/GRTKF/IC/17/INF/11.</w:t>
      </w:r>
    </w:p>
  </w:footnote>
  <w:footnote w:id="3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4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r>
      <w:r w:rsidRPr="008D49E2">
        <w:rPr>
          <w:iCs/>
          <w:szCs w:val="18"/>
          <w:lang w:val="es-ES"/>
        </w:rPr>
        <w:t xml:space="preserve">Guía de la OMPI sobre los tratados de derecho de autor y </w:t>
      </w:r>
      <w:r w:rsidRPr="008D49E2">
        <w:rPr>
          <w:iCs/>
          <w:snapToGrid w:val="0"/>
          <w:szCs w:val="18"/>
          <w:lang w:val="es-ES"/>
        </w:rPr>
        <w:t>derechos conexos</w:t>
      </w:r>
      <w:r w:rsidRPr="008D49E2">
        <w:rPr>
          <w:iCs/>
          <w:szCs w:val="18"/>
          <w:lang w:val="es-ES"/>
        </w:rPr>
        <w:t xml:space="preserve"> administrados por la OMPI (Capítulo 7:  “Glosario de términos y expresiones sobre derecho de autor y </w:t>
      </w:r>
      <w:r w:rsidRPr="008D49E2">
        <w:rPr>
          <w:iCs/>
          <w:snapToGrid w:val="0"/>
          <w:szCs w:val="18"/>
          <w:lang w:val="es-ES"/>
        </w:rPr>
        <w:t>derechos conexos</w:t>
      </w:r>
      <w:r w:rsidRPr="008D49E2">
        <w:rPr>
          <w:i/>
          <w:iCs/>
          <w:szCs w:val="18"/>
          <w:lang w:val="es-ES"/>
        </w:rPr>
        <w:t>”</w:t>
      </w:r>
      <w:r w:rsidRPr="008D49E2">
        <w:rPr>
          <w:iCs/>
          <w:szCs w:val="18"/>
          <w:lang w:val="es-ES"/>
        </w:rPr>
        <w:t>), OMPI.</w:t>
      </w:r>
    </w:p>
  </w:footnote>
  <w:footnote w:id="4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Convenio de Berna, art. 2.5), Acuerdo sobre los ADPIC, art. 10.2) y Tratado de la OMPI sobre Derecho de Autor, art. 6</w:t>
      </w:r>
    </w:p>
  </w:footnote>
  <w:footnote w:id="42">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gramStart"/>
      <w:r w:rsidRPr="00765094">
        <w:rPr>
          <w:szCs w:val="18"/>
        </w:rPr>
        <w:t xml:space="preserve">Sam </w:t>
      </w:r>
      <w:proofErr w:type="spellStart"/>
      <w:r w:rsidRPr="00765094">
        <w:rPr>
          <w:szCs w:val="18"/>
        </w:rPr>
        <w:t>Ricketson</w:t>
      </w:r>
      <w:proofErr w:type="spellEnd"/>
      <w:r w:rsidRPr="00765094">
        <w:rPr>
          <w:szCs w:val="18"/>
        </w:rPr>
        <w:t xml:space="preserve"> y Jane C. Ginsburg, </w:t>
      </w:r>
      <w:r w:rsidRPr="00765094">
        <w:rPr>
          <w:i/>
          <w:iCs/>
          <w:szCs w:val="18"/>
        </w:rPr>
        <w:t xml:space="preserve">International Copyright and Neighboring Rights—The Berne Convention and Beyond, </w:t>
      </w:r>
      <w:r w:rsidRPr="00765094">
        <w:rPr>
          <w:szCs w:val="18"/>
        </w:rPr>
        <w:t xml:space="preserve">Oxford, Vol. I., </w:t>
      </w:r>
      <w:proofErr w:type="spellStart"/>
      <w:r w:rsidRPr="00765094">
        <w:rPr>
          <w:szCs w:val="18"/>
        </w:rPr>
        <w:t>pág</w:t>
      </w:r>
      <w:proofErr w:type="spellEnd"/>
      <w:r w:rsidRPr="00765094">
        <w:rPr>
          <w:szCs w:val="18"/>
        </w:rPr>
        <w:t>.</w:t>
      </w:r>
      <w:proofErr w:type="gramEnd"/>
      <w:r w:rsidRPr="00765094">
        <w:rPr>
          <w:szCs w:val="18"/>
        </w:rPr>
        <w:t xml:space="preserve"> 485.</w:t>
      </w:r>
    </w:p>
  </w:footnote>
  <w:footnote w:id="4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Marco Regional para el Pacífico relativo a la protección de los conocimientos tradicionales y las expresiones de la cultura (2002), Parte I, art. 4.  (Traducción oficiosa de la Oficina Internacional).</w:t>
      </w:r>
    </w:p>
  </w:footnote>
  <w:footnote w:id="4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Sam Ricketson y Jane C. Ginsburg, </w:t>
      </w:r>
      <w:r w:rsidRPr="008D49E2">
        <w:rPr>
          <w:i/>
          <w:iCs/>
          <w:szCs w:val="18"/>
          <w:lang w:val="es-ES"/>
        </w:rPr>
        <w:t>op. cit.</w:t>
      </w:r>
      <w:r w:rsidRPr="008D49E2">
        <w:rPr>
          <w:szCs w:val="18"/>
          <w:lang w:val="es-ES"/>
        </w:rPr>
        <w:t xml:space="preserve"> en la nota 46, pág. 603.</w:t>
      </w:r>
    </w:p>
  </w:footnote>
  <w:footnote w:id="4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“Lista y breve descripción técnica de las diferentes formas que pueden presentar los conocimientos tradicionales” (WIPO/GRTKF/IC/17/INF/9), párr. 4 del Anexo.</w:t>
      </w:r>
    </w:p>
  </w:footnote>
  <w:footnote w:id="4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Guía de la OMPI sobre los tratados de derecho de autor...</w:t>
      </w:r>
      <w:r w:rsidRPr="008D49E2">
        <w:rPr>
          <w:i/>
          <w:iCs/>
          <w:szCs w:val="18"/>
          <w:lang w:val="es-ES"/>
        </w:rPr>
        <w:t>,</w:t>
      </w:r>
      <w:r w:rsidRPr="008D49E2">
        <w:rPr>
          <w:szCs w:val="18"/>
          <w:lang w:val="es-ES"/>
        </w:rPr>
        <w:t xml:space="preserve"> </w:t>
      </w:r>
      <w:r w:rsidRPr="008D49E2">
        <w:rPr>
          <w:i/>
          <w:iCs/>
          <w:szCs w:val="18"/>
          <w:lang w:val="es-ES"/>
        </w:rPr>
        <w:t>op. cit.</w:t>
      </w:r>
      <w:r w:rsidRPr="008D49E2">
        <w:rPr>
          <w:szCs w:val="18"/>
          <w:lang w:val="es-ES"/>
        </w:rPr>
        <w:t xml:space="preserve"> en la nota 44, pág. 291.</w:t>
      </w:r>
    </w:p>
  </w:footnote>
  <w:footnote w:id="4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ab/>
        <w:t>Art. 10</w:t>
      </w:r>
      <w:r w:rsidRPr="008D49E2">
        <w:rPr>
          <w:i/>
          <w:iCs/>
          <w:szCs w:val="18"/>
          <w:lang w:val="es-ES"/>
        </w:rPr>
        <w:t>bis</w:t>
      </w:r>
      <w:r w:rsidRPr="008D49E2">
        <w:rPr>
          <w:szCs w:val="18"/>
          <w:lang w:val="es-ES"/>
        </w:rPr>
        <w:t xml:space="preserve"> y 11.  Véase asimismo Sam Ricketson y Jane C. Ginsburg, </w:t>
      </w:r>
      <w:r w:rsidRPr="008D49E2">
        <w:rPr>
          <w:i/>
          <w:iCs/>
          <w:szCs w:val="18"/>
          <w:lang w:val="es-ES"/>
        </w:rPr>
        <w:t>op. cit.</w:t>
      </w:r>
      <w:r w:rsidRPr="008D49E2">
        <w:rPr>
          <w:szCs w:val="18"/>
          <w:lang w:val="es-ES"/>
        </w:rPr>
        <w:t xml:space="preserve"> en la nota 46, pág. 614.</w:t>
      </w:r>
    </w:p>
  </w:footnote>
  <w:footnote w:id="4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WO/GA/32/8, párr. 75 del Anexo.</w:t>
      </w:r>
    </w:p>
  </w:footnote>
  <w:footnote w:id="4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Para más información, véanse las págs. 7 a 11 del Anexo I del documento WIPO/GRTKF/IC/16/6 y la base de datos de medidas legislativas nacionales y regionales del derecho de patentes de la División de Conocimientos Tradicionales, disponible en:  http://www.wipo.int/tk/en/laws/genetic.html.</w:t>
      </w:r>
    </w:p>
  </w:footnote>
  <w:footnote w:id="50">
    <w:p w:rsidR="00765094" w:rsidRPr="00765094" w:rsidRDefault="00765094" w:rsidP="00C0409B">
      <w:pPr>
        <w:pStyle w:val="FootnoteText"/>
        <w:tabs>
          <w:tab w:val="left" w:pos="550"/>
        </w:tabs>
        <w:ind w:left="567" w:hanging="550"/>
        <w:rPr>
          <w:szCs w:val="18"/>
        </w:rPr>
      </w:pPr>
      <w:r w:rsidRPr="008D49E2">
        <w:rPr>
          <w:rStyle w:val="FootnoteReference"/>
          <w:szCs w:val="18"/>
          <w:lang w:val="es-ES"/>
        </w:rPr>
        <w:footnoteRef/>
      </w:r>
      <w:r w:rsidRPr="00765094">
        <w:rPr>
          <w:szCs w:val="18"/>
        </w:rPr>
        <w:t xml:space="preserve"> </w:t>
      </w:r>
      <w:r w:rsidRPr="00765094">
        <w:rPr>
          <w:rStyle w:val="FootnoteReference"/>
          <w:szCs w:val="18"/>
        </w:rPr>
        <w:tab/>
      </w:r>
      <w:proofErr w:type="spellStart"/>
      <w:r w:rsidRPr="00765094">
        <w:rPr>
          <w:szCs w:val="18"/>
        </w:rPr>
        <w:t>Publicación</w:t>
      </w:r>
      <w:proofErr w:type="spellEnd"/>
      <w:r w:rsidRPr="00765094">
        <w:rPr>
          <w:szCs w:val="18"/>
        </w:rPr>
        <w:t xml:space="preserve"> Nº 786 de la OMPI, </w:t>
      </w:r>
      <w:r w:rsidRPr="00765094">
        <w:rPr>
          <w:i/>
          <w:szCs w:val="18"/>
        </w:rPr>
        <w:t>WIPO Technical Study on Patent Disclosure Requirements related to Genetic Resources and Traditional Knowledge</w:t>
      </w:r>
      <w:r w:rsidRPr="00765094">
        <w:rPr>
          <w:szCs w:val="18"/>
        </w:rPr>
        <w:t xml:space="preserve">, </w:t>
      </w:r>
      <w:proofErr w:type="spellStart"/>
      <w:r w:rsidRPr="00765094">
        <w:rPr>
          <w:szCs w:val="18"/>
        </w:rPr>
        <w:t>pág</w:t>
      </w:r>
      <w:proofErr w:type="spellEnd"/>
      <w:r w:rsidRPr="00765094">
        <w:rPr>
          <w:szCs w:val="18"/>
        </w:rPr>
        <w:t>. 65.</w:t>
      </w:r>
    </w:p>
  </w:footnote>
  <w:footnote w:id="5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Publicación Nº 786 de la </w:t>
      </w:r>
      <w:proofErr w:type="spellStart"/>
      <w:r w:rsidRPr="008D49E2">
        <w:rPr>
          <w:szCs w:val="18"/>
          <w:lang w:val="es-ES"/>
        </w:rPr>
        <w:t>OMPI</w:t>
      </w:r>
      <w:proofErr w:type="spellEnd"/>
      <w:r w:rsidRPr="008D49E2">
        <w:rPr>
          <w:szCs w:val="18"/>
          <w:lang w:val="es-ES"/>
        </w:rPr>
        <w:t xml:space="preserve">, </w:t>
      </w:r>
      <w:proofErr w:type="spellStart"/>
      <w:r w:rsidRPr="008D49E2">
        <w:rPr>
          <w:i/>
          <w:szCs w:val="18"/>
          <w:lang w:val="es-ES"/>
        </w:rPr>
        <w:t>WIPO</w:t>
      </w:r>
      <w:proofErr w:type="spellEnd"/>
      <w:r w:rsidRPr="008D49E2">
        <w:rPr>
          <w:i/>
          <w:szCs w:val="18"/>
          <w:lang w:val="es-ES"/>
        </w:rPr>
        <w:t xml:space="preserve"> </w:t>
      </w:r>
      <w:proofErr w:type="spellStart"/>
      <w:r w:rsidRPr="008D49E2">
        <w:rPr>
          <w:i/>
          <w:szCs w:val="18"/>
          <w:lang w:val="es-ES"/>
        </w:rPr>
        <w:t>Technical</w:t>
      </w:r>
      <w:proofErr w:type="spellEnd"/>
      <w:r w:rsidRPr="008D49E2">
        <w:rPr>
          <w:i/>
          <w:szCs w:val="18"/>
          <w:lang w:val="es-ES"/>
        </w:rPr>
        <w:t xml:space="preserve"> </w:t>
      </w:r>
      <w:proofErr w:type="spellStart"/>
      <w:r w:rsidRPr="008D49E2">
        <w:rPr>
          <w:i/>
          <w:szCs w:val="18"/>
          <w:lang w:val="es-ES"/>
        </w:rPr>
        <w:t>Study</w:t>
      </w:r>
      <w:proofErr w:type="spellEnd"/>
      <w:r w:rsidRPr="008D49E2">
        <w:rPr>
          <w:i/>
          <w:szCs w:val="18"/>
          <w:lang w:val="es-ES"/>
        </w:rPr>
        <w:t xml:space="preserve"> </w:t>
      </w:r>
      <w:proofErr w:type="spellStart"/>
      <w:r w:rsidRPr="008D49E2">
        <w:rPr>
          <w:i/>
          <w:szCs w:val="18"/>
          <w:lang w:val="es-ES"/>
        </w:rPr>
        <w:t>on</w:t>
      </w:r>
      <w:proofErr w:type="spellEnd"/>
      <w:r w:rsidRPr="008D49E2">
        <w:rPr>
          <w:i/>
          <w:szCs w:val="18"/>
          <w:lang w:val="es-ES"/>
        </w:rPr>
        <w:t xml:space="preserve"> </w:t>
      </w:r>
      <w:proofErr w:type="spellStart"/>
      <w:r w:rsidRPr="008D49E2">
        <w:rPr>
          <w:i/>
          <w:szCs w:val="18"/>
          <w:lang w:val="es-ES"/>
        </w:rPr>
        <w:t>Patent</w:t>
      </w:r>
      <w:proofErr w:type="spellEnd"/>
      <w:r w:rsidRPr="008D49E2">
        <w:rPr>
          <w:i/>
          <w:szCs w:val="18"/>
          <w:lang w:val="es-ES"/>
        </w:rPr>
        <w:t xml:space="preserve"> </w:t>
      </w:r>
      <w:proofErr w:type="spellStart"/>
      <w:r w:rsidRPr="008D49E2">
        <w:rPr>
          <w:i/>
          <w:szCs w:val="18"/>
          <w:lang w:val="es-ES"/>
        </w:rPr>
        <w:t>Disclosure</w:t>
      </w:r>
      <w:proofErr w:type="spellEnd"/>
      <w:r w:rsidRPr="008D49E2">
        <w:rPr>
          <w:i/>
          <w:szCs w:val="18"/>
          <w:lang w:val="es-ES"/>
        </w:rPr>
        <w:t xml:space="preserve"> </w:t>
      </w:r>
      <w:proofErr w:type="spellStart"/>
      <w:r w:rsidRPr="008D49E2">
        <w:rPr>
          <w:i/>
          <w:szCs w:val="18"/>
          <w:lang w:val="es-ES"/>
        </w:rPr>
        <w:t>Requirements</w:t>
      </w:r>
      <w:proofErr w:type="spellEnd"/>
      <w:r w:rsidRPr="008D49E2">
        <w:rPr>
          <w:i/>
          <w:szCs w:val="18"/>
          <w:lang w:val="es-ES"/>
        </w:rPr>
        <w:t xml:space="preserve"> </w:t>
      </w:r>
      <w:proofErr w:type="spellStart"/>
      <w:r w:rsidRPr="008D49E2">
        <w:rPr>
          <w:i/>
          <w:szCs w:val="18"/>
          <w:lang w:val="es-ES"/>
        </w:rPr>
        <w:t>related</w:t>
      </w:r>
      <w:proofErr w:type="spellEnd"/>
      <w:r w:rsidRPr="008D49E2">
        <w:rPr>
          <w:i/>
          <w:szCs w:val="18"/>
          <w:lang w:val="es-ES"/>
        </w:rPr>
        <w:t xml:space="preserve"> to </w:t>
      </w:r>
      <w:proofErr w:type="spellStart"/>
      <w:r w:rsidRPr="008D49E2">
        <w:rPr>
          <w:i/>
          <w:szCs w:val="18"/>
          <w:lang w:val="es-ES"/>
        </w:rPr>
        <w:t>Genetic</w:t>
      </w:r>
      <w:proofErr w:type="spellEnd"/>
      <w:r w:rsidRPr="008D49E2">
        <w:rPr>
          <w:i/>
          <w:szCs w:val="18"/>
          <w:lang w:val="es-ES"/>
        </w:rPr>
        <w:t xml:space="preserve"> </w:t>
      </w:r>
      <w:proofErr w:type="spellStart"/>
      <w:r w:rsidRPr="008D49E2">
        <w:rPr>
          <w:i/>
          <w:szCs w:val="18"/>
          <w:lang w:val="es-ES"/>
        </w:rPr>
        <w:t>Resources</w:t>
      </w:r>
      <w:proofErr w:type="spellEnd"/>
      <w:r w:rsidRPr="008D49E2">
        <w:rPr>
          <w:i/>
          <w:szCs w:val="18"/>
          <w:lang w:val="es-ES"/>
        </w:rPr>
        <w:t xml:space="preserve"> and </w:t>
      </w:r>
      <w:proofErr w:type="spellStart"/>
      <w:r w:rsidRPr="008D49E2">
        <w:rPr>
          <w:i/>
          <w:szCs w:val="18"/>
          <w:lang w:val="es-ES"/>
        </w:rPr>
        <w:t>Traditional</w:t>
      </w:r>
      <w:proofErr w:type="spellEnd"/>
      <w:r w:rsidRPr="008D49E2">
        <w:rPr>
          <w:i/>
          <w:szCs w:val="18"/>
          <w:lang w:val="es-ES"/>
        </w:rPr>
        <w:t xml:space="preserve"> </w:t>
      </w:r>
      <w:proofErr w:type="spellStart"/>
      <w:r w:rsidRPr="008D49E2">
        <w:rPr>
          <w:i/>
          <w:szCs w:val="18"/>
          <w:lang w:val="es-ES"/>
        </w:rPr>
        <w:t>Knowledge</w:t>
      </w:r>
      <w:proofErr w:type="spellEnd"/>
      <w:r w:rsidRPr="008D49E2">
        <w:rPr>
          <w:szCs w:val="18"/>
          <w:lang w:val="es-ES"/>
        </w:rPr>
        <w:t xml:space="preserve">;  documento </w:t>
      </w:r>
      <w:proofErr w:type="spellStart"/>
      <w:r w:rsidRPr="008D49E2">
        <w:rPr>
          <w:szCs w:val="18"/>
          <w:lang w:val="es-ES"/>
        </w:rPr>
        <w:t>WO</w:t>
      </w:r>
      <w:proofErr w:type="spellEnd"/>
      <w:r w:rsidRPr="008D49E2">
        <w:rPr>
          <w:szCs w:val="18"/>
          <w:lang w:val="es-ES"/>
        </w:rPr>
        <w:t>/GA/32/8, “Proyecto de examen de las cuestiones relativas a la relación mutua entre el acceso a los recursos genéticos y los requisitos de divulgación en las solicitudes de derechos de propiedad intelectual”, 2005.</w:t>
      </w:r>
    </w:p>
  </w:footnote>
  <w:footnote w:id="5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WIPO/GRTKF/IC/11/10 (propuesta de Suiza) y el Anexo del documento WIPO/GRTKF/IC/16/6.</w:t>
      </w:r>
    </w:p>
  </w:footnote>
  <w:footnote w:id="5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WIPO/GRTKF/IC/8/11 (propuesta de la UE) y el Anexo del documento WIPO/GRTKF/IC/16/6.</w:t>
      </w:r>
    </w:p>
  </w:footnote>
  <w:footnote w:id="5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Anexo del documento WIPO/GRTKF/IC/17/10.</w:t>
      </w:r>
    </w:p>
  </w:footnote>
  <w:footnote w:id="55">
    <w:p w:rsidR="00765094" w:rsidRPr="008D49E2" w:rsidRDefault="00765094" w:rsidP="00C0409B">
      <w:pPr>
        <w:pStyle w:val="FootnoteText"/>
        <w:rPr>
          <w:lang w:val="es-ES"/>
        </w:rPr>
      </w:pPr>
      <w:r w:rsidRPr="008D49E2">
        <w:rPr>
          <w:rStyle w:val="FootnoteReference"/>
          <w:lang w:val="es-ES"/>
        </w:rPr>
        <w:footnoteRef/>
      </w:r>
      <w:r w:rsidRPr="008D49E2">
        <w:rPr>
          <w:lang w:val="es-ES"/>
        </w:rPr>
        <w:t xml:space="preserve"> </w:t>
      </w:r>
      <w:r w:rsidRPr="008D49E2">
        <w:rPr>
          <w:lang w:val="es-ES"/>
        </w:rPr>
        <w:tab/>
        <w:t>Véase el artículo 3 del documento WIPO/GRTKF/IC/19/11.</w:t>
      </w:r>
    </w:p>
  </w:footnote>
  <w:footnote w:id="5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WIPO/GRTKF/IC/9/13 (propuesta alternativa).</w:t>
      </w:r>
    </w:p>
  </w:footnote>
  <w:footnote w:id="5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TN/C/W/52.</w:t>
      </w:r>
    </w:p>
  </w:footnote>
  <w:footnote w:id="5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“Informe sobre la Guía para la Gestión de la Propiedad Intelectual en la Catalogación de Conocimientos Tradicionales y Recursos Genéticos” (documento WIPO/GRTKF/IC/5/5).</w:t>
      </w:r>
    </w:p>
  </w:footnote>
  <w:footnote w:id="5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“Informe sobre la Guía para la gestión de la propiedad intelectual en la catalogación de conocimientos tradicionales y recursos genéticos” (WIPO/GRTKF/IC/5/5), pág. 4 del Anexo.</w:t>
      </w:r>
    </w:p>
  </w:footnote>
  <w:footnote w:id="60">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Guía de la OMPI sobre los tratados de derecho de autor...</w:t>
      </w:r>
      <w:r w:rsidRPr="008D49E2">
        <w:rPr>
          <w:szCs w:val="18"/>
          <w:lang w:val="es-ES"/>
        </w:rPr>
        <w:t xml:space="preserve">, </w:t>
      </w:r>
      <w:r w:rsidRPr="008D49E2">
        <w:rPr>
          <w:i/>
          <w:iCs/>
          <w:szCs w:val="18"/>
          <w:lang w:val="es-ES"/>
        </w:rPr>
        <w:t>op. cit.</w:t>
      </w:r>
      <w:r w:rsidRPr="008D49E2">
        <w:rPr>
          <w:szCs w:val="18"/>
          <w:lang w:val="es-ES"/>
        </w:rPr>
        <w:t xml:space="preserve"> en la nota 44.</w:t>
      </w:r>
    </w:p>
  </w:footnote>
  <w:footnote w:id="6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Excepciones y limitaciones al derecho de autor y los derechos conexos</w:t>
      </w:r>
      <w:r w:rsidRPr="008D49E2">
        <w:rPr>
          <w:szCs w:val="18"/>
          <w:lang w:val="es-ES"/>
        </w:rPr>
        <w:t>, estudio preparado por Pierre Sirinelli (WCT-WPPT/IMP/1), 1999, pág. 2.</w:t>
      </w:r>
    </w:p>
  </w:footnote>
  <w:footnote w:id="6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 9.2.</w:t>
      </w:r>
    </w:p>
  </w:footnote>
  <w:footnote w:id="6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Disposiciones Tipo para leyes nacionales sobre la protección… (1982), </w:t>
      </w:r>
      <w:r w:rsidRPr="008D49E2">
        <w:rPr>
          <w:i/>
          <w:iCs/>
          <w:szCs w:val="18"/>
          <w:lang w:val="es-ES"/>
        </w:rPr>
        <w:t>op. cit.</w:t>
      </w:r>
      <w:r w:rsidRPr="008D49E2">
        <w:rPr>
          <w:szCs w:val="18"/>
          <w:lang w:val="es-ES"/>
        </w:rPr>
        <w:t xml:space="preserve"> en la nota 36, párr. 37.</w:t>
      </w:r>
    </w:p>
  </w:footnote>
  <w:footnote w:id="6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
          <w:szCs w:val="18"/>
          <w:lang w:val="es-ES"/>
        </w:rPr>
        <w:t>Ibíd.</w:t>
      </w:r>
      <w:r w:rsidRPr="008D49E2">
        <w:rPr>
          <w:szCs w:val="18"/>
          <w:lang w:val="es-ES"/>
        </w:rPr>
        <w:t xml:space="preserve"> </w:t>
      </w:r>
    </w:p>
  </w:footnote>
  <w:footnote w:id="6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Disposiciones Tipo para leyes nacionales sobre la protección… (1982), </w:t>
      </w:r>
      <w:r w:rsidRPr="008D49E2">
        <w:rPr>
          <w:i/>
          <w:iCs/>
          <w:szCs w:val="18"/>
          <w:lang w:val="es-ES"/>
        </w:rPr>
        <w:t>op. cit.</w:t>
      </w:r>
      <w:r w:rsidRPr="008D49E2">
        <w:rPr>
          <w:szCs w:val="18"/>
          <w:lang w:val="es-ES"/>
        </w:rPr>
        <w:t xml:space="preserve"> en la nota 36, art. 2.</w:t>
      </w:r>
    </w:p>
  </w:footnote>
  <w:footnote w:id="66">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Guía de la OMPI sobre los tratados de derecho de autor..., </w:t>
      </w:r>
      <w:r w:rsidRPr="008D49E2">
        <w:rPr>
          <w:i/>
          <w:iCs/>
          <w:szCs w:val="18"/>
          <w:lang w:val="es-ES"/>
        </w:rPr>
        <w:t>op. cit.</w:t>
      </w:r>
      <w:r w:rsidRPr="008D49E2">
        <w:rPr>
          <w:szCs w:val="18"/>
          <w:lang w:val="es-ES"/>
        </w:rPr>
        <w:t xml:space="preserve"> en la nota 44, pág. 289.</w:t>
      </w:r>
    </w:p>
  </w:footnote>
  <w:footnote w:id="67">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Guía de la OMPI sobre los tratados de derecho de autor..., </w:t>
      </w:r>
      <w:r w:rsidRPr="008D49E2">
        <w:rPr>
          <w:i/>
          <w:iCs/>
          <w:szCs w:val="18"/>
          <w:lang w:val="es-ES"/>
        </w:rPr>
        <w:t>op. cit.</w:t>
      </w:r>
      <w:r w:rsidRPr="008D49E2">
        <w:rPr>
          <w:szCs w:val="18"/>
          <w:lang w:val="es-ES"/>
        </w:rPr>
        <w:t xml:space="preserve"> en la nota 44, pág. 294.</w:t>
      </w:r>
    </w:p>
  </w:footnote>
  <w:footnote w:id="68">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 2.2) del Convenio de Berna.</w:t>
      </w:r>
    </w:p>
  </w:footnote>
  <w:footnote w:id="69">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 xml:space="preserve">Terri </w:t>
      </w:r>
      <w:proofErr w:type="spellStart"/>
      <w:r w:rsidRPr="00765094">
        <w:rPr>
          <w:szCs w:val="18"/>
        </w:rPr>
        <w:t>Janke</w:t>
      </w:r>
      <w:proofErr w:type="spellEnd"/>
      <w:r w:rsidRPr="00765094">
        <w:rPr>
          <w:szCs w:val="18"/>
        </w:rPr>
        <w:t>, “</w:t>
      </w:r>
      <w:r w:rsidRPr="00765094">
        <w:rPr>
          <w:i/>
          <w:szCs w:val="18"/>
        </w:rPr>
        <w:t>Unauthorized Reproduction of Rock Art</w:t>
      </w:r>
      <w:r w:rsidRPr="00765094">
        <w:rPr>
          <w:szCs w:val="18"/>
        </w:rPr>
        <w:t xml:space="preserve">”, </w:t>
      </w:r>
      <w:proofErr w:type="spellStart"/>
      <w:r w:rsidRPr="00765094">
        <w:rPr>
          <w:szCs w:val="18"/>
        </w:rPr>
        <w:t>en</w:t>
      </w:r>
      <w:proofErr w:type="spellEnd"/>
      <w:r w:rsidRPr="00765094">
        <w:rPr>
          <w:szCs w:val="18"/>
        </w:rPr>
        <w:t xml:space="preserve"> </w:t>
      </w:r>
      <w:r w:rsidRPr="00765094">
        <w:rPr>
          <w:i/>
          <w:iCs/>
          <w:szCs w:val="18"/>
        </w:rPr>
        <w:t>Minding Culture:  Case Studies on Intellectual Property and Traditional Cultural Expressions</w:t>
      </w:r>
      <w:r w:rsidRPr="00765094">
        <w:rPr>
          <w:szCs w:val="18"/>
        </w:rPr>
        <w:t>, OMPI, 2003.</w:t>
      </w:r>
    </w:p>
  </w:footnote>
  <w:footnote w:id="7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“Informe de la decimoséptima sesión del Comité” (WIPO/GRTKF/IC/17/12), párr. 50.</w:t>
      </w:r>
    </w:p>
  </w:footnote>
  <w:footnote w:id="7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Disposiciones Tipo para leyes nacionales sobre la protección...” (1982), </w:t>
      </w:r>
      <w:r w:rsidRPr="008D49E2">
        <w:rPr>
          <w:i/>
          <w:iCs/>
          <w:szCs w:val="18"/>
          <w:lang w:val="es-ES"/>
        </w:rPr>
        <w:t>op. cit.</w:t>
      </w:r>
      <w:r w:rsidRPr="008D49E2">
        <w:rPr>
          <w:szCs w:val="18"/>
          <w:lang w:val="es-ES"/>
        </w:rPr>
        <w:t xml:space="preserve"> en la nota 36, Parte I, párrafos 5, 6 y 7.</w:t>
      </w:r>
    </w:p>
  </w:footnote>
  <w:footnote w:id="7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Guía de la OMPI sobre los tratados de derecho de autor..., </w:t>
      </w:r>
      <w:r w:rsidRPr="008D49E2">
        <w:rPr>
          <w:i/>
          <w:iCs/>
          <w:szCs w:val="18"/>
          <w:lang w:val="es-ES"/>
        </w:rPr>
        <w:t>op. cit.</w:t>
      </w:r>
      <w:r w:rsidRPr="008D49E2">
        <w:rPr>
          <w:szCs w:val="18"/>
          <w:lang w:val="es-ES"/>
        </w:rPr>
        <w:t xml:space="preserve"> en la nota 44, pág. 295.</w:t>
      </w:r>
    </w:p>
  </w:footnote>
  <w:footnote w:id="7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4">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7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7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“El concepto de comunidades locales”, documento preparado por la Secretaría del Foro Permanente para las Cuestiones Indígenas en el Taller de expertos sobre la desagregación de datos (PFII/2004/WS.1/3/Add.1).  Véase también el documento</w:t>
      </w:r>
      <w:r w:rsidRPr="008D49E2">
        <w:rPr>
          <w:i/>
          <w:szCs w:val="18"/>
          <w:lang w:val="es-ES"/>
        </w:rPr>
        <w:t xml:space="preserve"> </w:t>
      </w:r>
      <w:r w:rsidRPr="008D49E2">
        <w:rPr>
          <w:szCs w:val="18"/>
          <w:lang w:val="es-ES"/>
        </w:rPr>
        <w:t>UNEP/CBD/WS-CB/LAC/1/INF/5.</w:t>
      </w:r>
    </w:p>
  </w:footnote>
  <w:footnote w:id="77">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ab/>
      </w:r>
      <w:proofErr w:type="spellStart"/>
      <w:proofErr w:type="gramStart"/>
      <w:r w:rsidRPr="00765094">
        <w:rPr>
          <w:szCs w:val="18"/>
        </w:rPr>
        <w:t>Véase</w:t>
      </w:r>
      <w:proofErr w:type="spellEnd"/>
      <w:r w:rsidRPr="00765094">
        <w:rPr>
          <w:szCs w:val="18"/>
        </w:rPr>
        <w:t xml:space="preserve"> el </w:t>
      </w:r>
      <w:proofErr w:type="spellStart"/>
      <w:r w:rsidRPr="00765094">
        <w:rPr>
          <w:szCs w:val="18"/>
        </w:rPr>
        <w:t>documento</w:t>
      </w:r>
      <w:proofErr w:type="spellEnd"/>
      <w:r w:rsidRPr="00765094">
        <w:rPr>
          <w:szCs w:val="18"/>
        </w:rPr>
        <w:t xml:space="preserve"> </w:t>
      </w:r>
      <w:r w:rsidRPr="00765094">
        <w:rPr>
          <w:i/>
          <w:iCs/>
          <w:szCs w:val="18"/>
        </w:rPr>
        <w:t>Development of Elements of Sui Generis Systems for the Protection of Traditional Knowledge, Innovations and Practices</w:t>
      </w:r>
      <w:r w:rsidRPr="00765094">
        <w:rPr>
          <w:szCs w:val="18"/>
        </w:rPr>
        <w:t xml:space="preserve"> (</w:t>
      </w:r>
      <w:proofErr w:type="spellStart"/>
      <w:r w:rsidRPr="00765094">
        <w:rPr>
          <w:szCs w:val="18"/>
        </w:rPr>
        <w:t>documento</w:t>
      </w:r>
      <w:proofErr w:type="spellEnd"/>
      <w:r w:rsidRPr="00765094">
        <w:rPr>
          <w:szCs w:val="18"/>
        </w:rPr>
        <w:t xml:space="preserve"> UNEP/CBD/WG8J/4/INF/18), </w:t>
      </w:r>
      <w:proofErr w:type="spellStart"/>
      <w:r w:rsidRPr="00765094">
        <w:rPr>
          <w:szCs w:val="18"/>
        </w:rPr>
        <w:t>pág</w:t>
      </w:r>
      <w:proofErr w:type="spellEnd"/>
      <w:r w:rsidRPr="00765094">
        <w:rPr>
          <w:szCs w:val="18"/>
        </w:rPr>
        <w:t>.</w:t>
      </w:r>
      <w:proofErr w:type="gramEnd"/>
      <w:r w:rsidRPr="00765094">
        <w:rPr>
          <w:szCs w:val="18"/>
        </w:rPr>
        <w:t xml:space="preserve"> </w:t>
      </w:r>
      <w:proofErr w:type="gramStart"/>
      <w:r w:rsidRPr="00765094">
        <w:rPr>
          <w:szCs w:val="18"/>
        </w:rPr>
        <w:t>5 (</w:t>
      </w:r>
      <w:proofErr w:type="spellStart"/>
      <w:r w:rsidRPr="00765094">
        <w:rPr>
          <w:szCs w:val="18"/>
        </w:rPr>
        <w:t>Traducción</w:t>
      </w:r>
      <w:proofErr w:type="spellEnd"/>
      <w:r w:rsidRPr="00765094">
        <w:rPr>
          <w:szCs w:val="18"/>
        </w:rPr>
        <w:t xml:space="preserve"> </w:t>
      </w:r>
      <w:proofErr w:type="spellStart"/>
      <w:r w:rsidRPr="00765094">
        <w:rPr>
          <w:szCs w:val="18"/>
        </w:rPr>
        <w:t>oficiosa</w:t>
      </w:r>
      <w:proofErr w:type="spellEnd"/>
      <w:r w:rsidRPr="00765094">
        <w:rPr>
          <w:szCs w:val="18"/>
        </w:rPr>
        <w:t xml:space="preserve"> de la </w:t>
      </w:r>
      <w:proofErr w:type="spellStart"/>
      <w:r w:rsidRPr="00765094">
        <w:rPr>
          <w:szCs w:val="18"/>
        </w:rPr>
        <w:t>Oficina</w:t>
      </w:r>
      <w:proofErr w:type="spellEnd"/>
      <w:r w:rsidRPr="00765094">
        <w:rPr>
          <w:szCs w:val="18"/>
        </w:rPr>
        <w:t xml:space="preserve"> </w:t>
      </w:r>
      <w:proofErr w:type="spellStart"/>
      <w:r w:rsidRPr="00765094">
        <w:rPr>
          <w:szCs w:val="18"/>
        </w:rPr>
        <w:t>Internacional</w:t>
      </w:r>
      <w:proofErr w:type="spellEnd"/>
      <w:r w:rsidRPr="00765094">
        <w:rPr>
          <w:szCs w:val="18"/>
        </w:rPr>
        <w:t>).</w:t>
      </w:r>
      <w:proofErr w:type="gramEnd"/>
    </w:p>
  </w:footnote>
  <w:footnote w:id="7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ab/>
        <w:t>“Informe de la OMPI relativo a las misiones exploratorias sobre propiedad intelectual y conocimientos tradicionales (1998</w:t>
      </w:r>
      <w:r w:rsidRPr="008D49E2">
        <w:rPr>
          <w:szCs w:val="18"/>
          <w:lang w:val="es-ES"/>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Artículo 1 del Convenio Nº 169 de la OIT sobre pueblos indígenas y tribales en países independientes.</w:t>
      </w:r>
    </w:p>
  </w:footnote>
  <w:footnote w:id="80">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Glosario del PNUMA de términos para negociadores de acuerdos ambientales multilaterales, disponible en:  </w:t>
      </w:r>
      <w:hyperlink r:id="rId11" w:history="1">
        <w:r w:rsidRPr="008D49E2">
          <w:rPr>
            <w:rStyle w:val="Hyperlink"/>
            <w:szCs w:val="18"/>
            <w:lang w:val="es-ES"/>
          </w:rPr>
          <w:t>http://www.unep.org/delc/portals/119/Glossary/terms%20_for_Negotiators_MEAs.pdf</w:t>
        </w:r>
      </w:hyperlink>
    </w:p>
  </w:footnote>
  <w:footnote w:id="8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Véase la Política Operacional 4.10, sobre pueblos indígenas, del Banco Mundial (2005);  John Henriksen, </w:t>
      </w:r>
      <w:r w:rsidRPr="008D49E2">
        <w:rPr>
          <w:i/>
          <w:iCs/>
          <w:szCs w:val="18"/>
          <w:lang w:val="es-ES"/>
        </w:rPr>
        <w:t>Key Principles in Implementing ILO Convention Nº 169,</w:t>
      </w:r>
      <w:r w:rsidRPr="008D49E2">
        <w:rPr>
          <w:szCs w:val="18"/>
          <w:lang w:val="es-ES"/>
        </w:rPr>
        <w:t xml:space="preserve"> 2008.</w:t>
      </w:r>
    </w:p>
  </w:footnote>
  <w:footnote w:id="8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Disponible en http://www.ifad.org./english/indigenous/documents/ip_policy_s.pdf.</w:t>
      </w:r>
    </w:p>
  </w:footnote>
  <w:footnote w:id="84">
    <w:p w:rsidR="00765094" w:rsidRPr="008D49E2" w:rsidRDefault="00765094" w:rsidP="00C0409B">
      <w:pPr>
        <w:tabs>
          <w:tab w:val="left" w:pos="550"/>
        </w:tabs>
        <w:ind w:left="567" w:hanging="550"/>
        <w:rPr>
          <w:sz w:val="18"/>
          <w:szCs w:val="18"/>
          <w:lang w:val="es-ES"/>
        </w:rPr>
      </w:pPr>
      <w:r w:rsidRPr="008D49E2">
        <w:rPr>
          <w:rStyle w:val="FootnoteReference"/>
          <w:szCs w:val="18"/>
          <w:lang w:val="es-ES"/>
        </w:rPr>
        <w:footnoteRef/>
      </w:r>
      <w:r w:rsidRPr="008D49E2">
        <w:rPr>
          <w:sz w:val="18"/>
          <w:szCs w:val="18"/>
          <w:lang w:val="es-ES"/>
        </w:rPr>
        <w:t xml:space="preserve"> </w:t>
      </w:r>
      <w:r w:rsidRPr="008D49E2">
        <w:rPr>
          <w:rStyle w:val="FootnoteReference"/>
          <w:szCs w:val="18"/>
          <w:lang w:val="es-ES"/>
        </w:rPr>
        <w:tab/>
      </w:r>
      <w:r w:rsidRPr="008D49E2">
        <w:rPr>
          <w:sz w:val="18"/>
          <w:szCs w:val="18"/>
          <w:lang w:val="es-ES"/>
        </w:rPr>
        <w:t>Disponible en:  http://www.hreoc.gov.au/social_justice/conference/engaging_communities/unpan021101.pdf.</w:t>
      </w:r>
    </w:p>
  </w:footnote>
  <w:footnote w:id="8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Subcomisión de las Naciones Unidas de Prevención de Discriminaciones y Protección a las Minorías:  “Estudio del problema de la discriminación contra las poblaciones indígenas" (documento E/CN.4/Sub.2/1986/7/Add.4.), párr. 379 (1986).</w:t>
      </w:r>
    </w:p>
  </w:footnote>
  <w:footnote w:id="8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Guía de la OMPI sobre los tratados de derecho de autor...,</w:t>
      </w:r>
      <w:r w:rsidRPr="008D49E2">
        <w:rPr>
          <w:szCs w:val="18"/>
          <w:lang w:val="es-ES"/>
        </w:rPr>
        <w:t xml:space="preserve"> </w:t>
      </w:r>
      <w:r w:rsidRPr="008D49E2">
        <w:rPr>
          <w:i/>
          <w:iCs/>
          <w:szCs w:val="18"/>
          <w:lang w:val="es-ES"/>
        </w:rPr>
        <w:t>op. cit.</w:t>
      </w:r>
      <w:r w:rsidRPr="008D49E2">
        <w:rPr>
          <w:szCs w:val="18"/>
          <w:lang w:val="es-ES"/>
        </w:rPr>
        <w:t xml:space="preserve"> en la nota 44, pág. 298.</w:t>
      </w:r>
    </w:p>
  </w:footnote>
  <w:footnote w:id="8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765094">
        <w:rPr>
          <w:szCs w:val="18"/>
        </w:rPr>
        <w:t xml:space="preserve"> </w:t>
      </w:r>
      <w:r w:rsidRPr="00765094">
        <w:rPr>
          <w:rStyle w:val="FootnoteReference"/>
          <w:szCs w:val="18"/>
        </w:rPr>
        <w:tab/>
      </w:r>
      <w:proofErr w:type="spellStart"/>
      <w:proofErr w:type="gramStart"/>
      <w:r w:rsidRPr="00765094">
        <w:rPr>
          <w:szCs w:val="18"/>
        </w:rPr>
        <w:t>Ricketson</w:t>
      </w:r>
      <w:proofErr w:type="spellEnd"/>
      <w:r w:rsidRPr="00765094">
        <w:rPr>
          <w:szCs w:val="18"/>
        </w:rPr>
        <w:t xml:space="preserve"> y Ginsburg, </w:t>
      </w:r>
      <w:r w:rsidRPr="00765094">
        <w:rPr>
          <w:i/>
          <w:szCs w:val="18"/>
        </w:rPr>
        <w:t xml:space="preserve">International Copyright and Neighboring Rights-The Berne Convention and Beyond, </w:t>
      </w:r>
      <w:r w:rsidRPr="00765094">
        <w:rPr>
          <w:szCs w:val="18"/>
        </w:rPr>
        <w:t>Oxford, Vol.</w:t>
      </w:r>
      <w:proofErr w:type="gramEnd"/>
      <w:r w:rsidRPr="00765094">
        <w:rPr>
          <w:szCs w:val="18"/>
        </w:rPr>
        <w:t xml:space="preserve"> </w:t>
      </w:r>
      <w:r w:rsidRPr="008D49E2">
        <w:rPr>
          <w:szCs w:val="18"/>
          <w:lang w:val="es-ES"/>
        </w:rPr>
        <w:t>I, p. 602.</w:t>
      </w:r>
    </w:p>
  </w:footnote>
  <w:footnote w:id="8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WIPO/GRTKF/IC/2/3, párr. 133.</w:t>
      </w:r>
    </w:p>
  </w:footnote>
  <w:footnote w:id="8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WIPO/GRTKF/IC/7/9 “Los recursos genéticos:  Proyecto de directrices de propiedad intelectual para el acceso a los recursos genéticos y la participación equitativa en los beneficios”.</w:t>
      </w:r>
    </w:p>
  </w:footnote>
  <w:footnote w:id="90">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Véanse los principios operativos en la sección V.B del documento WIPO/GRTKF/IC/2/3.</w:t>
      </w:r>
    </w:p>
  </w:footnote>
  <w:footnote w:id="9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WIPO/GRTKF/IC/17/INF/12, “Recursos genéticos:  Proyecto de directrices de propiedad intelectual para el acceso y la participación equitativa en los beneficios:  versión actualizada”.</w:t>
      </w:r>
    </w:p>
  </w:footnote>
  <w:footnote w:id="9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
          <w:szCs w:val="18"/>
          <w:lang w:val="es-ES"/>
        </w:rPr>
        <w:t>Ídem</w:t>
      </w:r>
      <w:r w:rsidRPr="008D49E2">
        <w:rPr>
          <w:szCs w:val="18"/>
          <w:lang w:val="es-ES"/>
        </w:rPr>
        <w:t>.</w:t>
      </w:r>
    </w:p>
  </w:footnote>
  <w:footnote w:id="9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
          <w:szCs w:val="18"/>
          <w:lang w:val="es-ES"/>
        </w:rPr>
        <w:t>Ídem</w:t>
      </w:r>
      <w:r w:rsidRPr="008D49E2">
        <w:rPr>
          <w:szCs w:val="18"/>
          <w:lang w:val="es-ES"/>
        </w:rPr>
        <w:t>, pág. 4 del Anexo.</w:t>
      </w:r>
    </w:p>
  </w:footnote>
  <w:footnote w:id="9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WIPO/GRTKF/IC/17/INF/12.</w:t>
      </w:r>
    </w:p>
  </w:footnote>
  <w:footnote w:id="9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Glosario PATENTSCOPE de la OMPI.</w:t>
      </w:r>
    </w:p>
  </w:footnote>
  <w:footnote w:id="9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Véase la Publicación Nº 489 (E) de la OMPI, </w:t>
      </w:r>
      <w:r w:rsidRPr="008D49E2">
        <w:rPr>
          <w:i/>
          <w:szCs w:val="18"/>
          <w:lang w:val="es-ES"/>
        </w:rPr>
        <w:t xml:space="preserve">WIPO Intellectual Property Handbook, </w:t>
      </w:r>
      <w:r w:rsidRPr="008D49E2">
        <w:rPr>
          <w:szCs w:val="18"/>
          <w:lang w:val="es-ES"/>
        </w:rPr>
        <w:t>2008.</w:t>
      </w:r>
    </w:p>
  </w:footnote>
  <w:footnote w:id="9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WIPO/GRTKF/IC/17/INF/12.</w:t>
      </w:r>
    </w:p>
  </w:footnote>
  <w:footnote w:id="9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w:t>
      </w:r>
      <w:r w:rsidRPr="008D49E2">
        <w:rPr>
          <w:iCs/>
          <w:szCs w:val="18"/>
          <w:lang w:val="es-ES"/>
        </w:rPr>
        <w:t>Excepciones y limitaciones al derecho de autor y los derechos conexos”,</w:t>
      </w:r>
      <w:r w:rsidRPr="008D49E2">
        <w:rPr>
          <w:szCs w:val="18"/>
          <w:lang w:val="es-ES"/>
        </w:rPr>
        <w:t xml:space="preserve"> documento WCT</w:t>
      </w:r>
      <w:r w:rsidRPr="008D49E2">
        <w:rPr>
          <w:szCs w:val="18"/>
          <w:lang w:val="es-ES"/>
        </w:rPr>
        <w:noBreakHyphen/>
        <w:t>WPPT/IMP/1, pág. 2.</w:t>
      </w:r>
    </w:p>
  </w:footnote>
  <w:footnote w:id="99">
    <w:p w:rsidR="00765094" w:rsidRPr="00765094" w:rsidRDefault="00765094" w:rsidP="00C0409B">
      <w:pPr>
        <w:pStyle w:val="FootnoteText"/>
        <w:tabs>
          <w:tab w:val="left" w:pos="550"/>
        </w:tabs>
        <w:ind w:left="567" w:hanging="550"/>
        <w:rPr>
          <w:szCs w:val="18"/>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Sección del sitio Web de la OMPI sobre Derecho de Autor y Derechos Conexos.  </w:t>
      </w:r>
      <w:r w:rsidRPr="00765094">
        <w:rPr>
          <w:szCs w:val="18"/>
        </w:rPr>
        <w:t>(</w:t>
      </w:r>
      <w:hyperlink r:id="rId12" w:history="1">
        <w:r w:rsidRPr="00765094">
          <w:rPr>
            <w:rStyle w:val="Hyperlink"/>
            <w:szCs w:val="18"/>
          </w:rPr>
          <w:t>http://www.wipo.int/copyright/es/limitations/index.html</w:t>
        </w:r>
      </w:hyperlink>
      <w:r w:rsidRPr="00765094">
        <w:rPr>
          <w:szCs w:val="18"/>
        </w:rPr>
        <w:t>)</w:t>
      </w:r>
    </w:p>
  </w:footnote>
  <w:footnote w:id="100">
    <w:p w:rsidR="00765094" w:rsidRPr="00765094" w:rsidRDefault="00765094" w:rsidP="00C0409B">
      <w:pPr>
        <w:pStyle w:val="FootnoteText"/>
        <w:tabs>
          <w:tab w:val="left" w:pos="550"/>
        </w:tabs>
        <w:ind w:left="567" w:hanging="550"/>
        <w:rPr>
          <w:szCs w:val="18"/>
        </w:rPr>
      </w:pPr>
      <w:r w:rsidRPr="008D49E2">
        <w:rPr>
          <w:rStyle w:val="FootnoteReference"/>
          <w:szCs w:val="18"/>
          <w:lang w:val="es-ES"/>
        </w:rPr>
        <w:footnoteRef/>
      </w:r>
      <w:r w:rsidRPr="00765094">
        <w:rPr>
          <w:szCs w:val="18"/>
        </w:rPr>
        <w:t xml:space="preserve"> </w:t>
      </w:r>
      <w:r w:rsidRPr="00765094">
        <w:rPr>
          <w:rStyle w:val="FootnoteReference"/>
          <w:szCs w:val="18"/>
        </w:rPr>
        <w:tab/>
      </w:r>
      <w:r w:rsidRPr="00765094">
        <w:rPr>
          <w:szCs w:val="18"/>
        </w:rPr>
        <w:t>Art. 10.1.</w:t>
      </w:r>
    </w:p>
  </w:footnote>
  <w:footnote w:id="10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 9.2.</w:t>
      </w:r>
    </w:p>
  </w:footnote>
  <w:footnote w:id="10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Guía de la OMPI sobre los tratados de derecho de autor...,</w:t>
      </w:r>
      <w:r w:rsidRPr="008D49E2">
        <w:rPr>
          <w:szCs w:val="18"/>
          <w:lang w:val="es-ES"/>
        </w:rPr>
        <w:t xml:space="preserve"> </w:t>
      </w:r>
      <w:r w:rsidRPr="008D49E2">
        <w:rPr>
          <w:i/>
          <w:iCs/>
          <w:szCs w:val="18"/>
          <w:lang w:val="es-ES"/>
        </w:rPr>
        <w:t>op. cit.</w:t>
      </w:r>
      <w:r w:rsidRPr="008D49E2">
        <w:rPr>
          <w:szCs w:val="18"/>
          <w:lang w:val="es-ES"/>
        </w:rPr>
        <w:t xml:space="preserve"> en la nota 48, pág. 316.</w:t>
      </w:r>
    </w:p>
  </w:footnote>
  <w:footnote w:id="10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WIPO/GRTKF/IC/17/INF/12.</w:t>
      </w:r>
    </w:p>
  </w:footnote>
  <w:footnote w:id="10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Disponible en:  http://www.wipo.int/tk/es/databases/contracts/index.html.</w:t>
      </w:r>
    </w:p>
  </w:footnote>
  <w:footnote w:id="10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Disponible en:  ftp://ftp.fao.org/ag/cgrfa/gb1/SMTAe.pdf.</w:t>
      </w:r>
    </w:p>
  </w:footnote>
  <w:footnote w:id="10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Disponible en:  http://www.wipo.int/pct/es/texts/glossary.html#M.</w:t>
      </w:r>
    </w:p>
  </w:footnote>
  <w:footnote w:id="10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Directrices de búsqueda internacional del PCT (en vigor desde el 18 de septiembre de 1998), párr. IX-2.1.</w:t>
      </w:r>
    </w:p>
  </w:footnote>
  <w:footnote w:id="10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Documentación mínima del PCT, PCT/MIA/9/4.</w:t>
      </w:r>
    </w:p>
  </w:footnote>
  <w:footnote w:id="10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Francesco Capotorti, antiguo Relator Especial de las Naciones Unidas (1979), citado por Dieter Kugelmann en </w:t>
      </w:r>
      <w:r w:rsidRPr="008D49E2">
        <w:rPr>
          <w:i/>
          <w:iCs/>
          <w:szCs w:val="18"/>
          <w:lang w:val="es-ES"/>
        </w:rPr>
        <w:t>The Protection of Minorities and Indigenous Peoples Respective Cultural Diversity</w:t>
      </w:r>
      <w:r w:rsidRPr="008D49E2">
        <w:rPr>
          <w:szCs w:val="18"/>
          <w:lang w:val="es-ES"/>
        </w:rPr>
        <w:t xml:space="preserve">, A. Von Bogdandy y R. Wolffrum (eds), </w:t>
      </w:r>
      <w:r w:rsidRPr="008D49E2">
        <w:rPr>
          <w:i/>
          <w:iCs/>
          <w:szCs w:val="18"/>
          <w:lang w:val="es-ES"/>
        </w:rPr>
        <w:t>Max Planck Yearbook of United Nations Law,</w:t>
      </w:r>
      <w:r w:rsidRPr="008D49E2">
        <w:rPr>
          <w:szCs w:val="18"/>
          <w:lang w:val="es-ES"/>
        </w:rPr>
        <w:t xml:space="preserve"> Vol. 11, 2007, pág. 237.</w:t>
      </w:r>
    </w:p>
  </w:footnote>
  <w:footnote w:id="110">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 2.1) de la Declaración sobre los derechos de las personas pertenecientes a minorías nacionales o étnicas, religiosas y lingüísticas, aprobada por la Asamblea General en su resolución 47/135 del 18 de diciembre de 1992.</w:t>
      </w:r>
    </w:p>
  </w:footnote>
  <w:footnote w:id="11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
          <w:iCs/>
          <w:szCs w:val="18"/>
          <w:lang w:val="es-ES"/>
        </w:rPr>
        <w:t>Ibíd</w:t>
      </w:r>
      <w:r w:rsidRPr="008D49E2">
        <w:rPr>
          <w:szCs w:val="18"/>
          <w:lang w:val="es-ES"/>
        </w:rPr>
        <w:t>. art. 1.1).</w:t>
      </w:r>
    </w:p>
  </w:footnote>
  <w:footnote w:id="112">
    <w:p w:rsidR="0059568D" w:rsidRPr="008D49E2" w:rsidRDefault="0059568D" w:rsidP="0059568D">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“Marco jurídico de protección de los conocimientos tradicionales en Sri Lanka”, versión en documento de trabajo, 1 de enero de 2009.</w:t>
      </w:r>
    </w:p>
  </w:footnote>
  <w:footnote w:id="11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8D49E2">
        <w:rPr>
          <w:rStyle w:val="FootnoteReference"/>
          <w:szCs w:val="18"/>
          <w:lang w:val="es-ES"/>
        </w:rPr>
        <w:t>recursos</w:t>
      </w:r>
      <w:r w:rsidRPr="008D49E2">
        <w:rPr>
          <w:szCs w:val="18"/>
          <w:lang w:val="es-ES"/>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5">
    <w:p w:rsidR="00765094" w:rsidRPr="008D49E2" w:rsidRDefault="00765094" w:rsidP="00C0409B">
      <w:pPr>
        <w:pStyle w:val="FootnoteText"/>
        <w:tabs>
          <w:tab w:val="left" w:pos="550"/>
        </w:tabs>
        <w:ind w:left="567" w:hanging="567"/>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Disposiciones Tipo para leyes nacionales sobre la protección de las expresiones del folclore contra la explotación ilícita y otras acciones lesivas, 1982, art. 2.</w:t>
      </w:r>
    </w:p>
  </w:footnote>
  <w:footnote w:id="116">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UNEP/CBD/COP/4/22, párr. </w:t>
      </w:r>
      <w:r w:rsidRPr="00765094">
        <w:rPr>
          <w:szCs w:val="18"/>
        </w:rPr>
        <w:t>32.</w:t>
      </w:r>
    </w:p>
  </w:footnote>
  <w:footnote w:id="117">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 xml:space="preserve">Daniel Gervais, </w:t>
      </w:r>
      <w:proofErr w:type="gramStart"/>
      <w:r w:rsidRPr="00765094">
        <w:rPr>
          <w:i/>
          <w:iCs/>
          <w:szCs w:val="18"/>
        </w:rPr>
        <w:t>The</w:t>
      </w:r>
      <w:proofErr w:type="gramEnd"/>
      <w:r w:rsidRPr="00765094">
        <w:rPr>
          <w:i/>
          <w:iCs/>
          <w:szCs w:val="18"/>
        </w:rPr>
        <w:t xml:space="preserve"> TRIPS Agreement.  </w:t>
      </w:r>
      <w:proofErr w:type="gramStart"/>
      <w:r w:rsidRPr="00765094">
        <w:rPr>
          <w:i/>
          <w:iCs/>
          <w:szCs w:val="18"/>
        </w:rPr>
        <w:t>Drafting and Analysis</w:t>
      </w:r>
      <w:r w:rsidRPr="00765094">
        <w:rPr>
          <w:szCs w:val="18"/>
        </w:rPr>
        <w:t>, 3ª ed., Sweet &amp; Maxwell.</w:t>
      </w:r>
      <w:proofErr w:type="gramEnd"/>
    </w:p>
  </w:footnote>
  <w:footnote w:id="118">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 xml:space="preserve">Dieter </w:t>
      </w:r>
      <w:proofErr w:type="spellStart"/>
      <w:r w:rsidRPr="00765094">
        <w:rPr>
          <w:szCs w:val="18"/>
        </w:rPr>
        <w:t>Kugelmann</w:t>
      </w:r>
      <w:proofErr w:type="spellEnd"/>
      <w:r w:rsidRPr="00765094">
        <w:rPr>
          <w:szCs w:val="18"/>
        </w:rPr>
        <w:t xml:space="preserve">, </w:t>
      </w:r>
      <w:r w:rsidRPr="00765094">
        <w:rPr>
          <w:i/>
          <w:iCs/>
          <w:szCs w:val="18"/>
        </w:rPr>
        <w:t>The Protection of Minorities and Indigenous Peoples Respective Cultural Diversity</w:t>
      </w:r>
      <w:r w:rsidRPr="00765094">
        <w:rPr>
          <w:szCs w:val="18"/>
        </w:rPr>
        <w:t xml:space="preserve">, A. Von </w:t>
      </w:r>
      <w:proofErr w:type="spellStart"/>
      <w:r w:rsidRPr="00765094">
        <w:rPr>
          <w:szCs w:val="18"/>
        </w:rPr>
        <w:t>Bogdandy</w:t>
      </w:r>
      <w:proofErr w:type="spellEnd"/>
      <w:r w:rsidRPr="00765094">
        <w:rPr>
          <w:szCs w:val="18"/>
        </w:rPr>
        <w:t xml:space="preserve"> y R. </w:t>
      </w:r>
      <w:proofErr w:type="spellStart"/>
      <w:r w:rsidRPr="00765094">
        <w:rPr>
          <w:szCs w:val="18"/>
        </w:rPr>
        <w:t>Wolffrum</w:t>
      </w:r>
      <w:proofErr w:type="spellEnd"/>
      <w:r w:rsidRPr="00765094">
        <w:rPr>
          <w:szCs w:val="18"/>
        </w:rPr>
        <w:t xml:space="preserve"> (</w:t>
      </w:r>
      <w:proofErr w:type="spellStart"/>
      <w:r w:rsidRPr="00765094">
        <w:rPr>
          <w:szCs w:val="18"/>
        </w:rPr>
        <w:t>eds</w:t>
      </w:r>
      <w:proofErr w:type="spellEnd"/>
      <w:r w:rsidRPr="00765094">
        <w:rPr>
          <w:szCs w:val="18"/>
        </w:rPr>
        <w:t xml:space="preserve">), </w:t>
      </w:r>
      <w:r w:rsidRPr="00765094">
        <w:rPr>
          <w:i/>
          <w:iCs/>
          <w:szCs w:val="18"/>
        </w:rPr>
        <w:t>Max Planck Yearbook of United Nations Law</w:t>
      </w:r>
      <w:r w:rsidRPr="00765094">
        <w:rPr>
          <w:szCs w:val="18"/>
        </w:rPr>
        <w:t xml:space="preserve">, Vol. 11, 2007, </w:t>
      </w:r>
      <w:proofErr w:type="spellStart"/>
      <w:r w:rsidRPr="00765094">
        <w:rPr>
          <w:szCs w:val="18"/>
        </w:rPr>
        <w:t>pág</w:t>
      </w:r>
      <w:proofErr w:type="spellEnd"/>
      <w:r w:rsidRPr="00765094">
        <w:rPr>
          <w:szCs w:val="18"/>
        </w:rPr>
        <w:t>. 235.</w:t>
      </w:r>
    </w:p>
  </w:footnote>
  <w:footnote w:id="11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Véase el </w:t>
      </w:r>
      <w:proofErr w:type="spellStart"/>
      <w:r w:rsidRPr="008D49E2">
        <w:rPr>
          <w:i/>
          <w:iCs/>
          <w:szCs w:val="18"/>
          <w:lang w:val="es-ES"/>
        </w:rPr>
        <w:t>Glossary</w:t>
      </w:r>
      <w:proofErr w:type="spellEnd"/>
      <w:r w:rsidRPr="008D49E2">
        <w:rPr>
          <w:i/>
          <w:iCs/>
          <w:szCs w:val="18"/>
          <w:lang w:val="es-ES"/>
        </w:rPr>
        <w:t xml:space="preserve"> </w:t>
      </w:r>
      <w:proofErr w:type="spellStart"/>
      <w:r w:rsidRPr="008D49E2">
        <w:rPr>
          <w:i/>
          <w:iCs/>
          <w:szCs w:val="18"/>
          <w:lang w:val="es-ES"/>
        </w:rPr>
        <w:t>on</w:t>
      </w:r>
      <w:proofErr w:type="spellEnd"/>
      <w:r w:rsidRPr="008D49E2">
        <w:rPr>
          <w:i/>
          <w:iCs/>
          <w:szCs w:val="18"/>
          <w:lang w:val="es-ES"/>
        </w:rPr>
        <w:t xml:space="preserve"> Intangible Cultural </w:t>
      </w:r>
      <w:proofErr w:type="spellStart"/>
      <w:r w:rsidRPr="008D49E2">
        <w:rPr>
          <w:i/>
          <w:iCs/>
          <w:szCs w:val="18"/>
          <w:lang w:val="es-ES"/>
        </w:rPr>
        <w:t>Heritage</w:t>
      </w:r>
      <w:proofErr w:type="spellEnd"/>
      <w:r w:rsidRPr="008D49E2">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2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Publicación Nº 489 de la OMPI, </w:t>
      </w:r>
      <w:r w:rsidRPr="008D49E2">
        <w:rPr>
          <w:i/>
          <w:iCs/>
          <w:szCs w:val="18"/>
          <w:lang w:val="es-ES"/>
        </w:rPr>
        <w:t>WIPO Intellectual Property Handbook</w:t>
      </w:r>
      <w:r w:rsidRPr="008D49E2">
        <w:rPr>
          <w:szCs w:val="18"/>
          <w:lang w:val="es-ES"/>
        </w:rPr>
        <w:t>.</w:t>
      </w:r>
    </w:p>
  </w:footnote>
  <w:footnote w:id="121">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Glosario PATENTSCOPE de la OMPI.</w:t>
      </w:r>
    </w:p>
  </w:footnote>
  <w:footnote w:id="122">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“Reseña de las actividades y resultados del Comité Intergubernamental” (WIPO/GRTKF/IC/5/12), párr. 37.</w:t>
      </w:r>
    </w:p>
  </w:footnote>
  <w:footnote w:id="12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“La protección de los conocimientos tradicionales:  Proyecto de análisis de las carencias:  Revisión” (documento WIPO/GRTKF/IC/13/5(b) Rev. Anexo I), página 7, párr. 13.</w:t>
      </w:r>
    </w:p>
  </w:footnote>
  <w:footnote w:id="124">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 32.2) de la Declaración de las Naciones Unidas sobre los Derechos de los Pueblos Indígenas;  véanse asimismo las Directrices sobre los Asuntos de los Pueblos Indígenas del Grupo de Naciones Unidas para el Desarrollo.</w:t>
      </w:r>
    </w:p>
  </w:footnote>
  <w:footnote w:id="12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765094">
        <w:rPr>
          <w:szCs w:val="18"/>
        </w:rPr>
        <w:t xml:space="preserve"> </w:t>
      </w:r>
      <w:r w:rsidRPr="00765094">
        <w:rPr>
          <w:szCs w:val="18"/>
        </w:rPr>
        <w:tab/>
        <w:t xml:space="preserve">Stephen Allen y Alexandra </w:t>
      </w:r>
      <w:proofErr w:type="spellStart"/>
      <w:r w:rsidRPr="00765094">
        <w:rPr>
          <w:szCs w:val="18"/>
        </w:rPr>
        <w:t>Xanthaki</w:t>
      </w:r>
      <w:proofErr w:type="spellEnd"/>
      <w:r w:rsidRPr="00765094">
        <w:rPr>
          <w:szCs w:val="18"/>
        </w:rPr>
        <w:t xml:space="preserve">, </w:t>
      </w:r>
      <w:r w:rsidRPr="00765094">
        <w:rPr>
          <w:i/>
          <w:iCs/>
          <w:szCs w:val="18"/>
        </w:rPr>
        <w:t>Reflections on the UN Declaration on the Rights of Indigenous Peoples,</w:t>
      </w:r>
      <w:r w:rsidRPr="00765094">
        <w:rPr>
          <w:szCs w:val="18"/>
        </w:rPr>
        <w:t xml:space="preserve"> Oxford y Portland, Oregon, </w:t>
      </w:r>
      <w:proofErr w:type="spellStart"/>
      <w:r w:rsidRPr="00765094">
        <w:rPr>
          <w:szCs w:val="18"/>
        </w:rPr>
        <w:t>pág</w:t>
      </w:r>
      <w:proofErr w:type="spellEnd"/>
      <w:r w:rsidRPr="00765094">
        <w:rPr>
          <w:szCs w:val="18"/>
        </w:rPr>
        <w:t xml:space="preserve">. 49.  </w:t>
      </w:r>
      <w:r w:rsidRPr="008D49E2">
        <w:rPr>
          <w:szCs w:val="18"/>
          <w:lang w:val="es-ES"/>
        </w:rPr>
        <w:t xml:space="preserve">Véase asimismo la cuarta sesión </w:t>
      </w:r>
      <w:proofErr w:type="gramStart"/>
      <w:r w:rsidRPr="008D49E2">
        <w:rPr>
          <w:szCs w:val="18"/>
          <w:lang w:val="es-ES"/>
        </w:rPr>
        <w:t>del</w:t>
      </w:r>
      <w:proofErr w:type="gramEnd"/>
      <w:r w:rsidRPr="008D49E2">
        <w:rPr>
          <w:szCs w:val="18"/>
          <w:lang w:val="es-ES"/>
        </w:rPr>
        <w:t xml:space="preserve"> Foro Permanente para las Cuestiones Indígenas y el “Informe del Seminario internacional sobre metodologías relativas al consentimiento libre, previo e informado y los pueblos indígenas”, documento E/C.19/2005/3, párr. 30.</w:t>
      </w:r>
    </w:p>
  </w:footnote>
  <w:footnote w:id="126">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Véase la Publicación Nº 489 de la OMPI, </w:t>
      </w:r>
      <w:r w:rsidRPr="008D49E2">
        <w:rPr>
          <w:i/>
          <w:iCs/>
          <w:szCs w:val="18"/>
          <w:lang w:val="es-ES"/>
        </w:rPr>
        <w:t>WIPO Intellectual Property Handbook</w:t>
      </w:r>
      <w:r w:rsidRPr="008D49E2">
        <w:rPr>
          <w:szCs w:val="18"/>
          <w:lang w:val="es-ES"/>
        </w:rPr>
        <w:t>, pág. 19.</w:t>
      </w:r>
    </w:p>
  </w:footnote>
  <w:footnote w:id="12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Capítulo IV, Parte C, de las Directrices de Examen de la Oficina Europea de Patentes.  (Traducción oficiosa de la Oficina Internacional).</w:t>
      </w:r>
    </w:p>
  </w:footnote>
  <w:footnote w:id="128">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8D49E2">
        <w:rPr>
          <w:szCs w:val="18"/>
          <w:lang w:val="es-ES"/>
        </w:rPr>
        <w:t xml:space="preserve"> </w:t>
      </w:r>
      <w:r w:rsidRPr="008D49E2">
        <w:rPr>
          <w:szCs w:val="18"/>
          <w:lang w:val="es-ES"/>
        </w:rPr>
        <w:tab/>
        <w:t>“Reseña de actividades y resultados del Comité Intergubernamental” (WIPO/GRTKF/IC/5/12), párr. </w:t>
      </w:r>
      <w:r w:rsidRPr="00765094">
        <w:rPr>
          <w:szCs w:val="18"/>
        </w:rPr>
        <w:t>20.</w:t>
      </w:r>
    </w:p>
  </w:footnote>
  <w:footnote w:id="129">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proofErr w:type="gramStart"/>
      <w:r w:rsidRPr="00765094">
        <w:rPr>
          <w:szCs w:val="18"/>
        </w:rPr>
        <w:t>Ídem</w:t>
      </w:r>
      <w:proofErr w:type="spellEnd"/>
      <w:r w:rsidRPr="00765094">
        <w:rPr>
          <w:szCs w:val="18"/>
        </w:rPr>
        <w:t xml:space="preserve">, </w:t>
      </w:r>
      <w:proofErr w:type="spellStart"/>
      <w:r w:rsidRPr="00765094">
        <w:rPr>
          <w:szCs w:val="18"/>
        </w:rPr>
        <w:t>párrafos</w:t>
      </w:r>
      <w:proofErr w:type="spellEnd"/>
      <w:r w:rsidRPr="00765094">
        <w:rPr>
          <w:szCs w:val="18"/>
        </w:rPr>
        <w:t> 21 y 22.</w:t>
      </w:r>
      <w:proofErr w:type="gramEnd"/>
    </w:p>
  </w:footnote>
  <w:footnote w:id="130">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proofErr w:type="gramStart"/>
      <w:r w:rsidRPr="00765094">
        <w:rPr>
          <w:szCs w:val="18"/>
        </w:rPr>
        <w:t>Ídem</w:t>
      </w:r>
      <w:proofErr w:type="spellEnd"/>
      <w:r w:rsidRPr="00765094">
        <w:rPr>
          <w:szCs w:val="18"/>
        </w:rPr>
        <w:t xml:space="preserve">, </w:t>
      </w:r>
      <w:proofErr w:type="spellStart"/>
      <w:r w:rsidRPr="00765094">
        <w:rPr>
          <w:szCs w:val="18"/>
        </w:rPr>
        <w:t>párr</w:t>
      </w:r>
      <w:proofErr w:type="spellEnd"/>
      <w:r w:rsidRPr="00765094">
        <w:rPr>
          <w:szCs w:val="18"/>
        </w:rPr>
        <w:t>.</w:t>
      </w:r>
      <w:proofErr w:type="gramEnd"/>
      <w:r w:rsidRPr="00765094">
        <w:rPr>
          <w:szCs w:val="18"/>
        </w:rPr>
        <w:t xml:space="preserve"> 21.</w:t>
      </w:r>
    </w:p>
  </w:footnote>
  <w:footnote w:id="131">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proofErr w:type="gramStart"/>
      <w:r w:rsidRPr="00765094">
        <w:rPr>
          <w:szCs w:val="18"/>
        </w:rPr>
        <w:t>Ídem</w:t>
      </w:r>
      <w:proofErr w:type="spellEnd"/>
      <w:r w:rsidRPr="00765094">
        <w:rPr>
          <w:szCs w:val="18"/>
        </w:rPr>
        <w:t xml:space="preserve">, </w:t>
      </w:r>
      <w:proofErr w:type="spellStart"/>
      <w:r w:rsidRPr="00765094">
        <w:rPr>
          <w:szCs w:val="18"/>
        </w:rPr>
        <w:t>párr</w:t>
      </w:r>
      <w:proofErr w:type="spellEnd"/>
      <w:r w:rsidRPr="00765094">
        <w:rPr>
          <w:szCs w:val="18"/>
        </w:rPr>
        <w:t>.</w:t>
      </w:r>
      <w:proofErr w:type="gramEnd"/>
      <w:r w:rsidRPr="00765094">
        <w:rPr>
          <w:szCs w:val="18"/>
        </w:rPr>
        <w:t xml:space="preserve"> 28.</w:t>
      </w:r>
    </w:p>
  </w:footnote>
  <w:footnote w:id="132">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ab/>
        <w:t>Jane Anderson, “</w:t>
      </w:r>
      <w:r w:rsidRPr="00765094">
        <w:rPr>
          <w:i/>
          <w:szCs w:val="18"/>
        </w:rPr>
        <w:t>Indigenous Knowledge/Traditional Knowledge and Intellectual Property</w:t>
      </w:r>
      <w:r w:rsidRPr="00765094">
        <w:rPr>
          <w:szCs w:val="18"/>
        </w:rPr>
        <w:t xml:space="preserve">”, </w:t>
      </w:r>
      <w:proofErr w:type="spellStart"/>
      <w:r w:rsidRPr="00765094">
        <w:rPr>
          <w:szCs w:val="18"/>
        </w:rPr>
        <w:t>Documento</w:t>
      </w:r>
      <w:proofErr w:type="spellEnd"/>
      <w:r w:rsidRPr="00765094">
        <w:rPr>
          <w:szCs w:val="18"/>
        </w:rPr>
        <w:t xml:space="preserve"> de </w:t>
      </w:r>
      <w:proofErr w:type="spellStart"/>
      <w:r w:rsidRPr="00765094">
        <w:rPr>
          <w:szCs w:val="18"/>
        </w:rPr>
        <w:t>trabajo</w:t>
      </w:r>
      <w:proofErr w:type="spellEnd"/>
      <w:r w:rsidRPr="00765094">
        <w:rPr>
          <w:szCs w:val="18"/>
        </w:rPr>
        <w:t xml:space="preserve">, Centre for the Public Domain, Duke University, 2011, </w:t>
      </w:r>
      <w:proofErr w:type="spellStart"/>
      <w:r w:rsidRPr="00765094">
        <w:rPr>
          <w:szCs w:val="18"/>
        </w:rPr>
        <w:t>disponible</w:t>
      </w:r>
      <w:proofErr w:type="spellEnd"/>
      <w:r w:rsidRPr="00765094">
        <w:rPr>
          <w:szCs w:val="18"/>
        </w:rPr>
        <w:t xml:space="preserve"> </w:t>
      </w:r>
      <w:proofErr w:type="spellStart"/>
      <w:r w:rsidRPr="00765094">
        <w:rPr>
          <w:szCs w:val="18"/>
        </w:rPr>
        <w:t>en</w:t>
      </w:r>
      <w:proofErr w:type="spellEnd"/>
      <w:r w:rsidRPr="00765094">
        <w:rPr>
          <w:szCs w:val="18"/>
        </w:rPr>
        <w:t>:  http://www.law.duke.edu/cspd/itkpaper</w:t>
      </w:r>
    </w:p>
  </w:footnote>
  <w:footnote w:id="133">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ab/>
        <w:t xml:space="preserve">Véase el documento </w:t>
      </w:r>
      <w:proofErr w:type="spellStart"/>
      <w:r w:rsidRPr="008D49E2">
        <w:rPr>
          <w:szCs w:val="18"/>
          <w:lang w:val="es-ES"/>
        </w:rPr>
        <w:t>WIPO</w:t>
      </w:r>
      <w:proofErr w:type="spellEnd"/>
      <w:r w:rsidRPr="008D49E2">
        <w:rPr>
          <w:szCs w:val="18"/>
          <w:lang w:val="es-ES"/>
        </w:rPr>
        <w:t>/</w:t>
      </w:r>
      <w:proofErr w:type="spellStart"/>
      <w:r w:rsidRPr="008D49E2">
        <w:rPr>
          <w:szCs w:val="18"/>
          <w:lang w:val="es-ES"/>
        </w:rPr>
        <w:t>GRTKF</w:t>
      </w:r>
      <w:proofErr w:type="spellEnd"/>
      <w:r w:rsidRPr="008D49E2">
        <w:rPr>
          <w:szCs w:val="18"/>
          <w:lang w:val="es-ES"/>
        </w:rPr>
        <w:t>/17/</w:t>
      </w:r>
      <w:proofErr w:type="spellStart"/>
      <w:r w:rsidRPr="008D49E2">
        <w:rPr>
          <w:szCs w:val="18"/>
          <w:lang w:val="es-ES"/>
        </w:rPr>
        <w:t>INF</w:t>
      </w:r>
      <w:proofErr w:type="spellEnd"/>
      <w:r w:rsidRPr="008D49E2">
        <w:rPr>
          <w:szCs w:val="18"/>
          <w:lang w:val="es-ES"/>
        </w:rPr>
        <w:t>/12.</w:t>
      </w:r>
    </w:p>
  </w:footnote>
  <w:footnote w:id="134">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SCP/13/5.</w:t>
      </w:r>
    </w:p>
  </w:footnote>
  <w:footnote w:id="135">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r>
      <w:r w:rsidRPr="008D49E2">
        <w:rPr>
          <w:i/>
          <w:iCs/>
          <w:szCs w:val="18"/>
          <w:lang w:val="es-ES"/>
        </w:rPr>
        <w:t>Black's Law Dictionary </w:t>
      </w:r>
      <w:r w:rsidRPr="008D49E2">
        <w:rPr>
          <w:szCs w:val="18"/>
          <w:lang w:val="es-ES"/>
        </w:rPr>
        <w:t>1027 (8ª ed., 2005).</w:t>
      </w:r>
    </w:p>
  </w:footnote>
  <w:footnote w:id="136">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Guía sobre los tratados de derecho de autor… </w:t>
      </w:r>
      <w:r w:rsidRPr="008D49E2">
        <w:rPr>
          <w:i/>
          <w:szCs w:val="18"/>
          <w:lang w:val="es-ES"/>
        </w:rPr>
        <w:t xml:space="preserve">op. cit. </w:t>
      </w:r>
      <w:r w:rsidRPr="008D49E2">
        <w:rPr>
          <w:szCs w:val="18"/>
          <w:lang w:val="es-ES"/>
        </w:rPr>
        <w:t>en la nota 44.</w:t>
      </w:r>
    </w:p>
  </w:footnote>
  <w:footnote w:id="137">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SCP/13/5.</w:t>
      </w:r>
    </w:p>
  </w:footnote>
  <w:footnote w:id="13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9">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gramStart"/>
      <w:r w:rsidRPr="00765094">
        <w:rPr>
          <w:szCs w:val="18"/>
        </w:rPr>
        <w:t>“</w:t>
      </w:r>
      <w:r w:rsidRPr="00765094">
        <w:rPr>
          <w:i/>
          <w:szCs w:val="18"/>
        </w:rPr>
        <w:t>The Role of Registers &amp; Databases in the Protection of Traditional Knowledge:  A Comparative Analysis</w:t>
      </w:r>
      <w:r w:rsidRPr="00765094">
        <w:rPr>
          <w:szCs w:val="18"/>
        </w:rPr>
        <w:t xml:space="preserve">”, </w:t>
      </w:r>
      <w:proofErr w:type="spellStart"/>
      <w:r w:rsidRPr="00765094">
        <w:rPr>
          <w:szCs w:val="18"/>
        </w:rPr>
        <w:t>Informe</w:t>
      </w:r>
      <w:proofErr w:type="spellEnd"/>
      <w:r w:rsidRPr="00765094">
        <w:rPr>
          <w:szCs w:val="18"/>
        </w:rPr>
        <w:t xml:space="preserve"> </w:t>
      </w:r>
      <w:proofErr w:type="spellStart"/>
      <w:r w:rsidRPr="00765094">
        <w:rPr>
          <w:szCs w:val="18"/>
        </w:rPr>
        <w:t>UNU</w:t>
      </w:r>
      <w:proofErr w:type="spellEnd"/>
      <w:r w:rsidRPr="00765094">
        <w:rPr>
          <w:szCs w:val="18"/>
        </w:rPr>
        <w:t xml:space="preserve">/IAS, </w:t>
      </w:r>
      <w:proofErr w:type="spellStart"/>
      <w:r w:rsidRPr="00765094">
        <w:rPr>
          <w:szCs w:val="18"/>
        </w:rPr>
        <w:t>enero</w:t>
      </w:r>
      <w:proofErr w:type="spellEnd"/>
      <w:r w:rsidRPr="00765094">
        <w:rPr>
          <w:szCs w:val="18"/>
        </w:rPr>
        <w:t xml:space="preserve"> de 2004, </w:t>
      </w:r>
      <w:proofErr w:type="spellStart"/>
      <w:r w:rsidRPr="00765094">
        <w:rPr>
          <w:szCs w:val="18"/>
        </w:rPr>
        <w:t>pág</w:t>
      </w:r>
      <w:proofErr w:type="spellEnd"/>
      <w:r w:rsidRPr="00765094">
        <w:rPr>
          <w:szCs w:val="18"/>
        </w:rPr>
        <w:t>.</w:t>
      </w:r>
      <w:proofErr w:type="gramEnd"/>
      <w:r w:rsidRPr="00765094">
        <w:rPr>
          <w:szCs w:val="18"/>
        </w:rPr>
        <w:t> 32.</w:t>
      </w:r>
    </w:p>
  </w:footnote>
  <w:footnote w:id="140">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Ídem.</w:t>
      </w:r>
    </w:p>
  </w:footnote>
  <w:footnote w:id="141">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Ídem.</w:t>
      </w:r>
    </w:p>
  </w:footnote>
  <w:footnote w:id="14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Artículo 16 de la Ley Nº 27811 que establece el régimen de protección de los conocimientos colectivos de los pueblos indígenas vinculados a los recursos biológicos, disponible en:  http://www.wipo.int.wipolex/en/details.jsp?id=3420.</w:t>
      </w:r>
    </w:p>
  </w:footnote>
  <w:footnote w:id="143">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 6</w:t>
      </w:r>
      <w:r w:rsidRPr="008D49E2">
        <w:rPr>
          <w:i/>
          <w:iCs/>
          <w:szCs w:val="18"/>
          <w:lang w:val="es-ES"/>
        </w:rPr>
        <w:t>bis</w:t>
      </w:r>
      <w:r w:rsidRPr="008D49E2">
        <w:rPr>
          <w:szCs w:val="18"/>
          <w:lang w:val="es-ES"/>
        </w:rPr>
        <w:t xml:space="preserve"> del Convenio de Berna.</w:t>
      </w:r>
    </w:p>
  </w:footnote>
  <w:footnote w:id="144">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Ricketson y Ginsburg, </w:t>
      </w:r>
      <w:r w:rsidRPr="008D49E2">
        <w:rPr>
          <w:i/>
          <w:iCs/>
          <w:szCs w:val="18"/>
          <w:lang w:val="es-ES"/>
        </w:rPr>
        <w:t>op. cit.</w:t>
      </w:r>
      <w:r w:rsidRPr="008D49E2">
        <w:rPr>
          <w:szCs w:val="18"/>
          <w:lang w:val="es-ES"/>
        </w:rPr>
        <w:t xml:space="preserve"> en la nota 46, pág. 606. </w:t>
      </w:r>
    </w:p>
  </w:footnote>
  <w:footnote w:id="145">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Daniel J. Gervais, “</w:t>
      </w:r>
      <w:r w:rsidRPr="00765094">
        <w:rPr>
          <w:i/>
          <w:szCs w:val="18"/>
        </w:rPr>
        <w:t>Spiritual But not Intellectual:  The Protection of Sacred Intangible Traditional Knowledge</w:t>
      </w:r>
      <w:r w:rsidRPr="00765094">
        <w:rPr>
          <w:szCs w:val="18"/>
        </w:rPr>
        <w:t>”, 11 Cardozo J. Int’l &amp; Comp.  L. 467, 469-490 (2003).</w:t>
      </w:r>
    </w:p>
  </w:footnote>
  <w:footnote w:id="146">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Gupta, A., “</w:t>
      </w:r>
      <w:r w:rsidRPr="00765094">
        <w:rPr>
          <w:i/>
          <w:szCs w:val="18"/>
        </w:rPr>
        <w:t>Rewarding Traditional Knowledge and Contemporary Grassroots Creativity:  The Role of Intellectual Property Protection</w:t>
      </w:r>
      <w:r w:rsidRPr="00765094">
        <w:rPr>
          <w:szCs w:val="18"/>
        </w:rPr>
        <w:t>”, (</w:t>
      </w:r>
      <w:proofErr w:type="spellStart"/>
      <w:r w:rsidRPr="00765094">
        <w:rPr>
          <w:szCs w:val="18"/>
        </w:rPr>
        <w:t>en</w:t>
      </w:r>
      <w:proofErr w:type="spellEnd"/>
      <w:r w:rsidRPr="00765094">
        <w:rPr>
          <w:szCs w:val="18"/>
        </w:rPr>
        <w:t xml:space="preserve"> </w:t>
      </w:r>
      <w:proofErr w:type="spellStart"/>
      <w:r w:rsidRPr="00765094">
        <w:rPr>
          <w:szCs w:val="18"/>
        </w:rPr>
        <w:t>los</w:t>
      </w:r>
      <w:proofErr w:type="spellEnd"/>
      <w:r w:rsidRPr="00765094">
        <w:rPr>
          <w:szCs w:val="18"/>
        </w:rPr>
        <w:t xml:space="preserve"> </w:t>
      </w:r>
      <w:proofErr w:type="spellStart"/>
      <w:r w:rsidRPr="00765094">
        <w:rPr>
          <w:szCs w:val="18"/>
        </w:rPr>
        <w:t>archivos</w:t>
      </w:r>
      <w:proofErr w:type="spellEnd"/>
      <w:r w:rsidRPr="00765094">
        <w:rPr>
          <w:szCs w:val="18"/>
        </w:rPr>
        <w:t xml:space="preserve"> de la </w:t>
      </w:r>
      <w:proofErr w:type="spellStart"/>
      <w:r w:rsidRPr="00765094">
        <w:rPr>
          <w:szCs w:val="18"/>
        </w:rPr>
        <w:t>Secretaría</w:t>
      </w:r>
      <w:proofErr w:type="spellEnd"/>
      <w:r w:rsidRPr="00765094">
        <w:rPr>
          <w:szCs w:val="18"/>
        </w:rPr>
        <w:t>).</w:t>
      </w:r>
    </w:p>
  </w:footnote>
  <w:footnote w:id="14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“Informe de la OMPI relativo a las misiones exploratorias sobre propiedad intelectual y conocimientos tradicionales (1998</w:t>
      </w:r>
      <w:r w:rsidRPr="008D49E2">
        <w:rPr>
          <w:szCs w:val="18"/>
          <w:lang w:val="es-ES"/>
        </w:rPr>
        <w:noBreakHyphen/>
        <w:t>1999):  Conocimientos tradicionales:  Necesidades y expectativas en materia de propiedad intelectual”, pág. 187, disponible en:  http://www.wipo.int/tk/en/tk/ffm/report/index.html.</w:t>
      </w:r>
    </w:p>
  </w:footnote>
  <w:footnote w:id="14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Intervención de la Delegación de Nueva Zelandia en la undécima sesión del Comité.  Véase el informe aprobado de dicha sesión (documento WIPO/GRTKF/IC/11/15), párr. 220.</w:t>
      </w:r>
    </w:p>
  </w:footnote>
  <w:footnote w:id="14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Intervención de la Delegación del Japón en la undécima sesión del Comité.  Véase el informe aprobado de dicha sesión (documento WIPO/GRTKF/IC/11/15), párr. 296.</w:t>
      </w:r>
    </w:p>
  </w:footnote>
  <w:footnote w:id="15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“La protección de los conocimientos tradicionales:  Proyecto de análisis de carencias:  Revisión”, WIPO/GRTKF/IC/13/5(b) Rev., Anexo I, pág. 23, y Anexo II, págs. 12 y 18.</w:t>
      </w:r>
    </w:p>
  </w:footnote>
  <w:footnote w:id="15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Proyecto de glosario encargado por la Comisión Nacional para la UNESCO.  (Traducción oficiosa de la Oficina Internacional).</w:t>
      </w:r>
    </w:p>
  </w:footnote>
  <w:footnote w:id="15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Marco Regional para el Pacífico relativo a la protección de los conocimientos tradicionales y las expresiones de la cultura, 2002, Parte I, art. 4.</w:t>
      </w:r>
    </w:p>
  </w:footnote>
  <w:footnote w:id="153">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Véanse los artículos 15, 16 y 19 del CDB.</w:t>
      </w:r>
    </w:p>
  </w:footnote>
  <w:footnote w:id="154">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Véanse los artículos 10 a 13 del ITPGRFA.</w:t>
      </w:r>
    </w:p>
  </w:footnote>
  <w:footnote w:id="155">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artículo 8.j) del CDB.</w:t>
      </w:r>
    </w:p>
  </w:footnote>
  <w:footnote w:id="156">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WIPO/GRTKF/IC/11/10.</w:t>
      </w:r>
    </w:p>
  </w:footnote>
  <w:footnote w:id="157">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Disposiciones Tipo para leyes nacionales sobre la protección...”,1982, </w:t>
      </w:r>
      <w:r w:rsidRPr="008D49E2">
        <w:rPr>
          <w:i/>
          <w:iCs/>
          <w:szCs w:val="18"/>
          <w:lang w:val="es-ES"/>
        </w:rPr>
        <w:t>op. cit.</w:t>
      </w:r>
      <w:r w:rsidRPr="008D49E2">
        <w:rPr>
          <w:iCs/>
          <w:szCs w:val="18"/>
          <w:lang w:val="es-ES"/>
        </w:rPr>
        <w:t xml:space="preserve"> en la nota 36, </w:t>
      </w:r>
      <w:r w:rsidRPr="008D49E2">
        <w:rPr>
          <w:szCs w:val="18"/>
          <w:lang w:val="es-ES"/>
        </w:rPr>
        <w:t>Parte III</w:t>
      </w:r>
      <w:r w:rsidRPr="008D49E2">
        <w:rPr>
          <w:iCs/>
          <w:szCs w:val="18"/>
          <w:lang w:val="es-ES"/>
        </w:rPr>
        <w:t>.</w:t>
      </w:r>
    </w:p>
  </w:footnote>
  <w:footnote w:id="158">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Disposiciones Tipo para leyes nacionales sobre la protección...”,1982, </w:t>
      </w:r>
      <w:r w:rsidRPr="008D49E2">
        <w:rPr>
          <w:i/>
          <w:iCs/>
          <w:szCs w:val="18"/>
          <w:lang w:val="es-ES"/>
        </w:rPr>
        <w:t>op. cit.</w:t>
      </w:r>
      <w:r w:rsidRPr="008D49E2">
        <w:rPr>
          <w:iCs/>
          <w:szCs w:val="18"/>
          <w:lang w:val="es-ES"/>
        </w:rPr>
        <w:t xml:space="preserve"> en la nota 36,</w:t>
      </w:r>
      <w:r w:rsidRPr="008D49E2">
        <w:rPr>
          <w:szCs w:val="18"/>
          <w:lang w:val="es-ES"/>
        </w:rPr>
        <w:t xml:space="preserve"> artículo 2.iv)</w:t>
      </w:r>
      <w:r w:rsidRPr="008D49E2">
        <w:rPr>
          <w:iCs/>
          <w:szCs w:val="18"/>
          <w:lang w:val="es-ES"/>
        </w:rPr>
        <w:t>.</w:t>
      </w:r>
    </w:p>
  </w:footnote>
  <w:footnote w:id="159">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765094">
        <w:rPr>
          <w:szCs w:val="18"/>
        </w:rPr>
        <w:t xml:space="preserve"> </w:t>
      </w:r>
      <w:r w:rsidRPr="00765094">
        <w:rPr>
          <w:szCs w:val="18"/>
        </w:rPr>
        <w:tab/>
        <w:t xml:space="preserve">Nino </w:t>
      </w:r>
      <w:proofErr w:type="spellStart"/>
      <w:r w:rsidRPr="00765094">
        <w:rPr>
          <w:szCs w:val="18"/>
        </w:rPr>
        <w:t>Pires</w:t>
      </w:r>
      <w:proofErr w:type="spellEnd"/>
      <w:r w:rsidRPr="00765094">
        <w:rPr>
          <w:szCs w:val="18"/>
        </w:rPr>
        <w:t xml:space="preserve"> de </w:t>
      </w:r>
      <w:proofErr w:type="spellStart"/>
      <w:r w:rsidRPr="00765094">
        <w:rPr>
          <w:szCs w:val="18"/>
        </w:rPr>
        <w:t>Carvalho</w:t>
      </w:r>
      <w:proofErr w:type="spellEnd"/>
      <w:r w:rsidRPr="00765094">
        <w:rPr>
          <w:szCs w:val="18"/>
        </w:rPr>
        <w:t>, “</w:t>
      </w:r>
      <w:r w:rsidRPr="00765094">
        <w:rPr>
          <w:i/>
          <w:iCs/>
          <w:szCs w:val="18"/>
        </w:rPr>
        <w:t xml:space="preserve">From the Shaman’s Hut to the Patent Office:  A Road Under </w:t>
      </w:r>
      <w:proofErr w:type="spellStart"/>
      <w:r w:rsidRPr="00765094">
        <w:rPr>
          <w:i/>
          <w:iCs/>
          <w:szCs w:val="18"/>
        </w:rPr>
        <w:t>Constructio</w:t>
      </w:r>
      <w:proofErr w:type="spellEnd"/>
      <w:r w:rsidRPr="00765094">
        <w:rPr>
          <w:i/>
          <w:iCs/>
          <w:szCs w:val="18"/>
        </w:rPr>
        <w:t>”</w:t>
      </w:r>
      <w:proofErr w:type="gramStart"/>
      <w:r w:rsidRPr="00765094">
        <w:rPr>
          <w:i/>
          <w:iCs/>
          <w:szCs w:val="18"/>
        </w:rPr>
        <w:t>,.</w:t>
      </w:r>
      <w:proofErr w:type="gramEnd"/>
      <w:r w:rsidRPr="00765094">
        <w:rPr>
          <w:szCs w:val="18"/>
        </w:rPr>
        <w:t xml:space="preserve"> </w:t>
      </w:r>
      <w:r w:rsidRPr="00765094">
        <w:rPr>
          <w:i/>
          <w:iCs/>
          <w:szCs w:val="18"/>
        </w:rPr>
        <w:t xml:space="preserve"> </w:t>
      </w:r>
      <w:r w:rsidRPr="008D49E2">
        <w:rPr>
          <w:szCs w:val="18"/>
          <w:lang w:val="es-ES"/>
        </w:rPr>
        <w:t xml:space="preserve">Capítulo 18 de </w:t>
      </w:r>
      <w:proofErr w:type="spellStart"/>
      <w:r w:rsidRPr="008D49E2">
        <w:rPr>
          <w:i/>
          <w:iCs/>
          <w:szCs w:val="18"/>
          <w:lang w:val="es-ES"/>
        </w:rPr>
        <w:t>Biodiversity</w:t>
      </w:r>
      <w:proofErr w:type="spellEnd"/>
      <w:r w:rsidRPr="008D49E2">
        <w:rPr>
          <w:i/>
          <w:iCs/>
          <w:szCs w:val="18"/>
          <w:lang w:val="es-ES"/>
        </w:rPr>
        <w:t xml:space="preserve"> and </w:t>
      </w:r>
      <w:proofErr w:type="spellStart"/>
      <w:r w:rsidRPr="008D49E2">
        <w:rPr>
          <w:i/>
          <w:iCs/>
          <w:szCs w:val="18"/>
          <w:lang w:val="es-ES"/>
        </w:rPr>
        <w:t>the</w:t>
      </w:r>
      <w:proofErr w:type="spellEnd"/>
      <w:r w:rsidRPr="008D49E2">
        <w:rPr>
          <w:i/>
          <w:iCs/>
          <w:szCs w:val="18"/>
          <w:lang w:val="es-ES"/>
        </w:rPr>
        <w:t xml:space="preserve"> </w:t>
      </w:r>
      <w:proofErr w:type="spellStart"/>
      <w:r w:rsidRPr="008D49E2">
        <w:rPr>
          <w:i/>
          <w:iCs/>
          <w:szCs w:val="18"/>
          <w:lang w:val="es-ES"/>
        </w:rPr>
        <w:t>Law</w:t>
      </w:r>
      <w:proofErr w:type="spellEnd"/>
      <w:r w:rsidRPr="008D49E2">
        <w:rPr>
          <w:szCs w:val="18"/>
          <w:lang w:val="es-ES"/>
        </w:rPr>
        <w:t>, pág. 244.</w:t>
      </w:r>
    </w:p>
  </w:footnote>
  <w:footnote w:id="160">
    <w:p w:rsidR="00765094" w:rsidRPr="008D49E2" w:rsidRDefault="00765094" w:rsidP="00C0409B">
      <w:pPr>
        <w:pStyle w:val="FootnoteText"/>
        <w:ind w:left="567" w:hanging="567"/>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Análisis consolidado de la protección jurídica </w:t>
      </w:r>
      <w:r w:rsidRPr="008D49E2">
        <w:rPr>
          <w:iCs/>
          <w:szCs w:val="18"/>
          <w:lang w:val="es-ES"/>
        </w:rPr>
        <w:t>de las</w:t>
      </w:r>
      <w:r w:rsidRPr="008D49E2">
        <w:rPr>
          <w:i/>
          <w:iCs/>
          <w:szCs w:val="18"/>
          <w:lang w:val="es-ES"/>
        </w:rPr>
        <w:t xml:space="preserve"> </w:t>
      </w:r>
      <w:r w:rsidRPr="008D49E2">
        <w:rPr>
          <w:szCs w:val="18"/>
          <w:lang w:val="es-ES"/>
        </w:rPr>
        <w:t>expresiones culturales tradicionales, WIPO/GRTKF/IC/5/3, párr. 53.</w:t>
      </w:r>
    </w:p>
  </w:footnote>
  <w:footnote w:id="161">
    <w:p w:rsidR="00765094" w:rsidRPr="008D49E2" w:rsidRDefault="00765094" w:rsidP="00C0409B">
      <w:pPr>
        <w:pStyle w:val="FootnoteText"/>
        <w:ind w:left="567" w:hanging="567"/>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Disposiciones Tipo para leyes nacionales sobre la protección...”,1982, </w:t>
      </w:r>
      <w:r w:rsidRPr="008D49E2">
        <w:rPr>
          <w:i/>
          <w:iCs/>
          <w:szCs w:val="18"/>
          <w:lang w:val="es-ES"/>
        </w:rPr>
        <w:t>op. cit.</w:t>
      </w:r>
      <w:r w:rsidRPr="008D49E2">
        <w:rPr>
          <w:szCs w:val="18"/>
          <w:lang w:val="es-ES"/>
        </w:rPr>
        <w:t xml:space="preserve"> </w:t>
      </w:r>
      <w:r w:rsidRPr="008D49E2">
        <w:rPr>
          <w:iCs/>
          <w:szCs w:val="18"/>
          <w:lang w:val="es-ES"/>
        </w:rPr>
        <w:t xml:space="preserve">en la nota 36, </w:t>
      </w:r>
      <w:r w:rsidRPr="008D49E2">
        <w:rPr>
          <w:szCs w:val="18"/>
          <w:lang w:val="es-ES"/>
        </w:rPr>
        <w:t>Parte III, párr. 42.</w:t>
      </w:r>
    </w:p>
  </w:footnote>
  <w:footnote w:id="162">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Elementos de un sistema sui géneris de protección de los conocimientos tradicionales (WIPO/GRTKF/IC/4/8), párr. 27.</w:t>
      </w:r>
    </w:p>
  </w:footnote>
  <w:footnote w:id="163">
    <w:p w:rsidR="00765094" w:rsidRPr="00765094" w:rsidRDefault="00765094" w:rsidP="00C0409B">
      <w:pPr>
        <w:pStyle w:val="FootnoteText"/>
        <w:ind w:left="550" w:hanging="550"/>
        <w:rPr>
          <w:szCs w:val="18"/>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“Análisis consolidado de las protección jurídica de las expresiones culturales tradicionales”, WIPO/GRTKF/IC/5/3, párr. </w:t>
      </w:r>
      <w:r w:rsidRPr="00765094">
        <w:rPr>
          <w:szCs w:val="18"/>
        </w:rPr>
        <w:t>54.</w:t>
      </w:r>
    </w:p>
  </w:footnote>
  <w:footnote w:id="164">
    <w:p w:rsidR="00765094" w:rsidRPr="00765094" w:rsidRDefault="00765094" w:rsidP="00C0409B">
      <w:pPr>
        <w:pStyle w:val="FootnoteText"/>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proofErr w:type="gramStart"/>
      <w:r w:rsidRPr="00765094">
        <w:rPr>
          <w:szCs w:val="18"/>
        </w:rPr>
        <w:t>Véase</w:t>
      </w:r>
      <w:proofErr w:type="spellEnd"/>
      <w:r w:rsidRPr="00765094">
        <w:rPr>
          <w:szCs w:val="18"/>
        </w:rPr>
        <w:t xml:space="preserve"> </w:t>
      </w:r>
      <w:proofErr w:type="spellStart"/>
      <w:r w:rsidRPr="00765094">
        <w:rPr>
          <w:szCs w:val="18"/>
        </w:rPr>
        <w:t>también</w:t>
      </w:r>
      <w:proofErr w:type="spellEnd"/>
      <w:r w:rsidRPr="00765094">
        <w:rPr>
          <w:szCs w:val="18"/>
        </w:rPr>
        <w:t xml:space="preserve"> Marc G. Stevenson “</w:t>
      </w:r>
      <w:r w:rsidRPr="00765094">
        <w:rPr>
          <w:i/>
          <w:iCs/>
          <w:szCs w:val="18"/>
        </w:rPr>
        <w:t>Indigenous Knowledge in Environmental Assessments”</w:t>
      </w:r>
      <w:r w:rsidRPr="00765094">
        <w:rPr>
          <w:szCs w:val="18"/>
        </w:rPr>
        <w:t xml:space="preserve">, 49 ARCTIC 278, 1996, </w:t>
      </w:r>
      <w:proofErr w:type="spellStart"/>
      <w:r w:rsidRPr="00765094">
        <w:rPr>
          <w:szCs w:val="18"/>
        </w:rPr>
        <w:t>pág</w:t>
      </w:r>
      <w:proofErr w:type="spellEnd"/>
      <w:r w:rsidRPr="00765094">
        <w:rPr>
          <w:szCs w:val="18"/>
        </w:rPr>
        <w:t>.</w:t>
      </w:r>
      <w:proofErr w:type="gramEnd"/>
      <w:r w:rsidRPr="00765094">
        <w:rPr>
          <w:szCs w:val="18"/>
        </w:rPr>
        <w:t xml:space="preserve"> 281.</w:t>
      </w:r>
    </w:p>
  </w:footnote>
  <w:footnote w:id="165">
    <w:p w:rsidR="00765094" w:rsidRPr="008D49E2" w:rsidRDefault="00765094" w:rsidP="00C0409B">
      <w:pPr>
        <w:pStyle w:val="FootnoteText"/>
        <w:ind w:left="567" w:hanging="567"/>
        <w:rPr>
          <w:szCs w:val="18"/>
          <w:lang w:val="es-ES"/>
        </w:rPr>
      </w:pPr>
      <w:r w:rsidRPr="008D49E2">
        <w:rPr>
          <w:rStyle w:val="FootnoteReference"/>
          <w:szCs w:val="18"/>
          <w:lang w:val="es-ES"/>
        </w:rPr>
        <w:footnoteRef/>
      </w:r>
      <w:r w:rsidRPr="00765094">
        <w:rPr>
          <w:szCs w:val="18"/>
        </w:rPr>
        <w:tab/>
      </w:r>
      <w:proofErr w:type="spellStart"/>
      <w:r w:rsidRPr="00765094">
        <w:rPr>
          <w:szCs w:val="18"/>
        </w:rPr>
        <w:t>Véase</w:t>
      </w:r>
      <w:proofErr w:type="spellEnd"/>
      <w:r w:rsidRPr="00765094">
        <w:rPr>
          <w:szCs w:val="18"/>
        </w:rPr>
        <w:t xml:space="preserve"> </w:t>
      </w:r>
      <w:proofErr w:type="spellStart"/>
      <w:r w:rsidRPr="00765094">
        <w:rPr>
          <w:szCs w:val="18"/>
        </w:rPr>
        <w:t>Fikret</w:t>
      </w:r>
      <w:proofErr w:type="spellEnd"/>
      <w:r w:rsidRPr="00765094">
        <w:rPr>
          <w:szCs w:val="18"/>
        </w:rPr>
        <w:t xml:space="preserve"> </w:t>
      </w:r>
      <w:proofErr w:type="spellStart"/>
      <w:r w:rsidRPr="00765094">
        <w:rPr>
          <w:szCs w:val="18"/>
        </w:rPr>
        <w:t>Berkes</w:t>
      </w:r>
      <w:proofErr w:type="spellEnd"/>
      <w:r w:rsidRPr="00765094">
        <w:rPr>
          <w:szCs w:val="18"/>
        </w:rPr>
        <w:t>, “</w:t>
      </w:r>
      <w:r w:rsidRPr="00765094">
        <w:rPr>
          <w:i/>
          <w:szCs w:val="18"/>
        </w:rPr>
        <w:t xml:space="preserve">Traditional Ecological Knowledge in Perspective.  </w:t>
      </w:r>
      <w:proofErr w:type="spellStart"/>
      <w:r w:rsidRPr="008D49E2">
        <w:rPr>
          <w:i/>
          <w:szCs w:val="18"/>
          <w:lang w:val="es-ES"/>
        </w:rPr>
        <w:t>Traditional</w:t>
      </w:r>
      <w:proofErr w:type="spellEnd"/>
      <w:r w:rsidRPr="008D49E2">
        <w:rPr>
          <w:i/>
          <w:szCs w:val="18"/>
          <w:lang w:val="es-ES"/>
        </w:rPr>
        <w:t xml:space="preserve"> </w:t>
      </w:r>
      <w:proofErr w:type="spellStart"/>
      <w:r w:rsidRPr="008D49E2">
        <w:rPr>
          <w:i/>
          <w:szCs w:val="18"/>
          <w:lang w:val="es-ES"/>
        </w:rPr>
        <w:t>Ecological</w:t>
      </w:r>
      <w:proofErr w:type="spellEnd"/>
      <w:r w:rsidRPr="008D49E2">
        <w:rPr>
          <w:i/>
          <w:szCs w:val="18"/>
          <w:lang w:val="es-ES"/>
        </w:rPr>
        <w:t xml:space="preserve"> </w:t>
      </w:r>
      <w:proofErr w:type="spellStart"/>
      <w:r w:rsidRPr="008D49E2">
        <w:rPr>
          <w:i/>
          <w:szCs w:val="18"/>
          <w:lang w:val="es-ES"/>
        </w:rPr>
        <w:t>Knowledge</w:t>
      </w:r>
      <w:proofErr w:type="spellEnd"/>
      <w:r w:rsidRPr="008D49E2">
        <w:rPr>
          <w:i/>
          <w:szCs w:val="18"/>
          <w:lang w:val="es-ES"/>
        </w:rPr>
        <w:t xml:space="preserve">:  </w:t>
      </w:r>
      <w:proofErr w:type="spellStart"/>
      <w:r w:rsidRPr="008D49E2">
        <w:rPr>
          <w:i/>
          <w:szCs w:val="18"/>
          <w:lang w:val="es-ES"/>
        </w:rPr>
        <w:t>Concepts</w:t>
      </w:r>
      <w:proofErr w:type="spellEnd"/>
      <w:r w:rsidRPr="008D49E2">
        <w:rPr>
          <w:i/>
          <w:szCs w:val="18"/>
          <w:lang w:val="es-ES"/>
        </w:rPr>
        <w:t xml:space="preserve"> and Cases”</w:t>
      </w:r>
      <w:r w:rsidRPr="008D49E2">
        <w:rPr>
          <w:szCs w:val="18"/>
          <w:lang w:val="es-ES"/>
        </w:rPr>
        <w:t>.  Programa Internacional sobre Conocimientos Ecológicos Tradicionales Centro Internacional de Investigaciones para el Desarrollo, Otawa.</w:t>
      </w:r>
    </w:p>
  </w:footnote>
  <w:footnote w:id="166">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“Informe de la OMPI relativo a las misiones exploratorias sobre propiedad intelectual y conocimientos tradicionales (1998</w:t>
      </w:r>
      <w:r w:rsidRPr="008D49E2">
        <w:rPr>
          <w:szCs w:val="18"/>
          <w:lang w:val="es-ES"/>
        </w:rPr>
        <w:noBreakHyphen/>
        <w:t>1999):  Conocimientos tradicionales:  Necesidades y expectativas en materia de propiedad intelectual”, pág. 25, disponible en:  http://www.wipo.int/tk/en/ffm/report/index.html.</w:t>
      </w:r>
    </w:p>
  </w:footnote>
  <w:footnote w:id="167">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ab/>
        <w:t xml:space="preserve">Más información disponible en </w:t>
      </w:r>
      <w:hyperlink r:id="rId13" w:history="1">
        <w:r w:rsidRPr="008D49E2">
          <w:rPr>
            <w:rStyle w:val="Hyperlink"/>
            <w:szCs w:val="18"/>
            <w:lang w:val="es-ES"/>
          </w:rPr>
          <w:t>http://www.tkdl.res.in/tkdl/langdefault/common/Abouttkdl.asp?GL=Eng</w:t>
        </w:r>
      </w:hyperlink>
      <w:r w:rsidRPr="008D49E2">
        <w:rPr>
          <w:szCs w:val="18"/>
          <w:lang w:val="es-ES"/>
        </w:rPr>
        <w:t>.</w:t>
      </w:r>
    </w:p>
  </w:footnote>
  <w:footnote w:id="168">
    <w:p w:rsidR="00765094" w:rsidRPr="00765094" w:rsidRDefault="00765094" w:rsidP="00C0409B">
      <w:pPr>
        <w:pStyle w:val="FootnoteText"/>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r w:rsidRPr="00765094">
        <w:rPr>
          <w:szCs w:val="18"/>
        </w:rPr>
        <w:t>Véase</w:t>
      </w:r>
      <w:proofErr w:type="spellEnd"/>
      <w:r w:rsidRPr="00765094">
        <w:rPr>
          <w:szCs w:val="18"/>
        </w:rPr>
        <w:t xml:space="preserve"> “</w:t>
      </w:r>
      <w:r w:rsidRPr="00765094">
        <w:rPr>
          <w:i/>
          <w:iCs/>
          <w:szCs w:val="18"/>
        </w:rPr>
        <w:t>The Role of Registers &amp; Databases in the Protection of Traditional Knowledge:  A Comparative Analysis</w:t>
      </w:r>
      <w:r w:rsidRPr="00765094">
        <w:rPr>
          <w:iCs/>
          <w:szCs w:val="18"/>
        </w:rPr>
        <w:t xml:space="preserve">”, </w:t>
      </w:r>
      <w:proofErr w:type="spellStart"/>
      <w:r w:rsidRPr="00765094">
        <w:rPr>
          <w:iCs/>
          <w:szCs w:val="18"/>
        </w:rPr>
        <w:t>I</w:t>
      </w:r>
      <w:r w:rsidRPr="00765094">
        <w:rPr>
          <w:szCs w:val="18"/>
        </w:rPr>
        <w:t>nforme</w:t>
      </w:r>
      <w:proofErr w:type="spellEnd"/>
      <w:r w:rsidRPr="00765094">
        <w:rPr>
          <w:szCs w:val="18"/>
        </w:rPr>
        <w:t xml:space="preserve"> </w:t>
      </w:r>
      <w:proofErr w:type="spellStart"/>
      <w:r w:rsidRPr="00765094">
        <w:rPr>
          <w:szCs w:val="18"/>
        </w:rPr>
        <w:t>UNU</w:t>
      </w:r>
      <w:proofErr w:type="spellEnd"/>
      <w:r w:rsidRPr="00765094">
        <w:rPr>
          <w:szCs w:val="18"/>
        </w:rPr>
        <w:t xml:space="preserve">-IAS, </w:t>
      </w:r>
      <w:proofErr w:type="spellStart"/>
      <w:r w:rsidRPr="00765094">
        <w:rPr>
          <w:szCs w:val="18"/>
        </w:rPr>
        <w:t>enero</w:t>
      </w:r>
      <w:proofErr w:type="spellEnd"/>
      <w:r w:rsidRPr="00765094">
        <w:rPr>
          <w:szCs w:val="18"/>
        </w:rPr>
        <w:t xml:space="preserve"> de 2004, </w:t>
      </w:r>
      <w:proofErr w:type="spellStart"/>
      <w:r w:rsidRPr="00765094">
        <w:rPr>
          <w:szCs w:val="18"/>
        </w:rPr>
        <w:t>pág</w:t>
      </w:r>
      <w:proofErr w:type="spellEnd"/>
      <w:r w:rsidRPr="00765094">
        <w:rPr>
          <w:szCs w:val="18"/>
        </w:rPr>
        <w:t>. 18.</w:t>
      </w:r>
    </w:p>
  </w:footnote>
  <w:footnote w:id="169">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w:t>
      </w:r>
      <w:r w:rsidRPr="008D49E2">
        <w:rPr>
          <w:iCs/>
          <w:szCs w:val="18"/>
          <w:lang w:val="es-ES"/>
        </w:rPr>
        <w:t>Informe</w:t>
      </w:r>
      <w:r w:rsidRPr="008D49E2">
        <w:rPr>
          <w:szCs w:val="18"/>
          <w:lang w:val="es-ES"/>
        </w:rPr>
        <w:t xml:space="preserve"> de la OMPI relativo a las misiones exploratorias sobre propiedad intelectual y conocimientos tradicionales (1998 1999):  Conocimientos tradicionales:  Necesidades y expectativas en materia de propiedad intelectual”, </w:t>
      </w:r>
      <w:proofErr w:type="spellStart"/>
      <w:r w:rsidRPr="008D49E2">
        <w:rPr>
          <w:szCs w:val="18"/>
          <w:lang w:val="es-ES"/>
        </w:rPr>
        <w:t>pág</w:t>
      </w:r>
      <w:proofErr w:type="spellEnd"/>
      <w:r w:rsidRPr="008D49E2">
        <w:rPr>
          <w:szCs w:val="18"/>
          <w:lang w:val="es-ES"/>
        </w:rPr>
        <w:t> 26.</w:t>
      </w:r>
    </w:p>
  </w:footnote>
  <w:footnote w:id="170">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“Lista y breve explicación técnica de las diversas formas que pueden presentar los conocimientos tradicionales”, WIPO/GRTKF/IC/17/INF/9, párrafos 43 y 44 del Anexo.</w:t>
      </w:r>
    </w:p>
  </w:footnote>
  <w:footnote w:id="171">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Ídem.</w:t>
      </w:r>
    </w:p>
  </w:footnote>
  <w:footnote w:id="172">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Más información disponible en </w:t>
      </w:r>
      <w:hyperlink r:id="rId14" w:history="1">
        <w:r w:rsidRPr="008D49E2">
          <w:rPr>
            <w:rStyle w:val="Hyperlink"/>
            <w:szCs w:val="18"/>
            <w:lang w:val="es-ES"/>
          </w:rPr>
          <w:t>http://www.tkdl.res.in/tkdl/langdefault/common/TKRC.asp?GL=Eng</w:t>
        </w:r>
      </w:hyperlink>
      <w:r w:rsidRPr="008D49E2">
        <w:rPr>
          <w:szCs w:val="18"/>
          <w:lang w:val="es-ES"/>
        </w:rPr>
        <w:t>.</w:t>
      </w:r>
    </w:p>
  </w:footnote>
  <w:footnote w:id="173">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Pautas generales de la OMS para las metodologías de investigación y evaluación de la medicina tradicional, WHO/EDM/TRM/2000.1, pág. 1.</w:t>
      </w:r>
    </w:p>
  </w:footnote>
  <w:footnote w:id="174">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La estrategia de la OMS sobre medicina tradicional, 2002-2005.</w:t>
      </w:r>
    </w:p>
  </w:footnote>
  <w:footnote w:id="175">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Proyecto de glosario, Comisión Nacional para la UNESCO</w:t>
      </w:r>
      <w:r w:rsidRPr="008D49E2">
        <w:rPr>
          <w:rStyle w:val="FootnoteReference"/>
          <w:szCs w:val="18"/>
          <w:lang w:val="es-ES"/>
        </w:rPr>
        <w:t>.</w:t>
      </w:r>
    </w:p>
  </w:footnote>
  <w:footnote w:id="176">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Véanse los artículos 10 a 13 del ITPGRFA.</w:t>
      </w:r>
    </w:p>
  </w:footnote>
  <w:footnote w:id="177">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WIPO/GRTKF/IC/3/9.</w:t>
      </w:r>
    </w:p>
  </w:footnote>
  <w:footnote w:id="178">
    <w:p w:rsidR="00765094" w:rsidRPr="00765094" w:rsidRDefault="00765094" w:rsidP="00C0409B">
      <w:pPr>
        <w:pStyle w:val="FootnoteText"/>
        <w:ind w:left="550" w:hanging="550"/>
        <w:rPr>
          <w:szCs w:val="18"/>
        </w:rPr>
      </w:pPr>
      <w:r w:rsidRPr="008D49E2">
        <w:rPr>
          <w:rStyle w:val="FootnoteReference"/>
          <w:szCs w:val="18"/>
          <w:lang w:val="es-ES"/>
        </w:rPr>
        <w:footnoteRef/>
      </w:r>
      <w:r w:rsidRPr="008D49E2">
        <w:rPr>
          <w:szCs w:val="18"/>
          <w:lang w:val="es-ES"/>
        </w:rPr>
        <w:t xml:space="preserve"> </w:t>
      </w:r>
      <w:r w:rsidRPr="008D49E2">
        <w:rPr>
          <w:szCs w:val="18"/>
          <w:lang w:val="es-ES"/>
        </w:rPr>
        <w:tab/>
        <w:t>Véase el “Análisis consolidado de la protección jurídica de las expresiones culturales tradicionales”, WIPO/GRTKF/IC/5/3, párr. </w:t>
      </w:r>
      <w:r w:rsidRPr="00765094">
        <w:rPr>
          <w:szCs w:val="18"/>
        </w:rPr>
        <w:t>7.</w:t>
      </w:r>
    </w:p>
  </w:footnote>
  <w:footnote w:id="179">
    <w:p w:rsidR="00765094" w:rsidRPr="00765094" w:rsidRDefault="00765094" w:rsidP="00C0409B">
      <w:pPr>
        <w:pStyle w:val="FootnoteText"/>
        <w:ind w:left="550" w:hanging="550"/>
        <w:rPr>
          <w:szCs w:val="18"/>
        </w:rPr>
      </w:pPr>
      <w:r w:rsidRPr="008D49E2">
        <w:rPr>
          <w:rStyle w:val="FootnoteReference"/>
          <w:szCs w:val="18"/>
          <w:lang w:val="es-ES"/>
        </w:rPr>
        <w:footnoteRef/>
      </w:r>
      <w:r w:rsidRPr="00765094">
        <w:rPr>
          <w:szCs w:val="18"/>
        </w:rPr>
        <w:t xml:space="preserve"> </w:t>
      </w:r>
      <w:r w:rsidRPr="00765094">
        <w:rPr>
          <w:szCs w:val="18"/>
        </w:rPr>
        <w:tab/>
        <w:t>Daniel Gervais, “</w:t>
      </w:r>
      <w:r w:rsidRPr="00765094">
        <w:rPr>
          <w:i/>
          <w:szCs w:val="18"/>
        </w:rPr>
        <w:t xml:space="preserve">The TRIPS Agreement.  </w:t>
      </w:r>
      <w:proofErr w:type="gramStart"/>
      <w:r w:rsidRPr="00765094">
        <w:rPr>
          <w:i/>
          <w:szCs w:val="18"/>
        </w:rPr>
        <w:t>Drafting and Analysis”</w:t>
      </w:r>
      <w:r w:rsidRPr="00765094">
        <w:rPr>
          <w:szCs w:val="18"/>
        </w:rPr>
        <w:t xml:space="preserve">, 3ª </w:t>
      </w:r>
      <w:proofErr w:type="spellStart"/>
      <w:r w:rsidRPr="00765094">
        <w:rPr>
          <w:szCs w:val="18"/>
        </w:rPr>
        <w:t>edición</w:t>
      </w:r>
      <w:proofErr w:type="spellEnd"/>
      <w:r w:rsidRPr="00765094">
        <w:rPr>
          <w:szCs w:val="18"/>
        </w:rPr>
        <w:t xml:space="preserve">, Sweet &amp; Maxwell, </w:t>
      </w:r>
      <w:proofErr w:type="spellStart"/>
      <w:r w:rsidRPr="00765094">
        <w:rPr>
          <w:szCs w:val="18"/>
        </w:rPr>
        <w:t>pág</w:t>
      </w:r>
      <w:proofErr w:type="spellEnd"/>
      <w:r w:rsidRPr="00765094">
        <w:rPr>
          <w:szCs w:val="18"/>
        </w:rPr>
        <w:t>.</w:t>
      </w:r>
      <w:proofErr w:type="gramEnd"/>
      <w:r w:rsidRPr="00765094">
        <w:rPr>
          <w:szCs w:val="18"/>
        </w:rPr>
        <w:t xml:space="preserve"> 132.</w:t>
      </w:r>
    </w:p>
  </w:footnote>
  <w:footnote w:id="180">
    <w:p w:rsidR="00765094" w:rsidRPr="008D49E2" w:rsidRDefault="00765094" w:rsidP="00C0409B">
      <w:pPr>
        <w:pStyle w:val="FootnoteText"/>
        <w:ind w:left="567" w:hanging="567"/>
        <w:rPr>
          <w:szCs w:val="18"/>
          <w:lang w:val="es-ES"/>
        </w:rPr>
      </w:pPr>
      <w:r w:rsidRPr="008D49E2">
        <w:rPr>
          <w:rStyle w:val="FootnoteReference"/>
          <w:szCs w:val="18"/>
          <w:lang w:val="es-ES"/>
        </w:rPr>
        <w:footnoteRef/>
      </w:r>
      <w:r w:rsidRPr="008D49E2">
        <w:rPr>
          <w:szCs w:val="18"/>
          <w:lang w:val="es-ES"/>
        </w:rPr>
        <w:tab/>
      </w:r>
      <w:r w:rsidRPr="008D49E2">
        <w:rPr>
          <w:color w:val="000000"/>
          <w:szCs w:val="18"/>
          <w:lang w:val="es-ES"/>
        </w:rPr>
        <w:t xml:space="preserve">Guía de la OMPI para la catalogación de conocimientos tradicionales – borrador de consulta, disponible en:  </w:t>
      </w:r>
      <w:hyperlink r:id="rId15" w:history="1">
        <w:r w:rsidRPr="008D49E2">
          <w:rPr>
            <w:rStyle w:val="Hyperlink"/>
            <w:szCs w:val="18"/>
            <w:lang w:val="es-ES"/>
          </w:rPr>
          <w:t>http://www.wipo.int/tk/en/tk/TKToolkit.html</w:t>
        </w:r>
      </w:hyperlink>
      <w:r w:rsidRPr="008D49E2">
        <w:rPr>
          <w:color w:val="000000"/>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94" w:rsidRDefault="00765094" w:rsidP="00C0409B">
    <w:pPr>
      <w:jc w:val="right"/>
      <w:rPr>
        <w:lang w:val="pt-BR"/>
      </w:rPr>
    </w:pPr>
    <w:proofErr w:type="spellStart"/>
    <w:r w:rsidRPr="00A02419">
      <w:rPr>
        <w:lang w:val="es-ES"/>
      </w:rPr>
      <w:t>WIPO</w:t>
    </w:r>
    <w:proofErr w:type="spellEnd"/>
    <w:r w:rsidRPr="00A02419">
      <w:rPr>
        <w:lang w:val="es-ES"/>
      </w:rPr>
      <w:t>/</w:t>
    </w:r>
    <w:proofErr w:type="spellStart"/>
    <w:r w:rsidRPr="00A02419">
      <w:rPr>
        <w:lang w:val="es-ES"/>
      </w:rPr>
      <w:t>GRTKF</w:t>
    </w:r>
    <w:proofErr w:type="spellEnd"/>
    <w:r w:rsidRPr="00A02419">
      <w:rPr>
        <w:lang w:val="es-ES"/>
      </w:rPr>
      <w:t>/</w:t>
    </w:r>
    <w:proofErr w:type="spellStart"/>
    <w:r w:rsidRPr="00A02419">
      <w:rPr>
        <w:lang w:val="es-ES"/>
      </w:rPr>
      <w:t>IC</w:t>
    </w:r>
    <w:proofErr w:type="spellEnd"/>
    <w:r w:rsidRPr="00A02419">
      <w:rPr>
        <w:lang w:val="es-ES"/>
      </w:rPr>
      <w:t>/3</w:t>
    </w:r>
    <w:r w:rsidR="00A40D33">
      <w:rPr>
        <w:lang w:val="es-ES"/>
      </w:rPr>
      <w:t>4</w:t>
    </w:r>
    <w:r w:rsidRPr="00A02419">
      <w:rPr>
        <w:lang w:val="es-ES"/>
      </w:rPr>
      <w:t>/</w:t>
    </w:r>
    <w:proofErr w:type="spellStart"/>
    <w:r w:rsidRPr="00A02419">
      <w:rPr>
        <w:lang w:val="es-ES"/>
      </w:rPr>
      <w:t>INF</w:t>
    </w:r>
    <w:proofErr w:type="spellEnd"/>
    <w:r w:rsidRPr="00A02419">
      <w:rPr>
        <w:lang w:val="es-ES"/>
      </w:rPr>
      <w:t>/7</w:t>
    </w:r>
  </w:p>
  <w:p w:rsidR="00765094" w:rsidRPr="003255B0" w:rsidRDefault="00765094" w:rsidP="00C0409B">
    <w:pPr>
      <w:jc w:val="right"/>
      <w:rPr>
        <w:lang w:val="pt-BR"/>
      </w:rPr>
    </w:pPr>
    <w:r w:rsidRPr="003255B0">
      <w:rPr>
        <w:lang w:val="pt-BR"/>
      </w:rPr>
      <w:t xml:space="preserve">página </w:t>
    </w:r>
    <w:r>
      <w:fldChar w:fldCharType="begin"/>
    </w:r>
    <w:r w:rsidRPr="003255B0">
      <w:rPr>
        <w:lang w:val="pt-BR"/>
      </w:rPr>
      <w:instrText xml:space="preserve"> PAGE  \* MERGEFORMAT </w:instrText>
    </w:r>
    <w:r>
      <w:fldChar w:fldCharType="separate"/>
    </w:r>
    <w:r w:rsidR="00D64FD1">
      <w:rPr>
        <w:noProof/>
        <w:lang w:val="pt-BR"/>
      </w:rPr>
      <w:t>2</w:t>
    </w:r>
    <w:r>
      <w:fldChar w:fldCharType="end"/>
    </w:r>
  </w:p>
  <w:p w:rsidR="00765094" w:rsidRPr="003255B0" w:rsidRDefault="00765094" w:rsidP="00C0409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94" w:rsidRPr="00FD16AB" w:rsidRDefault="00765094" w:rsidP="00FD16AB">
    <w:pPr>
      <w:pStyle w:val="Header"/>
      <w:jc w:val="right"/>
      <w:rPr>
        <w:lang w:val="es-ES"/>
      </w:rPr>
    </w:pPr>
    <w:r w:rsidRPr="00FD16AB">
      <w:rPr>
        <w:lang w:val="es-ES"/>
      </w:rPr>
      <w:t>WIPO/GRTKF/IC/33/INF/</w:t>
    </w:r>
    <w:r>
      <w:rPr>
        <w:lang w:val="es-ES"/>
      </w:rPr>
      <w:t>7</w:t>
    </w:r>
  </w:p>
  <w:p w:rsidR="00765094" w:rsidRPr="00FD16AB" w:rsidRDefault="00765094" w:rsidP="00FC6A5A">
    <w:pPr>
      <w:pStyle w:val="Header"/>
      <w:jc w:val="right"/>
      <w:rPr>
        <w:lang w:val="es-ES"/>
      </w:rPr>
    </w:pPr>
    <w:r>
      <w:rPr>
        <w:lang w:val="es-ES"/>
      </w:rPr>
      <w:t xml:space="preserve">Anexo, página </w:t>
    </w:r>
    <w:r>
      <w:fldChar w:fldCharType="begin"/>
    </w:r>
    <w:r w:rsidRPr="003255B0">
      <w:rPr>
        <w:lang w:val="pt-BR"/>
      </w:rPr>
      <w:instrText xml:space="preserve"> PAGE  \* MERGEFORMAT </w:instrText>
    </w:r>
    <w:r>
      <w:fldChar w:fldCharType="separate"/>
    </w:r>
    <w:r w:rsidR="00D64FD1">
      <w:rPr>
        <w:noProof/>
        <w:lang w:val="pt-BR"/>
      </w:rPr>
      <w:t>50</w:t>
    </w:r>
    <w:r>
      <w:fldChar w:fldCharType="end"/>
    </w:r>
  </w:p>
  <w:p w:rsidR="00765094" w:rsidRPr="00FD16AB" w:rsidRDefault="00765094"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94" w:rsidRPr="00FD16AB" w:rsidRDefault="00A40D33" w:rsidP="00FD16AB">
    <w:pPr>
      <w:pStyle w:val="Header"/>
      <w:jc w:val="right"/>
      <w:rPr>
        <w:lang w:val="es-ES"/>
      </w:rPr>
    </w:pPr>
    <w:proofErr w:type="spellStart"/>
    <w:r>
      <w:rPr>
        <w:lang w:val="es-ES"/>
      </w:rPr>
      <w:t>WIPO</w:t>
    </w:r>
    <w:proofErr w:type="spellEnd"/>
    <w:r>
      <w:rPr>
        <w:lang w:val="es-ES"/>
      </w:rPr>
      <w:t>/</w:t>
    </w:r>
    <w:proofErr w:type="spellStart"/>
    <w:r>
      <w:rPr>
        <w:lang w:val="es-ES"/>
      </w:rPr>
      <w:t>GRTKF</w:t>
    </w:r>
    <w:proofErr w:type="spellEnd"/>
    <w:r>
      <w:rPr>
        <w:lang w:val="es-ES"/>
      </w:rPr>
      <w:t>/</w:t>
    </w:r>
    <w:proofErr w:type="spellStart"/>
    <w:r>
      <w:rPr>
        <w:lang w:val="es-ES"/>
      </w:rPr>
      <w:t>IC</w:t>
    </w:r>
    <w:proofErr w:type="spellEnd"/>
    <w:r>
      <w:rPr>
        <w:lang w:val="es-ES"/>
      </w:rPr>
      <w:t>/34</w:t>
    </w:r>
    <w:r w:rsidR="00765094" w:rsidRPr="00FD16AB">
      <w:rPr>
        <w:lang w:val="es-ES"/>
      </w:rPr>
      <w:t>/</w:t>
    </w:r>
    <w:proofErr w:type="spellStart"/>
    <w:r w:rsidR="00765094" w:rsidRPr="00FD16AB">
      <w:rPr>
        <w:lang w:val="es-ES"/>
      </w:rPr>
      <w:t>INF</w:t>
    </w:r>
    <w:proofErr w:type="spellEnd"/>
    <w:r w:rsidR="00765094" w:rsidRPr="00FD16AB">
      <w:rPr>
        <w:lang w:val="es-ES"/>
      </w:rPr>
      <w:t>/</w:t>
    </w:r>
    <w:r w:rsidR="00765094">
      <w:rPr>
        <w:lang w:val="es-ES"/>
      </w:rPr>
      <w:t>7</w:t>
    </w:r>
  </w:p>
  <w:p w:rsidR="00765094" w:rsidRPr="00FD16AB" w:rsidRDefault="00765094" w:rsidP="00FD16AB">
    <w:pPr>
      <w:pStyle w:val="Header"/>
      <w:jc w:val="right"/>
      <w:rPr>
        <w:lang w:val="es-ES"/>
      </w:rPr>
    </w:pPr>
    <w:r w:rsidRPr="00FD16AB">
      <w:rPr>
        <w:lang w:val="es-ES"/>
      </w:rPr>
      <w:t>ANEXO</w:t>
    </w:r>
  </w:p>
  <w:p w:rsidR="00765094" w:rsidRPr="00FD16AB" w:rsidRDefault="00765094" w:rsidP="000767BC">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2">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1">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4">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2">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8">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6">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7">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7"/>
  </w:num>
  <w:num w:numId="2">
    <w:abstractNumId w:val="22"/>
  </w:num>
  <w:num w:numId="3">
    <w:abstractNumId w:val="0"/>
  </w:num>
  <w:num w:numId="4">
    <w:abstractNumId w:val="26"/>
  </w:num>
  <w:num w:numId="5">
    <w:abstractNumId w:val="3"/>
  </w:num>
  <w:num w:numId="6">
    <w:abstractNumId w:val="9"/>
  </w:num>
  <w:num w:numId="7">
    <w:abstractNumId w:val="28"/>
  </w:num>
  <w:num w:numId="8">
    <w:abstractNumId w:val="40"/>
  </w:num>
  <w:num w:numId="9">
    <w:abstractNumId w:val="30"/>
  </w:num>
  <w:num w:numId="10">
    <w:abstractNumId w:val="31"/>
  </w:num>
  <w:num w:numId="11">
    <w:abstractNumId w:val="39"/>
  </w:num>
  <w:num w:numId="12">
    <w:abstractNumId w:val="34"/>
  </w:num>
  <w:num w:numId="13">
    <w:abstractNumId w:val="14"/>
  </w:num>
  <w:num w:numId="14">
    <w:abstractNumId w:val="24"/>
  </w:num>
  <w:num w:numId="15">
    <w:abstractNumId w:val="20"/>
  </w:num>
  <w:num w:numId="16">
    <w:abstractNumId w:val="16"/>
  </w:num>
  <w:num w:numId="17">
    <w:abstractNumId w:val="5"/>
  </w:num>
  <w:num w:numId="18">
    <w:abstractNumId w:val="41"/>
  </w:num>
  <w:num w:numId="19">
    <w:abstractNumId w:val="36"/>
  </w:num>
  <w:num w:numId="20">
    <w:abstractNumId w:val="3"/>
  </w:num>
  <w:num w:numId="21">
    <w:abstractNumId w:val="21"/>
  </w:num>
  <w:num w:numId="22">
    <w:abstractNumId w:val="11"/>
  </w:num>
  <w:num w:numId="23">
    <w:abstractNumId w:val="43"/>
  </w:num>
  <w:num w:numId="24">
    <w:abstractNumId w:val="1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 w:numId="37">
    <w:abstractNumId w:val="35"/>
  </w:num>
  <w:num w:numId="38">
    <w:abstractNumId w:val="15"/>
  </w:num>
  <w:num w:numId="39">
    <w:abstractNumId w:val="1"/>
  </w:num>
  <w:num w:numId="40">
    <w:abstractNumId w:val="4"/>
  </w:num>
  <w:num w:numId="41">
    <w:abstractNumId w:val="33"/>
  </w:num>
  <w:num w:numId="42">
    <w:abstractNumId w:val="19"/>
  </w:num>
  <w:num w:numId="43">
    <w:abstractNumId w:val="45"/>
  </w:num>
  <w:num w:numId="44">
    <w:abstractNumId w:val="47"/>
  </w:num>
  <w:num w:numId="45">
    <w:abstractNumId w:val="29"/>
  </w:num>
  <w:num w:numId="46">
    <w:abstractNumId w:val="10"/>
  </w:num>
  <w:num w:numId="47">
    <w:abstractNumId w:val="44"/>
  </w:num>
  <w:num w:numId="48">
    <w:abstractNumId w:val="2"/>
  </w:num>
  <w:num w:numId="49">
    <w:abstractNumId w:val="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43CAA"/>
    <w:rsid w:val="00045FA4"/>
    <w:rsid w:val="000564DE"/>
    <w:rsid w:val="00074E67"/>
    <w:rsid w:val="00075432"/>
    <w:rsid w:val="000767BC"/>
    <w:rsid w:val="00094E7B"/>
    <w:rsid w:val="000964E1"/>
    <w:rsid w:val="000968ED"/>
    <w:rsid w:val="000A1E7C"/>
    <w:rsid w:val="000B47FC"/>
    <w:rsid w:val="000C7425"/>
    <w:rsid w:val="000D1775"/>
    <w:rsid w:val="000D44C6"/>
    <w:rsid w:val="000D52CA"/>
    <w:rsid w:val="000D690A"/>
    <w:rsid w:val="000E2132"/>
    <w:rsid w:val="000E32BB"/>
    <w:rsid w:val="000E72CA"/>
    <w:rsid w:val="000F3E95"/>
    <w:rsid w:val="000F5E56"/>
    <w:rsid w:val="000F7217"/>
    <w:rsid w:val="001011D2"/>
    <w:rsid w:val="001031A1"/>
    <w:rsid w:val="0010357F"/>
    <w:rsid w:val="001059FC"/>
    <w:rsid w:val="001362EE"/>
    <w:rsid w:val="00143EB0"/>
    <w:rsid w:val="0014698C"/>
    <w:rsid w:val="00146C9D"/>
    <w:rsid w:val="00155D0B"/>
    <w:rsid w:val="001832A6"/>
    <w:rsid w:val="001A1A38"/>
    <w:rsid w:val="001A7750"/>
    <w:rsid w:val="001C1D99"/>
    <w:rsid w:val="001C2D72"/>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59C0"/>
    <w:rsid w:val="002E136F"/>
    <w:rsid w:val="002F1FE6"/>
    <w:rsid w:val="002F3EBD"/>
    <w:rsid w:val="002F4E68"/>
    <w:rsid w:val="002F6443"/>
    <w:rsid w:val="00303999"/>
    <w:rsid w:val="00311087"/>
    <w:rsid w:val="00312F7F"/>
    <w:rsid w:val="00314E07"/>
    <w:rsid w:val="00314E30"/>
    <w:rsid w:val="00321E95"/>
    <w:rsid w:val="0032638B"/>
    <w:rsid w:val="003315E3"/>
    <w:rsid w:val="00333DD0"/>
    <w:rsid w:val="00345B15"/>
    <w:rsid w:val="0036035F"/>
    <w:rsid w:val="00361450"/>
    <w:rsid w:val="00363ABA"/>
    <w:rsid w:val="003644CC"/>
    <w:rsid w:val="003673CF"/>
    <w:rsid w:val="00374900"/>
    <w:rsid w:val="003845C1"/>
    <w:rsid w:val="003A2633"/>
    <w:rsid w:val="003A3D0E"/>
    <w:rsid w:val="003A6F89"/>
    <w:rsid w:val="003B2B8B"/>
    <w:rsid w:val="003B38C1"/>
    <w:rsid w:val="003F320C"/>
    <w:rsid w:val="00412C61"/>
    <w:rsid w:val="00416016"/>
    <w:rsid w:val="0042230B"/>
    <w:rsid w:val="0042334B"/>
    <w:rsid w:val="00423E3E"/>
    <w:rsid w:val="00427AF4"/>
    <w:rsid w:val="00436AA7"/>
    <w:rsid w:val="00440B71"/>
    <w:rsid w:val="00446D8E"/>
    <w:rsid w:val="004526E4"/>
    <w:rsid w:val="00456334"/>
    <w:rsid w:val="0046050B"/>
    <w:rsid w:val="0046339D"/>
    <w:rsid w:val="004647DA"/>
    <w:rsid w:val="00470182"/>
    <w:rsid w:val="0047373C"/>
    <w:rsid w:val="00474062"/>
    <w:rsid w:val="00477D6B"/>
    <w:rsid w:val="00481B56"/>
    <w:rsid w:val="00485C67"/>
    <w:rsid w:val="00496E38"/>
    <w:rsid w:val="004A79D2"/>
    <w:rsid w:val="004C2215"/>
    <w:rsid w:val="004C382A"/>
    <w:rsid w:val="004C4A67"/>
    <w:rsid w:val="004D6F96"/>
    <w:rsid w:val="004D7C81"/>
    <w:rsid w:val="004E10C4"/>
    <w:rsid w:val="004E1709"/>
    <w:rsid w:val="004E4447"/>
    <w:rsid w:val="004F43E7"/>
    <w:rsid w:val="005019FF"/>
    <w:rsid w:val="0050419D"/>
    <w:rsid w:val="00510EE8"/>
    <w:rsid w:val="00516553"/>
    <w:rsid w:val="00522A02"/>
    <w:rsid w:val="00524FAA"/>
    <w:rsid w:val="0053057A"/>
    <w:rsid w:val="00530E68"/>
    <w:rsid w:val="005346A1"/>
    <w:rsid w:val="00553D5E"/>
    <w:rsid w:val="00560A29"/>
    <w:rsid w:val="0057535D"/>
    <w:rsid w:val="0059568D"/>
    <w:rsid w:val="005957EB"/>
    <w:rsid w:val="005A4A15"/>
    <w:rsid w:val="005C21FD"/>
    <w:rsid w:val="005C6649"/>
    <w:rsid w:val="005D598D"/>
    <w:rsid w:val="005E225C"/>
    <w:rsid w:val="00604A21"/>
    <w:rsid w:val="00605827"/>
    <w:rsid w:val="0061243C"/>
    <w:rsid w:val="00622518"/>
    <w:rsid w:val="00625A46"/>
    <w:rsid w:val="006271CE"/>
    <w:rsid w:val="006375AD"/>
    <w:rsid w:val="00637CA1"/>
    <w:rsid w:val="00642D79"/>
    <w:rsid w:val="00646050"/>
    <w:rsid w:val="006614B8"/>
    <w:rsid w:val="006713CA"/>
    <w:rsid w:val="00672806"/>
    <w:rsid w:val="006748FD"/>
    <w:rsid w:val="00676C5C"/>
    <w:rsid w:val="006936CA"/>
    <w:rsid w:val="006B4668"/>
    <w:rsid w:val="006D6623"/>
    <w:rsid w:val="006D7A9A"/>
    <w:rsid w:val="006E1BA9"/>
    <w:rsid w:val="006F04FE"/>
    <w:rsid w:val="006F22AA"/>
    <w:rsid w:val="007045E0"/>
    <w:rsid w:val="007157D1"/>
    <w:rsid w:val="00733723"/>
    <w:rsid w:val="00741D5F"/>
    <w:rsid w:val="007440DC"/>
    <w:rsid w:val="00747CEF"/>
    <w:rsid w:val="00765094"/>
    <w:rsid w:val="00774F99"/>
    <w:rsid w:val="00780036"/>
    <w:rsid w:val="00783849"/>
    <w:rsid w:val="007D1613"/>
    <w:rsid w:val="007D456B"/>
    <w:rsid w:val="007E4E44"/>
    <w:rsid w:val="008030F2"/>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94779"/>
    <w:rsid w:val="008949DE"/>
    <w:rsid w:val="008A01A4"/>
    <w:rsid w:val="008B2CC1"/>
    <w:rsid w:val="008B60B2"/>
    <w:rsid w:val="008C57E4"/>
    <w:rsid w:val="008D380A"/>
    <w:rsid w:val="008D49E2"/>
    <w:rsid w:val="008F7FE0"/>
    <w:rsid w:val="0090646F"/>
    <w:rsid w:val="0090731E"/>
    <w:rsid w:val="00915660"/>
    <w:rsid w:val="00916EE2"/>
    <w:rsid w:val="00922372"/>
    <w:rsid w:val="009318CE"/>
    <w:rsid w:val="0093362A"/>
    <w:rsid w:val="00934B09"/>
    <w:rsid w:val="009441BC"/>
    <w:rsid w:val="009458A8"/>
    <w:rsid w:val="00953AB4"/>
    <w:rsid w:val="00953F7E"/>
    <w:rsid w:val="00966A22"/>
    <w:rsid w:val="0096722F"/>
    <w:rsid w:val="00972074"/>
    <w:rsid w:val="00976194"/>
    <w:rsid w:val="00980843"/>
    <w:rsid w:val="009931F8"/>
    <w:rsid w:val="00993649"/>
    <w:rsid w:val="00997FCD"/>
    <w:rsid w:val="009A2ED7"/>
    <w:rsid w:val="009A58DA"/>
    <w:rsid w:val="009C1E64"/>
    <w:rsid w:val="009C2916"/>
    <w:rsid w:val="009C75E5"/>
    <w:rsid w:val="009D07C4"/>
    <w:rsid w:val="009D6ADF"/>
    <w:rsid w:val="009E2791"/>
    <w:rsid w:val="009E3F6F"/>
    <w:rsid w:val="009F05E9"/>
    <w:rsid w:val="009F499F"/>
    <w:rsid w:val="00A11238"/>
    <w:rsid w:val="00A11425"/>
    <w:rsid w:val="00A120FA"/>
    <w:rsid w:val="00A17561"/>
    <w:rsid w:val="00A40D33"/>
    <w:rsid w:val="00A42DAF"/>
    <w:rsid w:val="00A45BD8"/>
    <w:rsid w:val="00A548BA"/>
    <w:rsid w:val="00A6159E"/>
    <w:rsid w:val="00A65833"/>
    <w:rsid w:val="00A84C18"/>
    <w:rsid w:val="00A869B7"/>
    <w:rsid w:val="00A91862"/>
    <w:rsid w:val="00A967BF"/>
    <w:rsid w:val="00A97630"/>
    <w:rsid w:val="00AA7021"/>
    <w:rsid w:val="00AC205C"/>
    <w:rsid w:val="00AF0A6B"/>
    <w:rsid w:val="00AF4665"/>
    <w:rsid w:val="00AF565C"/>
    <w:rsid w:val="00B05A69"/>
    <w:rsid w:val="00B213F2"/>
    <w:rsid w:val="00B30BEE"/>
    <w:rsid w:val="00B30DC2"/>
    <w:rsid w:val="00B4005E"/>
    <w:rsid w:val="00B83DA9"/>
    <w:rsid w:val="00B9589B"/>
    <w:rsid w:val="00B9734B"/>
    <w:rsid w:val="00B9789F"/>
    <w:rsid w:val="00BA6F87"/>
    <w:rsid w:val="00BB5CE9"/>
    <w:rsid w:val="00BC08BF"/>
    <w:rsid w:val="00BD1067"/>
    <w:rsid w:val="00BE1342"/>
    <w:rsid w:val="00BE2812"/>
    <w:rsid w:val="00BE2F3A"/>
    <w:rsid w:val="00BE77C3"/>
    <w:rsid w:val="00C0409B"/>
    <w:rsid w:val="00C1071C"/>
    <w:rsid w:val="00C11BFE"/>
    <w:rsid w:val="00C14B49"/>
    <w:rsid w:val="00C24890"/>
    <w:rsid w:val="00C276B3"/>
    <w:rsid w:val="00C30FFA"/>
    <w:rsid w:val="00C54BEF"/>
    <w:rsid w:val="00C64D57"/>
    <w:rsid w:val="00C678D9"/>
    <w:rsid w:val="00C760DD"/>
    <w:rsid w:val="00CB3022"/>
    <w:rsid w:val="00CB6F18"/>
    <w:rsid w:val="00CB79CA"/>
    <w:rsid w:val="00CC170C"/>
    <w:rsid w:val="00CC635A"/>
    <w:rsid w:val="00CD4ACB"/>
    <w:rsid w:val="00CF4996"/>
    <w:rsid w:val="00CF4C92"/>
    <w:rsid w:val="00D01586"/>
    <w:rsid w:val="00D14703"/>
    <w:rsid w:val="00D3631E"/>
    <w:rsid w:val="00D45252"/>
    <w:rsid w:val="00D60EDC"/>
    <w:rsid w:val="00D64FD1"/>
    <w:rsid w:val="00D71566"/>
    <w:rsid w:val="00D71B4D"/>
    <w:rsid w:val="00D85A65"/>
    <w:rsid w:val="00D93D55"/>
    <w:rsid w:val="00D9572E"/>
    <w:rsid w:val="00DD1DBB"/>
    <w:rsid w:val="00DF77BC"/>
    <w:rsid w:val="00E04EE9"/>
    <w:rsid w:val="00E31B99"/>
    <w:rsid w:val="00E335FE"/>
    <w:rsid w:val="00E37C06"/>
    <w:rsid w:val="00E428EF"/>
    <w:rsid w:val="00E63C78"/>
    <w:rsid w:val="00E7198C"/>
    <w:rsid w:val="00E7501B"/>
    <w:rsid w:val="00E92472"/>
    <w:rsid w:val="00EA20C4"/>
    <w:rsid w:val="00EB414C"/>
    <w:rsid w:val="00EC189A"/>
    <w:rsid w:val="00EC40A4"/>
    <w:rsid w:val="00EC4E49"/>
    <w:rsid w:val="00EC5F29"/>
    <w:rsid w:val="00ED77FB"/>
    <w:rsid w:val="00EE45FA"/>
    <w:rsid w:val="00EF1C60"/>
    <w:rsid w:val="00F013F7"/>
    <w:rsid w:val="00F065CA"/>
    <w:rsid w:val="00F148D4"/>
    <w:rsid w:val="00F15270"/>
    <w:rsid w:val="00F66152"/>
    <w:rsid w:val="00F7494E"/>
    <w:rsid w:val="00F87E89"/>
    <w:rsid w:val="00F914CB"/>
    <w:rsid w:val="00FB1F55"/>
    <w:rsid w:val="00FC6A5A"/>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unesdoc.unesco.org/images/0012/001277/127784s.pdf" TargetMode="External"/><Relationship Id="rId13" Type="http://schemas.openxmlformats.org/officeDocument/2006/relationships/hyperlink" Target="http://www.tkdl.res.in/tkdl/langdefault/common/Abouttkdl.asp?GL=Eng" TargetMode="External"/><Relationship Id="rId3" Type="http://schemas.openxmlformats.org/officeDocument/2006/relationships/hyperlink" Target="http://www.unep.org/delc/portals/119/Glossary/terms%20_for_Negotiators_MEAs.pdf" TargetMode="External"/><Relationship Id="rId7" Type="http://schemas.openxmlformats.org/officeDocument/2006/relationships/hyperlink" Target="http://www.wipo.int/tk/es/consultations/customary_law/index.html" TargetMode="External"/><Relationship Id="rId12" Type="http://schemas.openxmlformats.org/officeDocument/2006/relationships/hyperlink" Target="http://www.wipo.int/copyright/es/limitations/index.html"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stat.asp" TargetMode="External"/><Relationship Id="rId6" Type="http://schemas.openxmlformats.org/officeDocument/2006/relationships/hyperlink" Target="http://www.vocabularyserver.com/unesco/index.php?tema=6846?/identidad-cultural" TargetMode="External"/><Relationship Id="rId11" Type="http://schemas.openxmlformats.org/officeDocument/2006/relationships/hyperlink" Target="http://www.unep.org/delc/portals/119/Glossary/terms%20_for_Negotiators_MEAs.pdf" TargetMode="External"/><Relationship Id="rId5" Type="http://schemas.openxmlformats.org/officeDocument/2006/relationships/hyperlink" Target="http://www.vocabularyserver.com/unesco/?tema=2563" TargetMode="External"/><Relationship Id="rId15" Type="http://schemas.openxmlformats.org/officeDocument/2006/relationships/hyperlink" Target="http://www.wipo.int/tk/en/tk/TKToolkit.html" TargetMode="External"/><Relationship Id="rId10" Type="http://schemas.openxmlformats.org/officeDocument/2006/relationships/hyperlink" Target="http://www.wipo.int/tk/es/databases/contracts/index.html" TargetMode="External"/><Relationship Id="rId4" Type="http://schemas.openxmlformats.org/officeDocument/2006/relationships/hyperlink" Target="http://www.cbd.int/chm/" TargetMode="External"/><Relationship Id="rId9" Type="http://schemas.openxmlformats.org/officeDocument/2006/relationships/hyperlink" Target="http://www.wipo.int/tk/es/consultations/customary_law/index.html" TargetMode="External"/><Relationship Id="rId14"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5287-3060-408D-8DB8-12901A9E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25289</Words>
  <Characters>142403</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WIPO/GRTKF/IC/33/INF/9</vt:lpstr>
    </vt:vector>
  </TitlesOfParts>
  <Company>WIPO</Company>
  <LinksUpToDate>false</LinksUpToDate>
  <CharactersWithSpaces>167358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WIPO/GRTKF/IC/34/INF/7</dc:title>
  <dc:subject>WIPO/GRTKF/IC/32/1 Prov</dc:subject>
  <dc:creator/>
  <dc:description>JC (carátula) - 9.3.2017</dc:description>
  <cp:lastModifiedBy>BOU LLORET Amparo</cp:lastModifiedBy>
  <cp:revision>3</cp:revision>
  <cp:lastPrinted>2016-08-10T11:30:00Z</cp:lastPrinted>
  <dcterms:created xsi:type="dcterms:W3CDTF">2017-03-09T13:06:00Z</dcterms:created>
  <dcterms:modified xsi:type="dcterms:W3CDTF">2017-03-09T13:17:00Z</dcterms:modified>
</cp:coreProperties>
</file>