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0D5434" w:rsidTr="00D64FD1">
        <w:trPr>
          <w:trHeight w:val="2410"/>
        </w:trPr>
        <w:tc>
          <w:tcPr>
            <w:tcW w:w="4513" w:type="dxa"/>
            <w:tcBorders>
              <w:bottom w:val="single" w:sz="4" w:space="0" w:color="auto"/>
            </w:tcBorders>
            <w:tcMar>
              <w:bottom w:w="170" w:type="dxa"/>
            </w:tcMar>
          </w:tcPr>
          <w:p w:rsidR="00EC4E49" w:rsidRPr="000D5434" w:rsidRDefault="00EC4E49" w:rsidP="00103D66">
            <w:pPr>
              <w:rPr>
                <w:lang w:val="es-ES"/>
              </w:rPr>
            </w:pPr>
          </w:p>
        </w:tc>
        <w:tc>
          <w:tcPr>
            <w:tcW w:w="4337" w:type="dxa"/>
            <w:tcBorders>
              <w:bottom w:val="single" w:sz="4" w:space="0" w:color="auto"/>
            </w:tcBorders>
            <w:tcMar>
              <w:left w:w="0" w:type="dxa"/>
              <w:right w:w="0" w:type="dxa"/>
            </w:tcMar>
          </w:tcPr>
          <w:p w:rsidR="00EC4E49" w:rsidRPr="000D5434" w:rsidRDefault="00A11425" w:rsidP="00103D66">
            <w:pPr>
              <w:rPr>
                <w:lang w:val="es-ES"/>
              </w:rPr>
            </w:pPr>
            <w:r w:rsidRPr="000D5434">
              <w:rPr>
                <w:noProof/>
                <w:lang w:eastAsia="en-US"/>
              </w:rPr>
              <w:drawing>
                <wp:inline distT="0" distB="0" distL="0" distR="0" wp14:anchorId="56657DA3" wp14:editId="0E91B3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D5434" w:rsidRDefault="00A11425" w:rsidP="00103D66">
            <w:pPr>
              <w:jc w:val="right"/>
              <w:rPr>
                <w:lang w:val="es-ES"/>
              </w:rPr>
            </w:pPr>
            <w:r w:rsidRPr="000D5434">
              <w:rPr>
                <w:b/>
                <w:sz w:val="40"/>
                <w:szCs w:val="40"/>
                <w:lang w:val="es-ES"/>
              </w:rPr>
              <w:t>S</w:t>
            </w:r>
          </w:p>
        </w:tc>
      </w:tr>
      <w:tr w:rsidR="0014698C" w:rsidRPr="000D54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D5434" w:rsidRDefault="00231FD1" w:rsidP="000D5434">
            <w:pPr>
              <w:jc w:val="right"/>
              <w:rPr>
                <w:rFonts w:ascii="Arial Black" w:hAnsi="Arial Black"/>
                <w:caps/>
                <w:sz w:val="15"/>
                <w:lang w:val="es-ES"/>
              </w:rPr>
            </w:pPr>
            <w:bookmarkStart w:id="0" w:name="Code"/>
            <w:bookmarkEnd w:id="0"/>
            <w:r w:rsidRPr="000D5434">
              <w:rPr>
                <w:rFonts w:ascii="Arial Black" w:hAnsi="Arial Black"/>
                <w:caps/>
                <w:sz w:val="15"/>
                <w:lang w:val="es-ES"/>
              </w:rPr>
              <w:t>WIPO/GRTKF/IC/</w:t>
            </w:r>
            <w:r w:rsidR="000D5434" w:rsidRPr="000D5434">
              <w:rPr>
                <w:rFonts w:ascii="Arial Black" w:hAnsi="Arial Black"/>
                <w:caps/>
                <w:sz w:val="15"/>
                <w:lang w:val="es-ES"/>
              </w:rPr>
              <w:t>38</w:t>
            </w:r>
            <w:r w:rsidR="00FB1F55" w:rsidRPr="000D5434">
              <w:rPr>
                <w:rFonts w:ascii="Arial Black" w:hAnsi="Arial Black"/>
                <w:caps/>
                <w:sz w:val="15"/>
                <w:lang w:val="es-ES"/>
              </w:rPr>
              <w:t>/</w:t>
            </w:r>
            <w:r w:rsidR="00FD16AB" w:rsidRPr="000D5434">
              <w:rPr>
                <w:rFonts w:ascii="Arial Black" w:hAnsi="Arial Black"/>
                <w:caps/>
                <w:sz w:val="15"/>
                <w:lang w:val="es-ES"/>
              </w:rPr>
              <w:t>INF/</w:t>
            </w:r>
            <w:r w:rsidR="008F7FE0" w:rsidRPr="000D5434">
              <w:rPr>
                <w:rFonts w:ascii="Arial Black" w:hAnsi="Arial Black"/>
                <w:caps/>
                <w:sz w:val="15"/>
                <w:lang w:val="es-ES"/>
              </w:rPr>
              <w:t>7</w:t>
            </w:r>
          </w:p>
        </w:tc>
      </w:tr>
      <w:tr w:rsidR="0014698C" w:rsidRPr="000D5434" w:rsidTr="00916EE2">
        <w:trPr>
          <w:trHeight w:hRule="exact" w:val="170"/>
        </w:trPr>
        <w:tc>
          <w:tcPr>
            <w:tcW w:w="9356" w:type="dxa"/>
            <w:gridSpan w:val="3"/>
            <w:noWrap/>
            <w:tcMar>
              <w:left w:w="0" w:type="dxa"/>
              <w:right w:w="0" w:type="dxa"/>
            </w:tcMar>
            <w:vAlign w:val="bottom"/>
          </w:tcPr>
          <w:p w:rsidR="008B2CC1" w:rsidRPr="000D5434" w:rsidRDefault="008B2CC1" w:rsidP="00103D66">
            <w:pPr>
              <w:jc w:val="right"/>
              <w:rPr>
                <w:rFonts w:ascii="Arial Black" w:hAnsi="Arial Black"/>
                <w:caps/>
                <w:sz w:val="15"/>
                <w:lang w:val="es-ES"/>
              </w:rPr>
            </w:pPr>
            <w:r w:rsidRPr="000D5434">
              <w:rPr>
                <w:rFonts w:ascii="Arial Black" w:hAnsi="Arial Black"/>
                <w:caps/>
                <w:sz w:val="15"/>
                <w:lang w:val="es-ES"/>
              </w:rPr>
              <w:t>ORIGINAL:</w:t>
            </w:r>
            <w:r w:rsidR="00B834A4" w:rsidRPr="000D5434">
              <w:rPr>
                <w:rFonts w:ascii="Arial Black" w:hAnsi="Arial Black"/>
                <w:caps/>
                <w:sz w:val="15"/>
                <w:lang w:val="es-ES"/>
              </w:rPr>
              <w:t xml:space="preserve"> </w:t>
            </w:r>
            <w:bookmarkStart w:id="1" w:name="Original"/>
            <w:bookmarkEnd w:id="1"/>
            <w:r w:rsidR="00A11425" w:rsidRPr="000D5434">
              <w:rPr>
                <w:rFonts w:ascii="Arial Black" w:hAnsi="Arial Black"/>
                <w:caps/>
                <w:sz w:val="15"/>
                <w:lang w:val="es-ES"/>
              </w:rPr>
              <w:t>INGLÉS</w:t>
            </w:r>
          </w:p>
        </w:tc>
      </w:tr>
      <w:tr w:rsidR="0014698C" w:rsidRPr="000D5434" w:rsidTr="00916EE2">
        <w:trPr>
          <w:trHeight w:hRule="exact" w:val="198"/>
        </w:trPr>
        <w:tc>
          <w:tcPr>
            <w:tcW w:w="9356" w:type="dxa"/>
            <w:gridSpan w:val="3"/>
            <w:tcMar>
              <w:left w:w="0" w:type="dxa"/>
              <w:right w:w="0" w:type="dxa"/>
            </w:tcMar>
            <w:vAlign w:val="bottom"/>
          </w:tcPr>
          <w:p w:rsidR="008B2CC1" w:rsidRPr="000D5434" w:rsidRDefault="00A11425" w:rsidP="000D5434">
            <w:pPr>
              <w:jc w:val="right"/>
              <w:rPr>
                <w:rFonts w:ascii="Arial Black" w:hAnsi="Arial Black"/>
                <w:caps/>
                <w:sz w:val="15"/>
                <w:lang w:val="es-ES"/>
              </w:rPr>
            </w:pPr>
            <w:r w:rsidRPr="000D5434">
              <w:rPr>
                <w:rFonts w:ascii="Arial Black" w:hAnsi="Arial Black"/>
                <w:caps/>
                <w:sz w:val="15"/>
                <w:lang w:val="es-ES"/>
              </w:rPr>
              <w:t>FECHA</w:t>
            </w:r>
            <w:r w:rsidR="008B2CC1" w:rsidRPr="000D5434">
              <w:rPr>
                <w:rFonts w:ascii="Arial Black" w:hAnsi="Arial Black"/>
                <w:caps/>
                <w:sz w:val="15"/>
                <w:lang w:val="es-ES"/>
              </w:rPr>
              <w:t>:</w:t>
            </w:r>
            <w:r w:rsidR="004E4447" w:rsidRPr="000D5434">
              <w:rPr>
                <w:rFonts w:ascii="Arial Black" w:hAnsi="Arial Black"/>
                <w:caps/>
                <w:sz w:val="15"/>
                <w:lang w:val="es-ES"/>
              </w:rPr>
              <w:t xml:space="preserve"> </w:t>
            </w:r>
            <w:bookmarkStart w:id="2" w:name="Date"/>
            <w:bookmarkEnd w:id="2"/>
            <w:r w:rsidR="000D5434" w:rsidRPr="000D5434">
              <w:rPr>
                <w:rFonts w:ascii="Arial Black" w:hAnsi="Arial Black"/>
                <w:caps/>
                <w:sz w:val="15"/>
                <w:lang w:val="es-ES"/>
              </w:rPr>
              <w:t>28 DE SEPTIEMBRE</w:t>
            </w:r>
            <w:r w:rsidRPr="000D5434">
              <w:rPr>
                <w:rFonts w:ascii="Arial Black" w:hAnsi="Arial Black"/>
                <w:caps/>
                <w:sz w:val="15"/>
                <w:lang w:val="es-ES"/>
              </w:rPr>
              <w:t xml:space="preserve"> DE</w:t>
            </w:r>
            <w:r w:rsidR="007157D1" w:rsidRPr="000D5434">
              <w:rPr>
                <w:rFonts w:ascii="Arial Black" w:hAnsi="Arial Black"/>
                <w:caps/>
                <w:sz w:val="15"/>
                <w:lang w:val="es-ES"/>
              </w:rPr>
              <w:t xml:space="preserve"> 201</w:t>
            </w:r>
            <w:r w:rsidR="009F1322" w:rsidRPr="000D5434">
              <w:rPr>
                <w:rFonts w:ascii="Arial Black" w:hAnsi="Arial Black"/>
                <w:caps/>
                <w:sz w:val="15"/>
                <w:lang w:val="es-ES"/>
              </w:rPr>
              <w:t>8</w:t>
            </w:r>
          </w:p>
        </w:tc>
      </w:tr>
    </w:tbl>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b/>
          <w:sz w:val="28"/>
          <w:szCs w:val="28"/>
          <w:lang w:val="es-ES"/>
        </w:rPr>
      </w:pPr>
      <w:r w:rsidRPr="000D5434">
        <w:rPr>
          <w:b/>
          <w:sz w:val="28"/>
          <w:szCs w:val="28"/>
          <w:lang w:val="es-ES"/>
        </w:rPr>
        <w:t>Comité Intergubernamen</w:t>
      </w:r>
      <w:bookmarkStart w:id="3" w:name="_GoBack"/>
      <w:bookmarkEnd w:id="3"/>
      <w:r w:rsidRPr="000D5434">
        <w:rPr>
          <w:b/>
          <w:sz w:val="28"/>
          <w:szCs w:val="28"/>
          <w:lang w:val="es-ES"/>
        </w:rPr>
        <w:t>tal sobre Propiedad Intelectual y Recursos Genéticos, Conocimientos Tradicionales y Folclore</w:t>
      </w:r>
    </w:p>
    <w:p w:rsidR="00AF565C" w:rsidRPr="000D5434" w:rsidRDefault="00AF565C" w:rsidP="00103D66">
      <w:pPr>
        <w:rPr>
          <w:lang w:val="es-ES"/>
        </w:rPr>
      </w:pPr>
    </w:p>
    <w:p w:rsidR="00AF565C" w:rsidRPr="000D5434" w:rsidRDefault="00AF565C" w:rsidP="00103D66">
      <w:pPr>
        <w:rPr>
          <w:lang w:val="es-ES"/>
        </w:rPr>
      </w:pPr>
    </w:p>
    <w:p w:rsidR="00AF565C" w:rsidRPr="000D5434" w:rsidRDefault="000964E1" w:rsidP="00103D66">
      <w:pPr>
        <w:rPr>
          <w:b/>
          <w:sz w:val="24"/>
          <w:szCs w:val="24"/>
          <w:lang w:val="es-ES"/>
        </w:rPr>
      </w:pPr>
      <w:r w:rsidRPr="000D5434">
        <w:rPr>
          <w:b/>
          <w:sz w:val="24"/>
          <w:szCs w:val="24"/>
          <w:lang w:val="es-ES"/>
        </w:rPr>
        <w:t xml:space="preserve">Trigésima </w:t>
      </w:r>
      <w:r w:rsidR="000D5434" w:rsidRPr="000D5434">
        <w:rPr>
          <w:b/>
          <w:sz w:val="24"/>
          <w:szCs w:val="24"/>
          <w:lang w:val="es-ES"/>
        </w:rPr>
        <w:t>octava</w:t>
      </w:r>
      <w:r w:rsidR="00231FD1" w:rsidRPr="000D5434">
        <w:rPr>
          <w:b/>
          <w:sz w:val="24"/>
          <w:szCs w:val="24"/>
          <w:lang w:val="es-ES"/>
        </w:rPr>
        <w:t xml:space="preserve"> </w:t>
      </w:r>
      <w:r w:rsidR="00AF565C" w:rsidRPr="000D5434">
        <w:rPr>
          <w:b/>
          <w:sz w:val="24"/>
          <w:szCs w:val="24"/>
          <w:lang w:val="es-ES"/>
        </w:rPr>
        <w:t>sesión</w:t>
      </w:r>
    </w:p>
    <w:p w:rsidR="00AF565C" w:rsidRPr="000D5434" w:rsidRDefault="00B30BEE" w:rsidP="00103D66">
      <w:pPr>
        <w:rPr>
          <w:b/>
          <w:sz w:val="24"/>
          <w:szCs w:val="24"/>
          <w:lang w:val="es-ES"/>
        </w:rPr>
      </w:pPr>
      <w:r w:rsidRPr="000D5434">
        <w:rPr>
          <w:b/>
          <w:sz w:val="24"/>
          <w:szCs w:val="24"/>
          <w:lang w:val="es-ES"/>
        </w:rPr>
        <w:t xml:space="preserve">Ginebra, </w:t>
      </w:r>
      <w:r w:rsidR="000D5434" w:rsidRPr="000D5434">
        <w:rPr>
          <w:b/>
          <w:sz w:val="24"/>
          <w:szCs w:val="24"/>
          <w:lang w:val="es-ES"/>
        </w:rPr>
        <w:t>10 a 14</w:t>
      </w:r>
      <w:r w:rsidR="00A40D33" w:rsidRPr="000D5434">
        <w:rPr>
          <w:b/>
          <w:sz w:val="24"/>
          <w:szCs w:val="24"/>
          <w:lang w:val="es-ES"/>
        </w:rPr>
        <w:t xml:space="preserve"> </w:t>
      </w:r>
      <w:r w:rsidR="005346A1" w:rsidRPr="000D5434">
        <w:rPr>
          <w:b/>
          <w:sz w:val="24"/>
          <w:szCs w:val="24"/>
          <w:lang w:val="es-ES"/>
        </w:rPr>
        <w:t xml:space="preserve">de </w:t>
      </w:r>
      <w:r w:rsidR="00E6718D">
        <w:rPr>
          <w:b/>
          <w:sz w:val="24"/>
          <w:szCs w:val="24"/>
          <w:lang w:val="es-ES"/>
        </w:rPr>
        <w:t>diciembre</w:t>
      </w:r>
      <w:r w:rsidR="009F1322" w:rsidRPr="000D5434">
        <w:rPr>
          <w:b/>
          <w:sz w:val="24"/>
          <w:szCs w:val="24"/>
          <w:lang w:val="es-ES"/>
        </w:rPr>
        <w:t xml:space="preserve"> de 2018</w:t>
      </w:r>
    </w:p>
    <w:p w:rsidR="00AF565C" w:rsidRPr="000D5434" w:rsidRDefault="00AF565C" w:rsidP="00103D66">
      <w:pPr>
        <w:rPr>
          <w:lang w:val="es-ES"/>
        </w:rPr>
      </w:pPr>
    </w:p>
    <w:p w:rsidR="00C0409B" w:rsidRPr="000D5434" w:rsidRDefault="00C0409B" w:rsidP="00103D66">
      <w:pPr>
        <w:rPr>
          <w:caps/>
          <w:sz w:val="24"/>
          <w:lang w:val="es-ES"/>
        </w:rPr>
      </w:pPr>
      <w:r w:rsidRPr="000D5434">
        <w:rPr>
          <w:caps/>
          <w:sz w:val="24"/>
          <w:lang w:val="es-ES"/>
        </w:rPr>
        <w:t>GLOSARIO DE LOS TÉRMINOS MÁS IMPORTANTES RELACIONADOS CON LA PROPIEDAD INTELECTUAL Y LOS RECURSOS GENÉTICOS, LOS CONOCIMIENTOS TRADICIONALES Y LAS EXPRESIONES CULTURALES TRADICIONALES</w:t>
      </w:r>
    </w:p>
    <w:p w:rsidR="00C0409B" w:rsidRPr="000D5434" w:rsidRDefault="00C0409B" w:rsidP="00103D66">
      <w:pPr>
        <w:rPr>
          <w:caps/>
          <w:sz w:val="24"/>
          <w:lang w:val="es-ES"/>
        </w:rPr>
      </w:pPr>
    </w:p>
    <w:p w:rsidR="00C0409B" w:rsidRPr="000D5434" w:rsidRDefault="00C0409B" w:rsidP="00103D66">
      <w:pPr>
        <w:rPr>
          <w:i/>
          <w:lang w:val="es-ES"/>
        </w:rPr>
      </w:pPr>
      <w:bookmarkStart w:id="4" w:name="Prepared"/>
      <w:bookmarkEnd w:id="4"/>
      <w:r w:rsidRPr="000D5434">
        <w:rPr>
          <w:i/>
          <w:lang w:val="es-ES"/>
        </w:rPr>
        <w:t>Documento preparado por la Secretaría</w:t>
      </w:r>
    </w:p>
    <w:p w:rsidR="00C0409B" w:rsidRPr="000D5434" w:rsidRDefault="00C0409B" w:rsidP="00103D66">
      <w:pPr>
        <w:rPr>
          <w:i/>
          <w:lang w:val="es-ES"/>
        </w:rPr>
      </w:pPr>
    </w:p>
    <w:p w:rsidR="00C0409B" w:rsidRPr="000D5434" w:rsidRDefault="00C0409B" w:rsidP="00103D66">
      <w:pPr>
        <w:rPr>
          <w:i/>
          <w:lang w:val="es-ES"/>
        </w:rPr>
      </w:pPr>
    </w:p>
    <w:p w:rsidR="003B3B0A" w:rsidRPr="000D5434" w:rsidRDefault="003B3B0A" w:rsidP="00103D66">
      <w:pPr>
        <w:rPr>
          <w:i/>
          <w:lang w:val="es-ES"/>
        </w:rPr>
      </w:pPr>
    </w:p>
    <w:p w:rsidR="003B3B0A" w:rsidRPr="000D5434" w:rsidRDefault="003B3B0A" w:rsidP="00103D66">
      <w:pPr>
        <w:rPr>
          <w:lang w:val="es-ES"/>
        </w:rPr>
      </w:pPr>
    </w:p>
    <w:p w:rsidR="00C0409B" w:rsidRPr="000D5434" w:rsidRDefault="00C0409B" w:rsidP="00103D66">
      <w:pPr>
        <w:rPr>
          <w:i/>
          <w:lang w:val="es-ES"/>
        </w:rPr>
      </w:pPr>
    </w:p>
    <w:p w:rsidR="00C0409B" w:rsidRPr="000D5434" w:rsidRDefault="00C0409B" w:rsidP="00103D66">
      <w:pPr>
        <w:rPr>
          <w:b/>
          <w:lang w:val="es-ES"/>
        </w:rPr>
      </w:pPr>
      <w:r w:rsidRPr="000D5434">
        <w:rPr>
          <w:b/>
          <w:lang w:val="es-ES"/>
        </w:rPr>
        <w:t>INTRODUCCIÓN</w:t>
      </w:r>
    </w:p>
    <w:p w:rsidR="00C0409B" w:rsidRPr="000D5434" w:rsidRDefault="00C0409B" w:rsidP="00103D66">
      <w:pPr>
        <w:rPr>
          <w:lang w:val="es-ES"/>
        </w:rPr>
      </w:pPr>
    </w:p>
    <w:p w:rsidR="00C0409B" w:rsidRPr="000D5434" w:rsidRDefault="00C0409B" w:rsidP="00103D66">
      <w:pPr>
        <w:numPr>
          <w:ilvl w:val="0"/>
          <w:numId w:val="48"/>
        </w:numPr>
        <w:rPr>
          <w:szCs w:val="22"/>
          <w:lang w:val="es-ES"/>
        </w:rPr>
      </w:pPr>
      <w:r w:rsidRPr="000D5434">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0D5434">
        <w:rPr>
          <w:vertAlign w:val="superscript"/>
          <w:lang w:val="es-ES"/>
        </w:rPr>
        <w:footnoteReference w:id="2"/>
      </w:r>
      <w:r w:rsidRPr="000D5434">
        <w:rPr>
          <w:szCs w:val="22"/>
          <w:lang w:val="es-ES"/>
        </w:rPr>
        <w:t xml:space="preserve"> y los pusiera a disposición del CIG.</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szCs w:val="22"/>
          <w:lang w:val="es-ES"/>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0D5434">
        <w:rPr>
          <w:szCs w:val="22"/>
          <w:lang w:val="es-ES"/>
        </w:rPr>
        <w:lastRenderedPageBreak/>
        <w:t>dichos glosarios en un único documento y a publicar el glosario consolidado en tanto que documento de información para la siguiente sesión del Comité.”</w:t>
      </w:r>
      <w:r w:rsidRPr="000D5434">
        <w:rPr>
          <w:rStyle w:val="FootnoteReference"/>
          <w:szCs w:val="22"/>
          <w:lang w:val="es-ES"/>
        </w:rPr>
        <w:footnoteReference w:id="3"/>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De conformidad con esa decisión y dado que varios de los términos contenidos en dichos glosarios guardaban relación con los tres temas, la Secretaría consolidó los tres glosarios en uno solo y actualizó algunas de las definiciones incluidas en él.</w:t>
      </w:r>
      <w:r w:rsidR="00B834A4" w:rsidRPr="000D5434">
        <w:rPr>
          <w:lang w:val="es-ES"/>
        </w:rPr>
        <w:t xml:space="preserve"> </w:t>
      </w:r>
      <w:r w:rsidRPr="000D5434">
        <w:rPr>
          <w:lang w:val="es-ES"/>
        </w:rPr>
        <w:t>El glosario consolidado se ha puesto a disposición como documento de información para las sesiones anteriores del CIG.</w:t>
      </w:r>
      <w:r w:rsidR="00B834A4" w:rsidRPr="000D5434">
        <w:rPr>
          <w:lang w:val="es-ES"/>
        </w:rPr>
        <w:t xml:space="preserve"> </w:t>
      </w:r>
      <w:r w:rsidR="000D5434" w:rsidRPr="000D5434">
        <w:rPr>
          <w:lang w:val="es-ES"/>
        </w:rPr>
        <w:t>F</w:t>
      </w:r>
      <w:r w:rsidRPr="000D5434">
        <w:rPr>
          <w:lang w:val="es-ES"/>
        </w:rPr>
        <w:t>igura en el Anexo del presente documento</w:t>
      </w:r>
      <w:r w:rsidRPr="000D5434">
        <w:rPr>
          <w:szCs w:val="22"/>
          <w:lang w:val="es-ES"/>
        </w:rPr>
        <w:t>.</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El glosario se ha elaborado, en la medida de lo posible, a partir de anteriores glosarios del CIG y de instrumentos vigentes de las Naciones Unidas y otras instancias internacionales.</w:t>
      </w:r>
      <w:r w:rsidR="00B834A4" w:rsidRPr="000D5434">
        <w:rPr>
          <w:lang w:val="es-ES"/>
        </w:rPr>
        <w:t xml:space="preserve"> </w:t>
      </w:r>
      <w:r w:rsidRPr="000D5434">
        <w:rPr>
          <w:lang w:val="es-ES"/>
        </w:rPr>
        <w:t>Además, se han tenido en cuenta las definiciones y los glosarios que figuran en las leyes y proyectos de leyes nacionales y regionales, en instrumentos multilaterales y en otras organizaciones, otros procesos y otros diccionarios.</w:t>
      </w:r>
      <w:r w:rsidR="00B834A4" w:rsidRPr="000D5434">
        <w:rPr>
          <w:lang w:val="es-ES"/>
        </w:rPr>
        <w:t xml:space="preserve"> </w:t>
      </w:r>
      <w:r w:rsidRPr="000D5434">
        <w:rPr>
          <w:lang w:val="es-ES"/>
        </w:rPr>
        <w:t>Por otra parte, las definiciones se basan en los documentos de trabajo del CIG, en otros documentos de la OMPI y en documentos de otros programas de trabajo de la Organización.</w:t>
      </w:r>
      <w:r w:rsidR="00B834A4" w:rsidRPr="000D5434">
        <w:rPr>
          <w:lang w:val="es-ES"/>
        </w:rPr>
        <w:t xml:space="preserve"> </w:t>
      </w:r>
      <w:r w:rsidRPr="000D5434">
        <w:rPr>
          <w:lang w:val="es-ES"/>
        </w:rPr>
        <w:t>Con todo, las definiciones propuestas no son exhaustivas;</w:t>
      </w:r>
      <w:r w:rsidR="00B834A4" w:rsidRPr="000D5434">
        <w:rPr>
          <w:lang w:val="es-ES"/>
        </w:rPr>
        <w:t xml:space="preserve"> </w:t>
      </w:r>
      <w:r w:rsidRPr="000D5434">
        <w:rPr>
          <w:lang w:val="es-ES"/>
        </w:rPr>
        <w:t>existen otros términos que podrían ser pertinentes para la propiedad intelectual y los recursos genéticos, los conocimientos tradicionales y las expresiones culturales tradicionales y los términos que se han elegido podrían definirse de otras maneras</w:t>
      </w:r>
      <w:r w:rsidRPr="000D5434">
        <w:rPr>
          <w:szCs w:val="22"/>
          <w:lang w:val="es-ES"/>
        </w:rPr>
        <w:t>.</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Para seleccionar los términos del Glosario se han tenido en cuenta los términos que se utilizan con mayor frecuencia en los proyectos de textos del CIG y en otros documentos conexos.</w:t>
      </w:r>
      <w:r w:rsidR="00B834A4" w:rsidRPr="000D5434">
        <w:rPr>
          <w:lang w:val="es-ES"/>
        </w:rPr>
        <w:t xml:space="preserve"> </w:t>
      </w:r>
      <w:r w:rsidRPr="000D5434">
        <w:rPr>
          <w:lang w:val="es-ES"/>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B834A4" w:rsidRPr="000D5434">
        <w:rPr>
          <w:lang w:val="es-ES"/>
        </w:rPr>
        <w:t xml:space="preserve"> </w:t>
      </w:r>
      <w:r w:rsidRPr="000D5434">
        <w:rPr>
          <w:lang w:val="es-ES"/>
        </w:rPr>
        <w:t>Con tales selección y definición de términos clave no se pretende dar a entender que dicha tarea se haya efectuado con el acuerdo de todos los participantes en el CIG.</w:t>
      </w:r>
      <w:r w:rsidR="00B834A4" w:rsidRPr="000D5434">
        <w:rPr>
          <w:lang w:val="es-ES"/>
        </w:rPr>
        <w:t xml:space="preserve"> </w:t>
      </w:r>
      <w:r w:rsidRPr="000D5434">
        <w:rPr>
          <w:lang w:val="es-ES"/>
        </w:rPr>
        <w:t>Se trata de un documento informativo y no se pide al CIG que respalde o apruebe ni la selección de términos ni las definiciones propuestas</w:t>
      </w:r>
      <w:r w:rsidRPr="000D5434">
        <w:rPr>
          <w:szCs w:val="22"/>
          <w:lang w:val="es-ES"/>
        </w:rPr>
        <w:t>.</w:t>
      </w:r>
    </w:p>
    <w:p w:rsidR="00C0409B" w:rsidRPr="000D5434" w:rsidRDefault="00C0409B" w:rsidP="00103D66">
      <w:pPr>
        <w:rPr>
          <w:szCs w:val="22"/>
          <w:u w:val="single"/>
          <w:lang w:val="es-ES"/>
        </w:rPr>
      </w:pPr>
    </w:p>
    <w:p w:rsidR="00C0409B" w:rsidRPr="000D5434" w:rsidRDefault="00C0409B" w:rsidP="00103D66">
      <w:pPr>
        <w:pStyle w:val="Endofdocument-Annex"/>
        <w:tabs>
          <w:tab w:val="left" w:pos="6096"/>
        </w:tabs>
        <w:rPr>
          <w:i/>
          <w:lang w:val="es-ES"/>
        </w:rPr>
      </w:pPr>
      <w:r w:rsidRPr="000D5434">
        <w:rPr>
          <w:i/>
          <w:lang w:val="es-ES"/>
        </w:rPr>
        <w:t>6.</w:t>
      </w:r>
      <w:r w:rsidRPr="000D5434">
        <w:rPr>
          <w:lang w:val="es-ES"/>
        </w:rPr>
        <w:tab/>
      </w:r>
      <w:r w:rsidRPr="000D5434">
        <w:rPr>
          <w:i/>
          <w:lang w:val="es-ES"/>
        </w:rPr>
        <w:t>Se invita al CIG a tomar nota del presente documento y de su Anexo.</w:t>
      </w: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103D66">
      <w:pPr>
        <w:pStyle w:val="Endofdocument-Annex"/>
        <w:rPr>
          <w:lang w:val="es-ES"/>
        </w:rPr>
      </w:pPr>
      <w:r w:rsidRPr="000D5434">
        <w:rPr>
          <w:lang w:val="es-ES"/>
        </w:rPr>
        <w:t>[Sigue el Anexo]</w:t>
      </w:r>
    </w:p>
    <w:p w:rsidR="00C0409B" w:rsidRPr="000D5434" w:rsidRDefault="00C0409B" w:rsidP="004D1933">
      <w:pPr>
        <w:pStyle w:val="Endofdocument-Annex"/>
        <w:ind w:left="0"/>
        <w:rPr>
          <w:lang w:val="es-ES"/>
        </w:rPr>
      </w:pPr>
    </w:p>
    <w:p w:rsidR="00C0409B" w:rsidRPr="000D5434" w:rsidRDefault="00C0409B" w:rsidP="004D1933">
      <w:pPr>
        <w:pStyle w:val="Endofdocument-Annex"/>
        <w:ind w:left="0"/>
        <w:rPr>
          <w:lang w:val="es-ES"/>
        </w:rPr>
      </w:pPr>
    </w:p>
    <w:p w:rsidR="004D1933" w:rsidRPr="000D5434" w:rsidRDefault="004D1933" w:rsidP="004D1933">
      <w:pPr>
        <w:pStyle w:val="Endofdocument-Annex"/>
        <w:ind w:left="0"/>
        <w:rPr>
          <w:lang w:val="es-ES"/>
        </w:rPr>
        <w:sectPr w:rsidR="004D1933" w:rsidRPr="000D5434" w:rsidSect="00E1039C">
          <w:headerReference w:type="default" r:id="rId10"/>
          <w:pgSz w:w="11907" w:h="16840" w:code="9"/>
          <w:pgMar w:top="567" w:right="1418" w:bottom="1418" w:left="1418" w:header="510" w:footer="1021" w:gutter="0"/>
          <w:cols w:space="720"/>
          <w:titlePg/>
        </w:sectPr>
      </w:pPr>
    </w:p>
    <w:p w:rsidR="00C0409B" w:rsidRPr="000D5434" w:rsidRDefault="00C0409B" w:rsidP="00103D66">
      <w:pPr>
        <w:pStyle w:val="ONUMFS"/>
        <w:numPr>
          <w:ilvl w:val="0"/>
          <w:numId w:val="0"/>
        </w:numPr>
        <w:rPr>
          <w:szCs w:val="22"/>
          <w:lang w:val="es-ES"/>
        </w:rPr>
      </w:pPr>
      <w:r w:rsidRPr="000D5434">
        <w:rPr>
          <w:szCs w:val="22"/>
          <w:lang w:val="es-ES"/>
        </w:rPr>
        <w:lastRenderedPageBreak/>
        <w:t>GLOSARIO DE LOS TÉRMINOS MÁS IMPORTANTES EN RELACIÓN CON LA PROPIEDAD INTELECTUAL Y LOS RECURSOS GENÉTICOS, LOS CONOCIMIENTOS TRADICIONALES Y LAS EXPRESIONES CULTURALES TRADICIONALES</w:t>
      </w:r>
    </w:p>
    <w:p w:rsidR="00C0409B" w:rsidRPr="000D5434" w:rsidRDefault="00C0409B" w:rsidP="00103D66">
      <w:pPr>
        <w:pStyle w:val="ONUMFS"/>
        <w:numPr>
          <w:ilvl w:val="0"/>
          <w:numId w:val="0"/>
        </w:numPr>
        <w:rPr>
          <w:b/>
          <w:bCs/>
          <w:szCs w:val="22"/>
          <w:lang w:val="es-ES"/>
        </w:rPr>
      </w:pPr>
      <w:r w:rsidRPr="000D5434">
        <w:rPr>
          <w:b/>
          <w:bCs/>
          <w:szCs w:val="22"/>
          <w:lang w:val="es-ES"/>
        </w:rPr>
        <w:t>Acceso y participación en los beneficios</w:t>
      </w:r>
      <w:r w:rsidRPr="000D5434">
        <w:rPr>
          <w:rStyle w:val="FootnoteReference"/>
          <w:b/>
          <w:bCs/>
          <w:szCs w:val="22"/>
          <w:lang w:val="es-ES"/>
        </w:rPr>
        <w:footnoteReference w:customMarkFollows="1" w:id="4"/>
        <w:t>*</w:t>
      </w:r>
    </w:p>
    <w:p w:rsidR="00C0409B" w:rsidRPr="000D5434" w:rsidRDefault="00C0409B" w:rsidP="00103D66">
      <w:pPr>
        <w:pStyle w:val="ONUMFS"/>
        <w:numPr>
          <w:ilvl w:val="0"/>
          <w:numId w:val="0"/>
        </w:numPr>
        <w:rPr>
          <w:szCs w:val="22"/>
          <w:lang w:val="es-ES"/>
        </w:rPr>
      </w:pPr>
      <w:r w:rsidRPr="000D5434">
        <w:rPr>
          <w:szCs w:val="22"/>
          <w:lang w:val="es-ES"/>
        </w:rPr>
        <w:t xml:space="preserve">El </w:t>
      </w:r>
      <w:r w:rsidR="00037FA4" w:rsidRPr="000D5434">
        <w:rPr>
          <w:szCs w:val="22"/>
          <w:lang w:val="es-ES"/>
        </w:rPr>
        <w:t xml:space="preserve">Artículo 1 del </w:t>
      </w:r>
      <w:r w:rsidRPr="000D5434">
        <w:rPr>
          <w:i/>
          <w:szCs w:val="22"/>
          <w:lang w:val="es-ES"/>
        </w:rPr>
        <w:t>Convenio sobre la Diversidad Biológica</w:t>
      </w:r>
      <w:r w:rsidRPr="000D5434">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C0409B" w:rsidRPr="000D5434" w:rsidRDefault="00C0409B" w:rsidP="00103D66">
      <w:pPr>
        <w:pStyle w:val="ONUMFS"/>
        <w:numPr>
          <w:ilvl w:val="0"/>
          <w:numId w:val="0"/>
        </w:numPr>
        <w:rPr>
          <w:szCs w:val="22"/>
          <w:lang w:val="es-ES"/>
        </w:rPr>
      </w:pPr>
      <w:r w:rsidRPr="000D5434">
        <w:rPr>
          <w:szCs w:val="22"/>
          <w:lang w:val="es-ES"/>
        </w:rPr>
        <w:t xml:space="preserve">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B834A4" w:rsidRPr="000D5434">
        <w:rPr>
          <w:szCs w:val="22"/>
          <w:lang w:val="es-ES"/>
        </w:rPr>
        <w:t xml:space="preserve"> </w:t>
      </w:r>
      <w:r w:rsidRPr="000D5434">
        <w:rPr>
          <w:szCs w:val="22"/>
          <w:lang w:val="es-ES"/>
        </w:rPr>
        <w:t>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 los recursos fitogenéticos para la alimentación y la agricultura, el </w:t>
      </w:r>
      <w:r w:rsidRPr="000D5434">
        <w:rPr>
          <w:i/>
          <w:szCs w:val="22"/>
          <w:lang w:val="es-ES"/>
        </w:rPr>
        <w:t>Tratado Internacional sobre los Recursos Fitogenéticos para la Alimentación y la Agricultura</w:t>
      </w:r>
      <w:r w:rsidRPr="000D5434">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0D5434" w:rsidRDefault="00C0409B" w:rsidP="00103D66">
      <w:pPr>
        <w:pStyle w:val="ONUMFS"/>
        <w:numPr>
          <w:ilvl w:val="0"/>
          <w:numId w:val="0"/>
        </w:numPr>
        <w:rPr>
          <w:szCs w:val="22"/>
          <w:lang w:val="es-ES"/>
        </w:rPr>
      </w:pPr>
      <w:r w:rsidRPr="000D5434">
        <w:rPr>
          <w:szCs w:val="22"/>
          <w:lang w:val="es-ES"/>
        </w:rPr>
        <w:t xml:space="preserve">Los beneficios pueden ser monetarios y no monetarios, incluidos pero sin limitarse a aquellos indicados en el Anexo al </w:t>
      </w:r>
      <w:r w:rsidRPr="000D5434">
        <w:rPr>
          <w:i/>
          <w:szCs w:val="22"/>
          <w:lang w:val="es-ES"/>
        </w:rPr>
        <w:t>Protocolo de Nagoya</w:t>
      </w:r>
      <w:r w:rsidRPr="000D5434">
        <w:rPr>
          <w:szCs w:val="22"/>
          <w:lang w:val="es-ES"/>
        </w:rPr>
        <w:t>.</w:t>
      </w:r>
      <w:r w:rsidRPr="000D5434">
        <w:rPr>
          <w:rStyle w:val="FootnoteReference"/>
          <w:szCs w:val="22"/>
          <w:lang w:val="es-ES"/>
        </w:rPr>
        <w:footnoteReference w:id="5"/>
      </w:r>
      <w:r w:rsidR="00B834A4" w:rsidRPr="000D5434">
        <w:rPr>
          <w:szCs w:val="22"/>
          <w:lang w:val="es-ES"/>
        </w:rPr>
        <w:t xml:space="preserve"> </w:t>
      </w:r>
      <w:r w:rsidRPr="000D5434">
        <w:rPr>
          <w:szCs w:val="22"/>
          <w:lang w:val="es-ES"/>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0D5434">
        <w:rPr>
          <w:rStyle w:val="FootnoteReference"/>
          <w:szCs w:val="22"/>
          <w:lang w:val="es-ES"/>
        </w:rPr>
        <w:footnoteReference w:id="6"/>
      </w:r>
    </w:p>
    <w:p w:rsidR="00C0409B" w:rsidRPr="000D5434" w:rsidRDefault="00C0409B" w:rsidP="00103D66">
      <w:pPr>
        <w:pStyle w:val="ONUMFS"/>
        <w:numPr>
          <w:ilvl w:val="0"/>
          <w:numId w:val="0"/>
        </w:numPr>
        <w:rPr>
          <w:b/>
          <w:bCs/>
          <w:szCs w:val="22"/>
          <w:lang w:val="es-ES"/>
        </w:rPr>
      </w:pPr>
      <w:r w:rsidRPr="000D5434">
        <w:rPr>
          <w:b/>
          <w:bCs/>
          <w:szCs w:val="22"/>
          <w:lang w:val="es-ES"/>
        </w:rPr>
        <w:t>Adaptación</w:t>
      </w:r>
    </w:p>
    <w:p w:rsidR="00C0409B" w:rsidRPr="000D5434" w:rsidRDefault="00C0409B" w:rsidP="00103D66">
      <w:pPr>
        <w:pStyle w:val="ONUMFS"/>
        <w:numPr>
          <w:ilvl w:val="0"/>
          <w:numId w:val="0"/>
        </w:numPr>
        <w:rPr>
          <w:szCs w:val="22"/>
          <w:lang w:val="es-ES"/>
        </w:rPr>
      </w:pPr>
      <w:bookmarkStart w:id="5" w:name="_Ref289433821"/>
      <w:bookmarkEnd w:id="5"/>
      <w:r w:rsidRPr="000D5434">
        <w:rPr>
          <w:szCs w:val="22"/>
          <w:lang w:val="es-ES"/>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0D5434">
        <w:rPr>
          <w:rStyle w:val="FootnoteReference"/>
          <w:szCs w:val="22"/>
          <w:lang w:val="es-ES"/>
        </w:rPr>
        <w:footnoteReference w:id="7"/>
      </w:r>
      <w:r w:rsidR="00B834A4" w:rsidRPr="000D5434">
        <w:rPr>
          <w:szCs w:val="22"/>
          <w:lang w:val="es-ES"/>
        </w:rPr>
        <w:t xml:space="preserve"> </w:t>
      </w:r>
      <w:r w:rsidRPr="000D5434">
        <w:rPr>
          <w:szCs w:val="22"/>
          <w:lang w:val="es-ES"/>
        </w:rPr>
        <w:t xml:space="preserve">En el artículo 12 del </w:t>
      </w:r>
      <w:r w:rsidRPr="000D5434">
        <w:rPr>
          <w:i/>
          <w:szCs w:val="22"/>
          <w:lang w:val="es-ES"/>
        </w:rPr>
        <w:t>Convenio de Berna para la Protección de las Obras Literarias y Artísticas</w:t>
      </w:r>
      <w:r w:rsidRPr="000D5434">
        <w:rPr>
          <w:szCs w:val="22"/>
          <w:lang w:val="es-ES"/>
        </w:rPr>
        <w:t xml:space="preserve"> (1971) se establece que los autores de obras literarias o artísticas gozarán del derecho exclusivo de autorizar las adaptaciones, arreglos y otras transformaciones de sus obras.</w:t>
      </w:r>
      <w:r w:rsidR="00B834A4" w:rsidRPr="000D5434">
        <w:rPr>
          <w:szCs w:val="22"/>
          <w:lang w:val="es-ES"/>
        </w:rPr>
        <w:t xml:space="preserve"> </w:t>
      </w: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y también el </w:t>
      </w:r>
      <w:r w:rsidRPr="000D5434">
        <w:rPr>
          <w:iCs/>
          <w:szCs w:val="22"/>
          <w:lang w:val="es-ES"/>
        </w:rPr>
        <w:t xml:space="preserve">Black’s Law Dictionary, </w:t>
      </w:r>
      <w:r w:rsidRPr="000D5434">
        <w:rPr>
          <w:szCs w:val="22"/>
          <w:lang w:val="es-ES"/>
        </w:rPr>
        <w:t>los titulares de las obras protegidas gozan del derecho exclusivo de realizar obras derivadas o adaptaciones de dichas obras.</w:t>
      </w:r>
      <w:r w:rsidRPr="000D5434">
        <w:rPr>
          <w:rStyle w:val="FootnoteReference"/>
          <w:iCs/>
          <w:szCs w:val="22"/>
          <w:lang w:val="es-ES"/>
        </w:rPr>
        <w:footnoteReference w:id="8"/>
      </w:r>
    </w:p>
    <w:p w:rsidR="006F56A7" w:rsidRPr="000D5434" w:rsidRDefault="006F56A7" w:rsidP="00103D66">
      <w:pPr>
        <w:spacing w:after="220" w:line="260" w:lineRule="atLeast"/>
        <w:rPr>
          <w:b/>
          <w:szCs w:val="22"/>
          <w:lang w:val="es-ES"/>
        </w:rPr>
      </w:pPr>
      <w:r w:rsidRPr="000D5434">
        <w:rPr>
          <w:b/>
          <w:szCs w:val="22"/>
          <w:lang w:val="es-ES"/>
        </w:rPr>
        <w:t>Solución extrajudicial de controversias</w:t>
      </w:r>
    </w:p>
    <w:p w:rsidR="006F56A7" w:rsidRPr="000D5434" w:rsidRDefault="006F56A7" w:rsidP="00103D66">
      <w:pPr>
        <w:autoSpaceDE w:val="0"/>
        <w:autoSpaceDN w:val="0"/>
        <w:adjustRightInd w:val="0"/>
        <w:spacing w:after="220"/>
        <w:rPr>
          <w:szCs w:val="22"/>
          <w:lang w:val="es-ES"/>
        </w:rPr>
      </w:pPr>
      <w:r w:rsidRPr="000D5434">
        <w:rPr>
          <w:szCs w:val="22"/>
          <w:lang w:val="es-ES"/>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B834A4" w:rsidRPr="000D5434">
        <w:rPr>
          <w:szCs w:val="22"/>
          <w:lang w:val="es-ES"/>
        </w:rPr>
        <w:t xml:space="preserve"> </w:t>
      </w:r>
      <w:r w:rsidRPr="000D5434">
        <w:rPr>
          <w:szCs w:val="22"/>
          <w:lang w:val="es-ES"/>
        </w:rPr>
        <w:t>La solución extrajudicial de controversias tiene por fin solventar las controversias sin recurrir a mecanismos contenciosos con el fin de obtener resultados que beneficien a todas las partes.</w:t>
      </w:r>
      <w:r w:rsidR="00B834A4" w:rsidRPr="000D5434">
        <w:rPr>
          <w:szCs w:val="22"/>
          <w:lang w:val="es-ES"/>
        </w:rPr>
        <w:t xml:space="preserve"> </w:t>
      </w:r>
      <w:r w:rsidRPr="000D5434">
        <w:rPr>
          <w:szCs w:val="22"/>
          <w:lang w:val="es-ES"/>
        </w:rPr>
        <w:t>Gracias a la solución extrajudicial de controversias, las partes mismas asumen la responsabilidad de solventar el conflicto y en ese sentido pueden tener en cuenta otras cuestiones, al margen de las normas jurídicas.</w:t>
      </w:r>
      <w:r w:rsidR="00B834A4" w:rsidRPr="000D5434">
        <w:rPr>
          <w:szCs w:val="22"/>
          <w:lang w:val="es-ES"/>
        </w:rPr>
        <w:t xml:space="preserve"> </w:t>
      </w:r>
      <w:r w:rsidRPr="000D5434">
        <w:rPr>
          <w:szCs w:val="22"/>
          <w:lang w:val="es-ES"/>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B834A4" w:rsidRPr="000D5434">
        <w:rPr>
          <w:szCs w:val="22"/>
          <w:lang w:val="es-ES"/>
        </w:rPr>
        <w:t xml:space="preserve"> </w:t>
      </w:r>
      <w:r w:rsidRPr="000D5434">
        <w:rPr>
          <w:szCs w:val="22"/>
          <w:lang w:val="es-ES"/>
        </w:rPr>
        <w:t>Los cuatro métodos esenciales de la solución extrajudicial de controversias son la negociación, la mediación, el arbitraje y el derecho colaborativo.</w:t>
      </w:r>
      <w:r w:rsidR="00B834A4" w:rsidRPr="000D5434">
        <w:rPr>
          <w:szCs w:val="22"/>
          <w:lang w:val="es-ES"/>
        </w:rPr>
        <w:t xml:space="preserve"> </w:t>
      </w:r>
      <w:r w:rsidRPr="000D5434">
        <w:rPr>
          <w:szCs w:val="22"/>
          <w:lang w:val="es-ES"/>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B834A4" w:rsidRPr="000D5434">
        <w:rPr>
          <w:szCs w:val="22"/>
          <w:lang w:val="es-ES"/>
        </w:rPr>
        <w:t xml:space="preserve"> </w:t>
      </w:r>
      <w:r w:rsidRPr="000D5434">
        <w:rPr>
          <w:szCs w:val="22"/>
          <w:lang w:val="es-ES"/>
        </w:rPr>
        <w:t>La solución extrajudicial de controversias es un elemento importante de la serie de opciones disponibles para los pueblos indígenas y los usuarios a la hora de solucionar las controversias.</w:t>
      </w:r>
      <w:r w:rsidRPr="000D5434">
        <w:rPr>
          <w:rStyle w:val="FootnoteReference"/>
          <w:szCs w:val="22"/>
          <w:lang w:val="es-ES"/>
        </w:rPr>
        <w:footnoteReference w:id="9"/>
      </w:r>
    </w:p>
    <w:p w:rsidR="00C0409B" w:rsidRPr="000D5434" w:rsidRDefault="00C0409B" w:rsidP="00103D66">
      <w:pPr>
        <w:pStyle w:val="ONUMFS"/>
        <w:numPr>
          <w:ilvl w:val="0"/>
          <w:numId w:val="0"/>
        </w:numPr>
        <w:rPr>
          <w:b/>
          <w:szCs w:val="22"/>
          <w:lang w:val="es-ES"/>
        </w:rPr>
      </w:pPr>
      <w:r w:rsidRPr="000D5434">
        <w:rPr>
          <w:b/>
          <w:szCs w:val="22"/>
          <w:lang w:val="es-ES"/>
        </w:rPr>
        <w:t>Aprobación y participación</w:t>
      </w:r>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En un determinado contexto se ha sostenido que, si bien en el artículo 8.j) del </w:t>
      </w:r>
      <w:r w:rsidRPr="000D5434">
        <w:rPr>
          <w:i/>
          <w:szCs w:val="22"/>
          <w:lang w:val="es-ES"/>
        </w:rPr>
        <w:t>Convenio sobre la Diversidad Biológica</w:t>
      </w:r>
      <w:r w:rsidRPr="000D5434">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0D5434">
        <w:rPr>
          <w:rStyle w:val="FootnoteReference"/>
          <w:szCs w:val="22"/>
          <w:lang w:val="es-ES"/>
        </w:rPr>
        <w:footnoteReference w:id="10"/>
      </w:r>
    </w:p>
    <w:p w:rsidR="00C0409B" w:rsidRPr="000D5434" w:rsidRDefault="00C0409B" w:rsidP="00103D66">
      <w:pPr>
        <w:pStyle w:val="ONUMFS"/>
        <w:numPr>
          <w:ilvl w:val="0"/>
          <w:numId w:val="0"/>
        </w:numPr>
        <w:rPr>
          <w:b/>
          <w:szCs w:val="22"/>
          <w:lang w:val="es-ES"/>
        </w:rPr>
      </w:pPr>
      <w:r w:rsidRPr="000D5434">
        <w:rPr>
          <w:b/>
          <w:szCs w:val="22"/>
          <w:lang w:val="es-ES"/>
        </w:rPr>
        <w:t>Beneficiarios</w:t>
      </w:r>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No obstante, varias partes interesadas han puesto de relieve que, por lo general, se considera que los conocimientos tradicionales se originan en la colectividad y </w:t>
      </w:r>
      <w:r w:rsidR="00D4348B">
        <w:rPr>
          <w:szCs w:val="22"/>
          <w:lang w:val="es-ES"/>
        </w:rPr>
        <w:t>esta</w:t>
      </w:r>
      <w:r w:rsidRPr="000D5434">
        <w:rPr>
          <w:szCs w:val="22"/>
          <w:lang w:val="es-ES"/>
        </w:rPr>
        <w:t xml:space="preserve"> es quien los posee, por lo que los derechos e intereses sobre los mismos corresponden a comunidades y no a individuos.</w:t>
      </w:r>
      <w:r w:rsidR="00B834A4" w:rsidRPr="000D5434">
        <w:rPr>
          <w:szCs w:val="22"/>
          <w:lang w:val="es-ES"/>
        </w:rPr>
        <w:t xml:space="preserve"> </w:t>
      </w:r>
      <w:r w:rsidRPr="000D5434">
        <w:rPr>
          <w:szCs w:val="22"/>
          <w:lang w:val="es-ES"/>
        </w:rPr>
        <w:t>Con todo, en determinados casos, individuos como los curanderos tradicionales pueden ser considerados poseedores de conocimientos tradicionales y beneficiarios de la protección que se confiera.</w:t>
      </w:r>
      <w:r w:rsidRPr="000D5434">
        <w:rPr>
          <w:rStyle w:val="FootnoteReference"/>
          <w:szCs w:val="22"/>
          <w:lang w:val="es-ES"/>
        </w:rPr>
        <w:footnoteReference w:id="11"/>
      </w:r>
    </w:p>
    <w:p w:rsidR="00C0409B" w:rsidRPr="000D5434" w:rsidRDefault="00C0409B" w:rsidP="00103D66">
      <w:pPr>
        <w:pStyle w:val="ONUMFS"/>
        <w:numPr>
          <w:ilvl w:val="0"/>
          <w:numId w:val="0"/>
        </w:numPr>
        <w:rPr>
          <w:szCs w:val="22"/>
          <w:lang w:val="es-ES"/>
        </w:rPr>
      </w:pPr>
      <w:r w:rsidRPr="000D5434">
        <w:rPr>
          <w:szCs w:val="22"/>
          <w:lang w:val="es-ES"/>
        </w:rPr>
        <w:t>Algunas leyes nacionales y regionales de protección de los conocimientos tradicionales otorgan derechos directamente a las comunidades y los pueblos concernidos.</w:t>
      </w:r>
      <w:r w:rsidR="00B834A4" w:rsidRPr="000D5434">
        <w:rPr>
          <w:szCs w:val="22"/>
          <w:lang w:val="es-ES"/>
        </w:rPr>
        <w:t xml:space="preserve"> </w:t>
      </w:r>
      <w:r w:rsidRPr="000D5434">
        <w:rPr>
          <w:szCs w:val="22"/>
          <w:lang w:val="es-ES"/>
        </w:rPr>
        <w:t>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0D5434" w:rsidRDefault="00C0409B" w:rsidP="00103D66">
      <w:pPr>
        <w:pStyle w:val="ONUMFS"/>
        <w:numPr>
          <w:ilvl w:val="0"/>
          <w:numId w:val="0"/>
        </w:numPr>
        <w:rPr>
          <w:szCs w:val="22"/>
          <w:lang w:val="es-ES"/>
        </w:rPr>
      </w:pPr>
      <w:r w:rsidRPr="000D5434">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Pr="000D5434" w:rsidRDefault="00C0409B" w:rsidP="00E1039C">
      <w:pPr>
        <w:pStyle w:val="ONUMFS"/>
        <w:numPr>
          <w:ilvl w:val="0"/>
          <w:numId w:val="0"/>
        </w:numPr>
        <w:rPr>
          <w:b/>
          <w:szCs w:val="22"/>
          <w:lang w:val="es-ES"/>
        </w:rPr>
      </w:pPr>
      <w:r w:rsidRPr="000D5434">
        <w:rPr>
          <w:b/>
          <w:snapToGrid w:val="0"/>
          <w:szCs w:val="22"/>
          <w:lang w:val="es-ES"/>
        </w:rPr>
        <w:t>Diversidad biológica</w:t>
      </w:r>
    </w:p>
    <w:p w:rsidR="00C0409B" w:rsidRPr="000D5434" w:rsidRDefault="00C0409B" w:rsidP="00E1039C">
      <w:pPr>
        <w:pStyle w:val="ONUMFS"/>
        <w:numPr>
          <w:ilvl w:val="0"/>
          <w:numId w:val="0"/>
        </w:numPr>
        <w:rPr>
          <w:b/>
          <w:szCs w:val="22"/>
          <w:lang w:val="es-ES"/>
        </w:rPr>
      </w:pPr>
      <w:r w:rsidRPr="000D5434">
        <w:rPr>
          <w:szCs w:val="22"/>
          <w:lang w:val="es-ES"/>
        </w:rPr>
        <w:t xml:space="preserve">En el </w:t>
      </w:r>
      <w:r w:rsidRPr="000D5434">
        <w:rPr>
          <w:snapToGrid w:val="0"/>
          <w:szCs w:val="22"/>
          <w:lang w:val="es-ES"/>
        </w:rPr>
        <w:t xml:space="preserve">artículo 2 del </w:t>
      </w:r>
      <w:r w:rsidRPr="000D5434">
        <w:rPr>
          <w:i/>
          <w:snapToGrid w:val="0"/>
          <w:szCs w:val="22"/>
          <w:lang w:val="es-ES"/>
        </w:rPr>
        <w:t>Convenio sobre la Diversidad Biológica</w:t>
      </w:r>
      <w:r w:rsidRPr="000D5434">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w:t>
      </w:r>
      <w:r w:rsidR="00B834A4" w:rsidRPr="000D5434">
        <w:rPr>
          <w:snapToGrid w:val="0"/>
          <w:szCs w:val="22"/>
          <w:lang w:val="es-ES"/>
        </w:rPr>
        <w:t xml:space="preserve"> </w:t>
      </w:r>
      <w:r w:rsidRPr="000D5434">
        <w:rPr>
          <w:snapToGrid w:val="0"/>
          <w:szCs w:val="22"/>
          <w:lang w:val="es-ES"/>
        </w:rPr>
        <w:t>comprende la diversidad dentro de cada especie, entre las especies y de los ecosistemas”.</w:t>
      </w:r>
    </w:p>
    <w:p w:rsidR="00C0409B" w:rsidRPr="000D5434" w:rsidRDefault="00C0409B" w:rsidP="00103D66">
      <w:pPr>
        <w:pStyle w:val="ONUMFS"/>
        <w:numPr>
          <w:ilvl w:val="0"/>
          <w:numId w:val="0"/>
        </w:numPr>
        <w:rPr>
          <w:b/>
          <w:szCs w:val="22"/>
          <w:lang w:val="es-ES"/>
        </w:rPr>
      </w:pPr>
      <w:r w:rsidRPr="000D5434">
        <w:rPr>
          <w:b/>
          <w:bCs/>
          <w:szCs w:val="22"/>
          <w:lang w:val="es-ES"/>
        </w:rPr>
        <w:t>Recursos biológicos</w:t>
      </w:r>
    </w:p>
    <w:p w:rsidR="00C0409B" w:rsidRPr="000D5434" w:rsidRDefault="00C0409B" w:rsidP="00103D66">
      <w:pPr>
        <w:pStyle w:val="ONUMFS"/>
        <w:numPr>
          <w:ilvl w:val="0"/>
          <w:numId w:val="0"/>
        </w:numPr>
        <w:rPr>
          <w:szCs w:val="22"/>
          <w:lang w:val="es-ES"/>
        </w:rPr>
      </w:pPr>
      <w:r w:rsidRPr="000D5434">
        <w:rPr>
          <w:szCs w:val="22"/>
          <w:lang w:val="es-ES"/>
        </w:rPr>
        <w:t xml:space="preserve">Según la definición del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“por recursos biológicos se entiende los recursos genéticos, los organismos o parte de ellos, las poblaciones, o cualquier otro tipo del componente biótico de los ecosistemas de valor o utilidad real o potencial para las humanidad”.</w:t>
      </w:r>
      <w:r w:rsidR="00B834A4" w:rsidRPr="000D5434">
        <w:rPr>
          <w:szCs w:val="22"/>
          <w:lang w:val="es-ES"/>
        </w:rPr>
        <w:t xml:space="preserve"> </w:t>
      </w:r>
      <w:r w:rsidRPr="000D5434">
        <w:rPr>
          <w:szCs w:val="22"/>
          <w:lang w:val="es-ES"/>
        </w:rPr>
        <w:t>Así, los recursos genéticos constituyen una categoría de los recursos biológicos.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se define como “individuos, organismos o partes de </w:t>
      </w:r>
      <w:r w:rsidR="00D4348B">
        <w:rPr>
          <w:szCs w:val="22"/>
          <w:lang w:val="es-ES"/>
        </w:rPr>
        <w:t>estos</w:t>
      </w:r>
      <w:r w:rsidRPr="000D5434">
        <w:rPr>
          <w:szCs w:val="22"/>
          <w:lang w:val="es-ES"/>
        </w:rPr>
        <w:t>, poblaciones o cualquier componente biótico de valor o utilidad real o potencial que contiene el recurso genético u otros recursos derivados”.</w:t>
      </w:r>
    </w:p>
    <w:p w:rsidR="006526C6" w:rsidRPr="000D5434" w:rsidRDefault="006526C6" w:rsidP="00103D66">
      <w:pPr>
        <w:pStyle w:val="ONUMFS"/>
        <w:numPr>
          <w:ilvl w:val="0"/>
          <w:numId w:val="0"/>
        </w:numPr>
        <w:rPr>
          <w:szCs w:val="22"/>
          <w:lang w:val="es-ES"/>
        </w:rPr>
      </w:pPr>
      <w:r w:rsidRPr="000D5434">
        <w:rPr>
          <w:rStyle w:val="Emphasis"/>
          <w:i w:val="0"/>
          <w:szCs w:val="22"/>
          <w:lang w:val="es-ES"/>
        </w:rPr>
        <w:t>En otros instrumentos jurídicos sobre P.I. no se utiliza el término, sino que se habla de “materia biológica”.</w:t>
      </w:r>
      <w:r w:rsidR="00B834A4" w:rsidRPr="000D5434">
        <w:rPr>
          <w:rStyle w:val="Emphasis"/>
          <w:i w:val="0"/>
          <w:szCs w:val="22"/>
          <w:lang w:val="es-ES"/>
        </w:rPr>
        <w:t xml:space="preserve"> </w:t>
      </w:r>
      <w:r w:rsidRPr="000D5434">
        <w:rPr>
          <w:rStyle w:val="Emphasis"/>
          <w:i w:val="0"/>
          <w:szCs w:val="22"/>
          <w:lang w:val="es-ES"/>
        </w:rPr>
        <w:t>En la</w:t>
      </w:r>
      <w:r w:rsidRPr="000D5434">
        <w:rPr>
          <w:rStyle w:val="Emphasis"/>
          <w:szCs w:val="22"/>
          <w:lang w:val="es-ES"/>
        </w:rPr>
        <w:t xml:space="preserve"> Directiva sobre la protección jurídica de las invenciones biotecnológicas</w:t>
      </w:r>
      <w:r w:rsidRPr="000D5434">
        <w:rPr>
          <w:rStyle w:val="Emphasis"/>
          <w:i w:val="0"/>
          <w:szCs w:val="22"/>
          <w:lang w:val="es-ES"/>
        </w:rPr>
        <w:t>, de la Unión Europea, se define como</w:t>
      </w:r>
      <w:r w:rsidRPr="000D5434">
        <w:rPr>
          <w:i/>
          <w:iCs/>
          <w:szCs w:val="22"/>
          <w:lang w:val="es-ES"/>
        </w:rPr>
        <w:t xml:space="preserve"> </w:t>
      </w:r>
      <w:r w:rsidRPr="000D5434">
        <w:rPr>
          <w:szCs w:val="22"/>
          <w:lang w:val="es-ES"/>
        </w:rPr>
        <w:t>“materia que contenga información genética autorreproducible o reproducible en un sistema biológico”.</w:t>
      </w:r>
    </w:p>
    <w:p w:rsidR="006526C6" w:rsidRPr="000D5434" w:rsidRDefault="006526C6" w:rsidP="00103D66">
      <w:pPr>
        <w:pStyle w:val="ONUMFS"/>
        <w:numPr>
          <w:ilvl w:val="0"/>
          <w:numId w:val="0"/>
        </w:numPr>
        <w:rPr>
          <w:szCs w:val="22"/>
          <w:lang w:val="es-ES"/>
        </w:rPr>
      </w:pPr>
      <w:r w:rsidRPr="000D5434">
        <w:rPr>
          <w:szCs w:val="22"/>
          <w:lang w:val="es-ES"/>
        </w:rPr>
        <w:t xml:space="preserve">Con arreglo al </w:t>
      </w:r>
      <w:r w:rsidRPr="000D5434">
        <w:rPr>
          <w:i/>
          <w:szCs w:val="22"/>
          <w:lang w:val="es-ES"/>
        </w:rPr>
        <w:t>Código de Reglamentos Federales</w:t>
      </w:r>
      <w:r w:rsidRPr="000D5434">
        <w:rPr>
          <w:szCs w:val="22"/>
          <w:lang w:val="es-ES"/>
        </w:rPr>
        <w:t xml:space="preserve"> estadounidense, la definición del término “materia biológica” comprenderá “toda materia capaz de autorreproducirse directa o indirectamente”.</w:t>
      </w:r>
    </w:p>
    <w:p w:rsidR="006526C6" w:rsidRPr="000D5434" w:rsidRDefault="006526C6" w:rsidP="00103D66">
      <w:pPr>
        <w:pStyle w:val="ONUMFS"/>
        <w:numPr>
          <w:ilvl w:val="0"/>
          <w:numId w:val="0"/>
        </w:numPr>
        <w:rPr>
          <w:szCs w:val="22"/>
          <w:lang w:val="es-ES"/>
        </w:rPr>
      </w:pPr>
      <w:r w:rsidRPr="000D5434">
        <w:rPr>
          <w:szCs w:val="22"/>
          <w:lang w:val="es-ES"/>
        </w:rPr>
        <w:t xml:space="preserve">Según el artículo 2 del </w:t>
      </w:r>
      <w:r w:rsidRPr="000D5434">
        <w:rPr>
          <w:i/>
          <w:szCs w:val="22"/>
          <w:lang w:val="es-ES"/>
        </w:rPr>
        <w:t>Convenio sobre la Diversidad Biológica</w:t>
      </w:r>
      <w:r w:rsidRPr="000D5434">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0D5434" w:rsidRDefault="00C0409B" w:rsidP="00103D66">
      <w:pPr>
        <w:pStyle w:val="ONUMFS"/>
        <w:numPr>
          <w:ilvl w:val="0"/>
          <w:numId w:val="0"/>
        </w:numPr>
        <w:rPr>
          <w:b/>
          <w:bCs/>
          <w:szCs w:val="22"/>
          <w:lang w:val="es-ES"/>
        </w:rPr>
      </w:pPr>
      <w:r w:rsidRPr="000D5434">
        <w:rPr>
          <w:b/>
          <w:bCs/>
          <w:szCs w:val="22"/>
          <w:lang w:val="es-ES"/>
        </w:rPr>
        <w:t>Invenciones biotecnológicas</w:t>
      </w:r>
    </w:p>
    <w:p w:rsidR="002F5651"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Directiva de la Unión Europea sobre la protección jurídica de las invenciones biotecnológicas</w:t>
      </w:r>
      <w:r w:rsidRPr="000D5434">
        <w:rPr>
          <w:szCs w:val="22"/>
          <w:lang w:val="es-ES"/>
        </w:rPr>
        <w:t>, el término se define como “invenciones que tengan por objeto un producto que esté compuesto o que contenga materia biológica o un procedimiento mediante el cual se produzca, transforme o utilice la materia biológica”.</w:t>
      </w:r>
      <w:r w:rsidRPr="000D5434">
        <w:rPr>
          <w:rStyle w:val="FootnoteReference"/>
          <w:szCs w:val="22"/>
          <w:lang w:val="es-ES"/>
        </w:rPr>
        <w:footnoteReference w:id="12"/>
      </w:r>
      <w:r w:rsidR="00B834A4" w:rsidRPr="000D5434">
        <w:rPr>
          <w:szCs w:val="22"/>
          <w:lang w:val="es-ES"/>
        </w:rPr>
        <w:t xml:space="preserve"> </w:t>
      </w:r>
      <w:r w:rsidRPr="000D5434">
        <w:rPr>
          <w:szCs w:val="22"/>
          <w:lang w:val="es-ES"/>
        </w:rPr>
        <w:t>Las invenciones biotecnológicas se clasifican en tres categorías:</w:t>
      </w:r>
      <w:r w:rsidR="00B834A4" w:rsidRPr="000D5434">
        <w:rPr>
          <w:szCs w:val="22"/>
          <w:lang w:val="es-ES"/>
        </w:rPr>
        <w:t xml:space="preserve"> </w:t>
      </w:r>
      <w:r w:rsidRPr="000D5434">
        <w:rPr>
          <w:szCs w:val="22"/>
          <w:lang w:val="es-ES"/>
        </w:rPr>
        <w:t>procesos para la creación o modificación de organismos vivos y material biológico, el resultado de tales procesos y la utilización de dichos resultados.</w:t>
      </w:r>
      <w:r w:rsidRPr="000D5434">
        <w:rPr>
          <w:rStyle w:val="FootnoteReference"/>
          <w:szCs w:val="22"/>
          <w:lang w:val="es-ES"/>
        </w:rPr>
        <w:footnoteReference w:id="13"/>
      </w:r>
    </w:p>
    <w:p w:rsidR="00C0409B" w:rsidRPr="000D5434" w:rsidRDefault="00C0409B" w:rsidP="00103D66">
      <w:pPr>
        <w:pStyle w:val="ONUMFS"/>
        <w:numPr>
          <w:ilvl w:val="0"/>
          <w:numId w:val="0"/>
        </w:numPr>
        <w:rPr>
          <w:b/>
          <w:bCs/>
          <w:szCs w:val="22"/>
          <w:lang w:val="es-ES"/>
        </w:rPr>
      </w:pPr>
      <w:r w:rsidRPr="000D5434">
        <w:rPr>
          <w:b/>
          <w:bCs/>
          <w:szCs w:val="22"/>
          <w:lang w:val="es-ES"/>
        </w:rPr>
        <w:t>Biotecnología</w:t>
      </w:r>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w:t>
      </w:r>
      <w:r w:rsidRPr="000D543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0D5434">
        <w:rPr>
          <w:rStyle w:val="Emphasis"/>
          <w:szCs w:val="22"/>
          <w:lang w:val="es-ES"/>
        </w:rPr>
        <w:t>.</w:t>
      </w:r>
      <w:r w:rsidR="00B834A4" w:rsidRPr="000D5434">
        <w:rPr>
          <w:rStyle w:val="Emphasis"/>
          <w:szCs w:val="22"/>
          <w:lang w:val="es-ES"/>
        </w:rPr>
        <w:t xml:space="preserve"> </w:t>
      </w:r>
      <w:r w:rsidRPr="000D5434">
        <w:rPr>
          <w:rStyle w:val="Emphasis"/>
          <w:i w:val="0"/>
          <w:szCs w:val="22"/>
          <w:lang w:val="es-ES"/>
        </w:rPr>
        <w:t>En el artículo 2 del</w:t>
      </w:r>
      <w:r w:rsidRPr="000D5434">
        <w:rPr>
          <w:rStyle w:val="Emphasis"/>
          <w:szCs w:val="22"/>
          <w:lang w:val="es-ES"/>
        </w:rPr>
        <w:t xml:space="preserve"> </w:t>
      </w:r>
      <w:r w:rsidRPr="000D5434">
        <w:rPr>
          <w:i/>
          <w:szCs w:val="22"/>
          <w:lang w:val="es-ES"/>
        </w:rPr>
        <w:t>Protocolo de Nagoya sobre Acceso a los Recursos Genéticos y Participación Justa y Equitativa en los Beneficios que se Deriven de su Utilización</w:t>
      </w:r>
      <w:r w:rsidRPr="000D5434">
        <w:rPr>
          <w:szCs w:val="22"/>
          <w:lang w:val="es-ES"/>
        </w:rPr>
        <w:t xml:space="preserve"> (2010) se utiliza la misma definición.</w:t>
      </w:r>
    </w:p>
    <w:p w:rsidR="00C0409B" w:rsidRPr="000D5434" w:rsidRDefault="00C0409B" w:rsidP="00E1039C">
      <w:pPr>
        <w:pStyle w:val="ONUMFS"/>
        <w:numPr>
          <w:ilvl w:val="0"/>
          <w:numId w:val="0"/>
        </w:numPr>
        <w:rPr>
          <w:i/>
          <w:szCs w:val="22"/>
          <w:lang w:val="es-ES"/>
        </w:rPr>
      </w:pPr>
      <w:r w:rsidRPr="000D5434">
        <w:rPr>
          <w:rStyle w:val="Emphasis"/>
          <w:i w:val="0"/>
          <w:szCs w:val="22"/>
          <w:lang w:val="es-ES"/>
        </w:rPr>
        <w:t xml:space="preserve">Según la </w:t>
      </w:r>
      <w:r w:rsidRPr="000D5434">
        <w:rPr>
          <w:rStyle w:val="Emphasis"/>
          <w:szCs w:val="22"/>
          <w:lang w:val="es-ES"/>
        </w:rPr>
        <w:t>Declaración de la Organización para la Alimentación y la Agricultura (FAO) sobre biotecnología del año 2000</w:t>
      </w:r>
      <w:r w:rsidRPr="000D5434">
        <w:rPr>
          <w:rStyle w:val="Emphasis"/>
          <w:i w:val="0"/>
          <w:szCs w:val="22"/>
          <w:lang w:val="es-ES"/>
        </w:rPr>
        <w:t>:</w:t>
      </w:r>
      <w:r w:rsidR="00B834A4" w:rsidRPr="000D5434">
        <w:rPr>
          <w:rStyle w:val="Emphasis"/>
          <w:i w:val="0"/>
          <w:szCs w:val="22"/>
          <w:lang w:val="es-ES"/>
        </w:rPr>
        <w:t xml:space="preserve"> </w:t>
      </w:r>
      <w:r w:rsidRPr="000D5434">
        <w:rPr>
          <w:rStyle w:val="Emphasis"/>
          <w:i w:val="0"/>
          <w:szCs w:val="22"/>
          <w:lang w:val="es-ES"/>
        </w:rPr>
        <w:t>“Interpretada en este sentido amplio, la definición de biotecnología abarca muchos de los instrumentos y técnicas que se usan normalmente en la agricultura y la producción de alimentos.</w:t>
      </w:r>
      <w:r w:rsidR="00B834A4" w:rsidRPr="000D5434">
        <w:rPr>
          <w:rStyle w:val="Emphasis"/>
          <w:i w:val="0"/>
          <w:szCs w:val="22"/>
          <w:lang w:val="es-ES"/>
        </w:rPr>
        <w:t xml:space="preserve"> </w:t>
      </w:r>
      <w:r w:rsidRPr="000D5434">
        <w:rPr>
          <w:rStyle w:val="Emphasis"/>
          <w:i w:val="0"/>
          <w:szCs w:val="22"/>
          <w:lang w:val="es-ES"/>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0D5434">
        <w:rPr>
          <w:szCs w:val="22"/>
          <w:lang w:val="es-ES"/>
        </w:rPr>
        <w:t>”.</w:t>
      </w:r>
      <w:r w:rsidRPr="000D5434">
        <w:rPr>
          <w:rStyle w:val="FootnoteReference"/>
          <w:szCs w:val="22"/>
          <w:lang w:val="es-ES"/>
        </w:rPr>
        <w:footnoteReference w:id="14"/>
      </w:r>
    </w:p>
    <w:p w:rsidR="00C0409B" w:rsidRPr="000D5434" w:rsidRDefault="00C0409B" w:rsidP="00103D66">
      <w:pPr>
        <w:pStyle w:val="ONUMFS"/>
        <w:numPr>
          <w:ilvl w:val="0"/>
          <w:numId w:val="0"/>
        </w:numPr>
        <w:rPr>
          <w:i/>
          <w:szCs w:val="22"/>
          <w:lang w:val="es-ES"/>
        </w:rPr>
      </w:pPr>
      <w:r w:rsidRPr="000D5434">
        <w:rPr>
          <w:rStyle w:val="Emphasis"/>
          <w:i w:val="0"/>
          <w:szCs w:val="22"/>
          <w:lang w:val="es-ES"/>
        </w:rPr>
        <w:t xml:space="preserve">En el artículo 3 del </w:t>
      </w:r>
      <w:r w:rsidRPr="000D5434">
        <w:rPr>
          <w:rStyle w:val="Emphasis"/>
          <w:szCs w:val="22"/>
          <w:lang w:val="es-ES"/>
        </w:rPr>
        <w:t>Protocolo de Cartagena sobre Seguridad de la Biotecnología del Convenio sobre la Diversidad Biológica</w:t>
      </w:r>
      <w:r w:rsidRPr="000D5434">
        <w:rPr>
          <w:rStyle w:val="Emphasis"/>
          <w:i w:val="0"/>
          <w:szCs w:val="22"/>
          <w:lang w:val="es-ES"/>
        </w:rPr>
        <w:t>, adoptado en el año 2000, se establece lo siguiente:</w:t>
      </w:r>
      <w:r w:rsidR="00B834A4" w:rsidRPr="000D5434">
        <w:rPr>
          <w:rStyle w:val="Emphasis"/>
          <w:i w:val="0"/>
          <w:szCs w:val="22"/>
          <w:lang w:val="es-ES"/>
        </w:rPr>
        <w:t xml:space="preserve"> </w:t>
      </w:r>
      <w:r w:rsidRPr="000D5434">
        <w:rPr>
          <w:rStyle w:val="Emphasis"/>
          <w:i w:val="0"/>
          <w:szCs w:val="22"/>
          <w:lang w:val="es-ES"/>
        </w:rPr>
        <w:t>“por biotecnología moderna se entiende la aplicación de:</w:t>
      </w:r>
      <w:r w:rsidR="00B834A4" w:rsidRPr="000D5434">
        <w:rPr>
          <w:rStyle w:val="Emphasis"/>
          <w:i w:val="0"/>
          <w:szCs w:val="22"/>
          <w:lang w:val="es-ES"/>
        </w:rPr>
        <w:t xml:space="preserve"> </w:t>
      </w:r>
      <w:r w:rsidRPr="000D5434">
        <w:rPr>
          <w:rStyle w:val="Emphasis"/>
          <w:i w:val="0"/>
          <w:szCs w:val="22"/>
          <w:lang w:val="es-ES"/>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0D5434" w:rsidRDefault="00C0409B" w:rsidP="00103D66">
      <w:pPr>
        <w:pStyle w:val="ONUMFS"/>
        <w:numPr>
          <w:ilvl w:val="0"/>
          <w:numId w:val="0"/>
        </w:numPr>
        <w:rPr>
          <w:szCs w:val="22"/>
          <w:lang w:val="es-ES"/>
        </w:rPr>
      </w:pPr>
      <w:r w:rsidRPr="000D5434">
        <w:rPr>
          <w:szCs w:val="22"/>
          <w:lang w:val="es-ES"/>
        </w:rPr>
        <w:t>La Organización de Cooperación y Desarrollo Económicos (OCDE) utiliza una definición deliberadamente amplia, que abarca toda la biotecnología moderna pero también muchas actividades tradicionales o indeterminadas.</w:t>
      </w:r>
      <w:r w:rsidR="00B834A4" w:rsidRPr="000D5434">
        <w:rPr>
          <w:szCs w:val="22"/>
          <w:lang w:val="es-ES"/>
        </w:rPr>
        <w:t xml:space="preserve"> </w:t>
      </w:r>
      <w:r w:rsidRPr="000D5434">
        <w:rPr>
          <w:szCs w:val="22"/>
          <w:lang w:val="es-ES"/>
        </w:rPr>
        <w:t>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0D5434">
        <w:rPr>
          <w:rStyle w:val="Strong"/>
          <w:iCs/>
          <w:szCs w:val="22"/>
          <w:lang w:val="es-ES"/>
        </w:rPr>
        <w:t>.</w:t>
      </w:r>
      <w:r w:rsidRPr="000D5434">
        <w:rPr>
          <w:rStyle w:val="FootnoteReference"/>
          <w:bCs/>
          <w:iCs/>
          <w:szCs w:val="22"/>
          <w:lang w:val="es-ES"/>
        </w:rPr>
        <w:footnoteReference w:id="15"/>
      </w:r>
    </w:p>
    <w:p w:rsidR="00C0409B" w:rsidRPr="000D5434" w:rsidRDefault="00C0409B" w:rsidP="00103D66">
      <w:pPr>
        <w:pStyle w:val="ONUMFS"/>
        <w:numPr>
          <w:ilvl w:val="0"/>
          <w:numId w:val="0"/>
        </w:numPr>
        <w:rPr>
          <w:b/>
          <w:bCs/>
          <w:szCs w:val="22"/>
          <w:lang w:val="es-ES"/>
        </w:rPr>
      </w:pPr>
      <w:r w:rsidRPr="000D5434">
        <w:rPr>
          <w:b/>
          <w:bCs/>
          <w:szCs w:val="22"/>
          <w:lang w:val="es-ES"/>
        </w:rPr>
        <w:t>Directrices de Bonn sobre el Acceso a los Recursos Genéticos y la Participación Justa y Equitativa en los Beneficios Provenientes de su Utilización</w:t>
      </w:r>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Directrices de Bonn sobre el Acceso a los Recursos Genéticos y la Participación Justa y Equitativa en los Beneficios Provenientes de su Utilización</w:t>
      </w:r>
      <w:r w:rsidRPr="000D5434">
        <w:rPr>
          <w:szCs w:val="22"/>
          <w:lang w:val="es-ES"/>
        </w:rPr>
        <w:t xml:space="preserve"> fueron adoptadas en 2002 por la Conferencia de las Partes en el </w:t>
      </w:r>
      <w:r w:rsidRPr="000D5434">
        <w:rPr>
          <w:i/>
          <w:szCs w:val="22"/>
          <w:lang w:val="es-ES"/>
        </w:rPr>
        <w:t>Convenio sobre la Diversidad Biológica</w:t>
      </w:r>
      <w:r w:rsidRPr="000D5434">
        <w:rPr>
          <w:szCs w:val="22"/>
          <w:lang w:val="es-ES"/>
        </w:rPr>
        <w:t xml:space="preserve"> a fin de proporcionar orientación acerca de la aplicación de las disposiciones previstas en los artículos 8.j), 10.c), 15, 16 y 19 del Convenio (1992) relativos al acceso a los recursos genéticos y la participación en los beneficios.</w:t>
      </w:r>
      <w:r w:rsidR="00B834A4" w:rsidRPr="000D5434">
        <w:rPr>
          <w:szCs w:val="22"/>
          <w:lang w:val="es-ES"/>
        </w:rPr>
        <w:t xml:space="preserve"> </w:t>
      </w:r>
      <w:r w:rsidRPr="000D5434">
        <w:rPr>
          <w:szCs w:val="22"/>
          <w:lang w:val="es-ES"/>
        </w:rPr>
        <w:t>Las directrices no son vinculantes y están destinadas a diversos sectores interesados.</w:t>
      </w:r>
      <w:r w:rsidRPr="000D5434">
        <w:rPr>
          <w:rStyle w:val="FootnoteReference"/>
          <w:szCs w:val="22"/>
          <w:lang w:val="es-ES"/>
        </w:rPr>
        <w:footnoteReference w:id="16"/>
      </w:r>
      <w:r w:rsidR="00B834A4" w:rsidRPr="000D5434">
        <w:rPr>
          <w:szCs w:val="22"/>
          <w:lang w:val="es-ES"/>
        </w:rPr>
        <w:t xml:space="preserve"> </w:t>
      </w:r>
      <w:r w:rsidRPr="000D5434">
        <w:rPr>
          <w:szCs w:val="22"/>
          <w:lang w:val="es-ES"/>
        </w:rPr>
        <w:t>Además, abarcan aspectos de procedimiento y reglamentación, en particular, en relación con el consentimiento fundamentado previo, y señalan formas monetarias y no monetarias de participación en los beneficios.</w:t>
      </w:r>
      <w:r w:rsidRPr="000D5434">
        <w:rPr>
          <w:rStyle w:val="FootnoteReference"/>
          <w:szCs w:val="22"/>
          <w:lang w:val="es-ES"/>
        </w:rPr>
        <w:footnoteReference w:id="17"/>
      </w:r>
    </w:p>
    <w:p w:rsidR="00C0409B" w:rsidRPr="000D5434" w:rsidRDefault="00C0409B" w:rsidP="00103D66">
      <w:pPr>
        <w:pStyle w:val="ONUMFS"/>
        <w:numPr>
          <w:ilvl w:val="0"/>
          <w:numId w:val="0"/>
        </w:numPr>
        <w:rPr>
          <w:b/>
          <w:szCs w:val="22"/>
          <w:lang w:val="es-ES"/>
        </w:rPr>
      </w:pPr>
      <w:r w:rsidRPr="000D5434">
        <w:rPr>
          <w:b/>
          <w:bCs/>
          <w:szCs w:val="22"/>
          <w:lang w:val="es-ES"/>
        </w:rPr>
        <w:t>Mecanismo de facilitación del Conveni</w:t>
      </w:r>
      <w:r w:rsidR="00886929" w:rsidRPr="000D5434">
        <w:rPr>
          <w:b/>
          <w:bCs/>
          <w:szCs w:val="22"/>
          <w:lang w:val="es-ES"/>
        </w:rPr>
        <w:t>o sobre la Diversidad Biológica (CDB)</w:t>
      </w:r>
    </w:p>
    <w:p w:rsidR="00C0409B" w:rsidRPr="000D5434" w:rsidRDefault="00C0409B" w:rsidP="00103D66">
      <w:pPr>
        <w:pStyle w:val="ONUMFS"/>
        <w:numPr>
          <w:ilvl w:val="0"/>
          <w:numId w:val="0"/>
        </w:numPr>
        <w:rPr>
          <w:szCs w:val="22"/>
          <w:lang w:val="es-ES"/>
        </w:rPr>
      </w:pPr>
      <w:r w:rsidRPr="000D5434">
        <w:rPr>
          <w:szCs w:val="22"/>
          <w:lang w:val="es-ES"/>
        </w:rPr>
        <w:t xml:space="preserve">Según el glosario que se utiliza en el Programa de Naciones Unidas para el Medio Ambiente, (PNUMA), </w:t>
      </w:r>
      <w:r w:rsidR="00886929" w:rsidRPr="000D5434">
        <w:rPr>
          <w:szCs w:val="22"/>
          <w:lang w:val="es-ES"/>
        </w:rPr>
        <w:t>la expresión “</w:t>
      </w:r>
      <w:r w:rsidRPr="000D5434">
        <w:rPr>
          <w:szCs w:val="22"/>
          <w:lang w:val="es-ES"/>
        </w:rPr>
        <w:t>mecanismo de facilitación</w:t>
      </w:r>
      <w:r w:rsidR="00886929" w:rsidRPr="000D5434">
        <w:rPr>
          <w:szCs w:val="22"/>
          <w:lang w:val="es-ES"/>
        </w:rPr>
        <w:t>” se refería originalmente a un establecimiento financiero en el que los bancos miembros intercambiaran cheques y letras de cambio de manera que solo fuese necesario liquidar en efectivo los saldos netos.</w:t>
      </w:r>
      <w:r w:rsidR="00B834A4" w:rsidRPr="000D5434">
        <w:rPr>
          <w:szCs w:val="22"/>
          <w:lang w:val="es-ES"/>
        </w:rPr>
        <w:t xml:space="preserve"> </w:t>
      </w:r>
      <w:r w:rsidR="00886929" w:rsidRPr="000D5434">
        <w:rPr>
          <w:szCs w:val="22"/>
          <w:lang w:val="es-ES"/>
        </w:rPr>
        <w:t>Hoy en día, su significado se ha extendido hasta incluir cualquier organismo que reúna a quienes demandan y quienes ofrecen productos, servicios o información, vinculando la demanda con la oferta.</w:t>
      </w:r>
      <w:r w:rsidR="00B834A4" w:rsidRPr="000D5434">
        <w:rPr>
          <w:szCs w:val="22"/>
          <w:lang w:val="es-ES"/>
        </w:rPr>
        <w:t xml:space="preserve"> </w:t>
      </w:r>
      <w:r w:rsidR="00886929" w:rsidRPr="000D5434">
        <w:rPr>
          <w:szCs w:val="22"/>
          <w:lang w:val="es-ES"/>
        </w:rPr>
        <w:t>El CDB ha establecido un mecanismo de facilitación para asegurar que todos los gobiernos tengan acceso a la información y las tecnologías que necesitan para su trabajo en el campo de la biodiversidad</w:t>
      </w:r>
      <w:r w:rsidR="00886929" w:rsidRPr="000D5434">
        <w:rPr>
          <w:rStyle w:val="contentpane"/>
          <w:szCs w:val="22"/>
          <w:lang w:val="es-ES"/>
        </w:rPr>
        <w:t>.</w:t>
      </w:r>
      <w:r w:rsidR="00886929" w:rsidRPr="000D5434">
        <w:rPr>
          <w:rStyle w:val="FootnoteReference"/>
          <w:szCs w:val="22"/>
          <w:lang w:val="es-ES"/>
        </w:rPr>
        <w:footnoteReference w:id="18"/>
      </w:r>
    </w:p>
    <w:p w:rsidR="00C0409B" w:rsidRPr="000D5434" w:rsidRDefault="00C0409B" w:rsidP="00E1039C">
      <w:pPr>
        <w:pStyle w:val="ONUMFS"/>
        <w:numPr>
          <w:ilvl w:val="0"/>
          <w:numId w:val="0"/>
        </w:numPr>
        <w:rPr>
          <w:b/>
          <w:szCs w:val="22"/>
          <w:lang w:val="es-ES"/>
        </w:rPr>
      </w:pPr>
      <w:r w:rsidRPr="000D5434">
        <w:rPr>
          <w:b/>
          <w:bCs/>
          <w:szCs w:val="22"/>
          <w:lang w:val="es-ES"/>
        </w:rPr>
        <w:t>Conocimientos tradicionales codificados</w:t>
      </w:r>
    </w:p>
    <w:p w:rsidR="00C0409B" w:rsidRPr="000D5434" w:rsidRDefault="00C0409B" w:rsidP="00E1039C">
      <w:pPr>
        <w:pStyle w:val="ONUMFS"/>
        <w:numPr>
          <w:ilvl w:val="0"/>
          <w:numId w:val="0"/>
        </w:numPr>
        <w:rPr>
          <w:szCs w:val="22"/>
          <w:lang w:val="es-ES"/>
        </w:rPr>
      </w:pPr>
      <w:r w:rsidRPr="000D5434">
        <w:rPr>
          <w:szCs w:val="22"/>
          <w:lang w:val="es-ES"/>
        </w:rPr>
        <w:t>Por “conocimientos tradicionales codificados” se entiende “</w:t>
      </w:r>
      <w:r w:rsidRPr="000D5434">
        <w:rPr>
          <w:iCs/>
          <w:szCs w:val="22"/>
          <w:lang w:val="es-ES"/>
        </w:rPr>
        <w:t>conocimientos tradicionales que se presentan de una manera sistemática y estructurada, en la que los conocimientos están ordenados, organizados, clasificados y categorizados de alguna forma</w:t>
      </w:r>
      <w:r w:rsidRPr="000D5434">
        <w:rPr>
          <w:szCs w:val="22"/>
          <w:lang w:val="es-ES"/>
        </w:rPr>
        <w:t>”.</w:t>
      </w:r>
      <w:r w:rsidRPr="000D5434">
        <w:rPr>
          <w:rStyle w:val="FootnoteReference"/>
          <w:szCs w:val="22"/>
          <w:lang w:val="es-ES"/>
        </w:rPr>
        <w:footnoteReference w:id="19"/>
      </w:r>
    </w:p>
    <w:p w:rsidR="00C0409B" w:rsidRPr="000D5434" w:rsidRDefault="00C0409B" w:rsidP="00103D66">
      <w:pPr>
        <w:pStyle w:val="ONUMFS"/>
        <w:numPr>
          <w:ilvl w:val="0"/>
          <w:numId w:val="0"/>
        </w:numPr>
        <w:rPr>
          <w:szCs w:val="22"/>
          <w:lang w:val="es-ES"/>
        </w:rPr>
      </w:pPr>
      <w:r w:rsidRPr="000D5434">
        <w:rPr>
          <w:szCs w:val="22"/>
          <w:lang w:val="es-ES"/>
        </w:rPr>
        <w:t>En el ámbito de la medicina tradicional, por ejemplo, el Equipo sobre Medicina Tradicional de la Organización Mundial de la Salud (OMS) distingue entre:</w:t>
      </w:r>
      <w:r w:rsidR="00B834A4" w:rsidRPr="000D5434">
        <w:rPr>
          <w:szCs w:val="22"/>
          <w:lang w:val="es-ES"/>
        </w:rPr>
        <w:t xml:space="preserve"> </w:t>
      </w:r>
      <w:r w:rsidRPr="000D5434">
        <w:rPr>
          <w:szCs w:val="22"/>
          <w:lang w:val="es-ES"/>
        </w:rPr>
        <w:t xml:space="preserve">a) sistemas </w:t>
      </w:r>
      <w:r w:rsidRPr="000D5434">
        <w:rPr>
          <w:iCs/>
          <w:szCs w:val="22"/>
          <w:lang w:val="es-ES"/>
        </w:rPr>
        <w:t>codificados</w:t>
      </w:r>
      <w:r w:rsidRPr="000D5434">
        <w:rPr>
          <w:i/>
          <w:iCs/>
          <w:szCs w:val="22"/>
          <w:lang w:val="es-ES"/>
        </w:rPr>
        <w:t xml:space="preserve"> </w:t>
      </w:r>
      <w:r w:rsidRPr="000D5434">
        <w:rPr>
          <w:szCs w:val="22"/>
          <w:lang w:val="es-ES"/>
        </w:rPr>
        <w:t>de medicina tradicional, que han sido divulgados por escrito en antiguos textos y que pertenecen enteramente al dominio público, por ejemplo, la medicina Ayurveda divulgada en los antiguos textos sánscritos</w:t>
      </w:r>
      <w:r w:rsidRPr="000D5434">
        <w:rPr>
          <w:rStyle w:val="FootnoteReference"/>
          <w:szCs w:val="22"/>
          <w:lang w:val="es-ES"/>
        </w:rPr>
        <w:footnoteReference w:id="20"/>
      </w:r>
      <w:r w:rsidRPr="000D5434">
        <w:rPr>
          <w:szCs w:val="22"/>
          <w:lang w:val="es-ES"/>
        </w:rPr>
        <w:t xml:space="preserve"> o la medicina tradicional china divulgada en antiguos textos médicos chinos</w:t>
      </w:r>
      <w:r w:rsidRPr="000D5434">
        <w:rPr>
          <w:rStyle w:val="FootnoteReference"/>
          <w:szCs w:val="22"/>
          <w:lang w:val="es-ES"/>
        </w:rPr>
        <w:footnoteReference w:id="21"/>
      </w:r>
      <w:r w:rsidRPr="000D5434">
        <w:rPr>
          <w:szCs w:val="22"/>
          <w:lang w:val="es-ES"/>
        </w:rPr>
        <w:t xml:space="preserve"> y b) conocimientos de medicina tradicional </w:t>
      </w:r>
      <w:r w:rsidRPr="000D5434">
        <w:rPr>
          <w:iCs/>
          <w:szCs w:val="22"/>
          <w:lang w:val="es-ES"/>
        </w:rPr>
        <w:t>no codificados</w:t>
      </w:r>
      <w:r w:rsidRPr="000D5434">
        <w:rPr>
          <w:szCs w:val="22"/>
          <w:lang w:val="es-ES"/>
        </w:rPr>
        <w:t xml:space="preserve"> por escrito y que son mantenidos en secreto por los poseedores de conocimientos tradicionales, transmitiéndose oralmente de generación en generación.</w:t>
      </w:r>
      <w:r w:rsidR="00B834A4" w:rsidRPr="000D5434">
        <w:rPr>
          <w:szCs w:val="22"/>
          <w:lang w:val="es-ES"/>
        </w:rPr>
        <w:t xml:space="preserve"> </w:t>
      </w:r>
      <w:r w:rsidRPr="000D5434">
        <w:rPr>
          <w:szCs w:val="22"/>
          <w:lang w:val="es-ES"/>
        </w:rPr>
        <w:t xml:space="preserve">Por ejemplo, en Asia meridional, los sistemas de conocimientos codificados incluyen el sistema </w:t>
      </w:r>
      <w:r w:rsidR="006614B8" w:rsidRPr="000D5434">
        <w:rPr>
          <w:szCs w:val="22"/>
          <w:lang w:val="es-ES"/>
        </w:rPr>
        <w:t xml:space="preserve">ayurvédico </w:t>
      </w:r>
      <w:r w:rsidRPr="000D5434">
        <w:rPr>
          <w:szCs w:val="22"/>
          <w:lang w:val="es-ES"/>
        </w:rPr>
        <w:t xml:space="preserve">de medicina, que está codificado en los 54 libros autorizados del sistema </w:t>
      </w:r>
      <w:r w:rsidR="006614B8" w:rsidRPr="000D5434">
        <w:rPr>
          <w:szCs w:val="22"/>
          <w:lang w:val="es-ES"/>
        </w:rPr>
        <w:t>ayurvédico</w:t>
      </w:r>
      <w:r w:rsidRPr="000D5434">
        <w:rPr>
          <w:szCs w:val="22"/>
          <w:lang w:val="es-ES"/>
        </w:rPr>
        <w:t>, el sistema Siddha, codificado en 29 libros autorizados, y la tradición Unani Tibb, codificada en 13 libros autorizados.</w:t>
      </w:r>
      <w:r w:rsidRPr="000D5434">
        <w:rPr>
          <w:rStyle w:val="FootnoteReference"/>
          <w:szCs w:val="22"/>
          <w:lang w:val="es-ES"/>
        </w:rPr>
        <w:footnoteReference w:id="22"/>
      </w:r>
    </w:p>
    <w:p w:rsidR="00C0409B" w:rsidRPr="000D5434" w:rsidRDefault="00C0409B" w:rsidP="00103D66">
      <w:pPr>
        <w:pStyle w:val="ONUMFS"/>
        <w:numPr>
          <w:ilvl w:val="0"/>
          <w:numId w:val="0"/>
        </w:numPr>
        <w:rPr>
          <w:szCs w:val="22"/>
          <w:lang w:val="es-ES"/>
        </w:rPr>
      </w:pPr>
      <w:r w:rsidRPr="000D5434">
        <w:rPr>
          <w:szCs w:val="22"/>
          <w:lang w:val="es-ES"/>
        </w:rPr>
        <w:t>Otros distinguen entre:</w:t>
      </w:r>
      <w:r w:rsidR="00B834A4" w:rsidRPr="000D5434">
        <w:rPr>
          <w:szCs w:val="22"/>
          <w:lang w:val="es-ES"/>
        </w:rPr>
        <w:t xml:space="preserve"> </w:t>
      </w:r>
      <w:r w:rsidRPr="000D5434">
        <w:rPr>
          <w:szCs w:val="22"/>
          <w:lang w:val="es-ES"/>
        </w:rPr>
        <w:t>i) conocimientos tradicionales codificados, es decir, conocimientos tradicionales que constan por escrito y que están en el dominio público;</w:t>
      </w:r>
      <w:r w:rsidR="00B834A4" w:rsidRPr="000D5434">
        <w:rPr>
          <w:szCs w:val="22"/>
          <w:lang w:val="es-ES"/>
        </w:rPr>
        <w:t xml:space="preserve"> </w:t>
      </w:r>
      <w:r w:rsidRPr="000D5434">
        <w:rPr>
          <w:szCs w:val="22"/>
          <w:lang w:val="es-ES"/>
        </w:rPr>
        <w:t>y ii) conocimientos tradicionales no codificados que forman parte de la tradición oral de comunidades indígenas.</w:t>
      </w:r>
      <w:r w:rsidRPr="000D5434">
        <w:rPr>
          <w:rStyle w:val="FootnoteReference"/>
          <w:szCs w:val="22"/>
          <w:lang w:val="es-ES"/>
        </w:rPr>
        <w:footnoteReference w:id="23"/>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0D5434" w:rsidRDefault="00C0409B" w:rsidP="00103D66">
      <w:pPr>
        <w:pStyle w:val="ONUMFS"/>
        <w:numPr>
          <w:ilvl w:val="0"/>
          <w:numId w:val="0"/>
        </w:numPr>
        <w:rPr>
          <w:b/>
          <w:szCs w:val="22"/>
          <w:lang w:val="es-ES"/>
        </w:rPr>
      </w:pPr>
      <w:r w:rsidRPr="000D5434">
        <w:rPr>
          <w:b/>
          <w:bCs/>
          <w:szCs w:val="22"/>
          <w:lang w:val="es-ES"/>
        </w:rPr>
        <w:t>Consulta</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es “parecer o dictamen que por escrito o de palabra se pide o se da acerca de algo” y, a su vez, en el </w:t>
      </w:r>
      <w:r w:rsidRPr="000D5434">
        <w:rPr>
          <w:iCs/>
          <w:szCs w:val="22"/>
          <w:lang w:val="es-ES"/>
        </w:rPr>
        <w:t>Diccionario de uso del español</w:t>
      </w:r>
      <w:r w:rsidRPr="000D5434">
        <w:rPr>
          <w:szCs w:val="22"/>
          <w:lang w:val="es-ES"/>
        </w:rPr>
        <w:t xml:space="preserve"> de María Moliner “consultar” quiere decir “preguntar su opinión a otra u otras personas </w:t>
      </w:r>
      <w:r w:rsidR="006008CD" w:rsidRPr="000D5434">
        <w:rPr>
          <w:szCs w:val="22"/>
          <w:lang w:val="es-ES"/>
        </w:rPr>
        <w:t xml:space="preserve">[por ejemplo, un abogado] </w:t>
      </w:r>
      <w:r w:rsidRPr="000D5434">
        <w:rPr>
          <w:szCs w:val="22"/>
          <w:lang w:val="es-ES"/>
        </w:rPr>
        <w:t>y tratar con ellas cierto asunto”.</w:t>
      </w:r>
    </w:p>
    <w:p w:rsidR="00C0409B" w:rsidRPr="000D5434" w:rsidRDefault="00C0409B" w:rsidP="00103D66">
      <w:pPr>
        <w:pStyle w:val="ONUMFS"/>
        <w:numPr>
          <w:ilvl w:val="0"/>
          <w:numId w:val="0"/>
        </w:numPr>
        <w:rPr>
          <w:szCs w:val="22"/>
          <w:lang w:val="es-ES"/>
        </w:rPr>
      </w:pPr>
      <w:r w:rsidRPr="000D5434">
        <w:rPr>
          <w:szCs w:val="22"/>
          <w:lang w:val="es-ES"/>
        </w:rPr>
        <w:t>Designa el canje de pareceres e información, por lo cual no se trata de una relación unilateral, sino que plasma la idea de que las partes de esa relación ponen en común conocimientos y opiniones.</w:t>
      </w:r>
      <w:r w:rsidR="00B834A4" w:rsidRPr="000D5434">
        <w:rPr>
          <w:szCs w:val="22"/>
          <w:lang w:val="es-ES"/>
        </w:rPr>
        <w:t xml:space="preserve"> </w:t>
      </w:r>
      <w:r w:rsidRPr="000D5434">
        <w:rPr>
          <w:szCs w:val="22"/>
          <w:lang w:val="es-ES"/>
        </w:rPr>
        <w:t>Obliga a trabajar de común acuerdo, a escuchar lo que tiene que decir la otra parte y a obrar en consecuencia.</w:t>
      </w:r>
      <w:r w:rsidR="00B834A4" w:rsidRPr="000D5434">
        <w:rPr>
          <w:szCs w:val="22"/>
          <w:lang w:val="es-ES"/>
        </w:rPr>
        <w:t xml:space="preserve"> </w:t>
      </w:r>
      <w:r w:rsidRPr="000D5434">
        <w:rPr>
          <w:szCs w:val="22"/>
          <w:lang w:val="es-ES"/>
        </w:rPr>
        <w:t>Algunos autores sostienen que hay una íntima relación entre la consulta y el consentimiento en la vida de las comunidades indígenas.</w:t>
      </w:r>
      <w:r w:rsidR="00B834A4" w:rsidRPr="000D5434">
        <w:rPr>
          <w:szCs w:val="22"/>
          <w:lang w:val="es-ES"/>
        </w:rPr>
        <w:t xml:space="preserve"> </w:t>
      </w:r>
      <w:r w:rsidRPr="000D5434">
        <w:rPr>
          <w:szCs w:val="22"/>
          <w:lang w:val="es-ES"/>
        </w:rPr>
        <w:t xml:space="preserve">En efecto, gracias a la consulta el usuario ajeno a la comunidad puede conocer no sólo aquello que debe ser objeto del consentimiento, sino también a la persona encargada de dar ese consentimiento, y a su vez, </w:t>
      </w:r>
      <w:r w:rsidR="00D4348B">
        <w:rPr>
          <w:szCs w:val="22"/>
          <w:lang w:val="es-ES"/>
        </w:rPr>
        <w:t>esta</w:t>
      </w:r>
      <w:r w:rsidRPr="000D5434">
        <w:rPr>
          <w:szCs w:val="22"/>
          <w:lang w:val="es-ES"/>
        </w:rPr>
        <w:t xml:space="preserve"> podrá conocer debidamente lo que pretenda autorizar.</w:t>
      </w:r>
      <w:r w:rsidRPr="000D5434">
        <w:rPr>
          <w:rStyle w:val="FootnoteReference"/>
          <w:szCs w:val="22"/>
          <w:lang w:val="es-ES"/>
        </w:rPr>
        <w:footnoteReference w:id="24"/>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xml:space="preserve">, de la Organización Internacional del Trabajo (OIT), </w:t>
      </w:r>
      <w:r w:rsidRPr="000D5434">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0D5434" w:rsidRDefault="00C0409B" w:rsidP="00103D66">
      <w:pPr>
        <w:pStyle w:val="ONUMFS"/>
        <w:numPr>
          <w:ilvl w:val="0"/>
          <w:numId w:val="0"/>
        </w:numPr>
        <w:rPr>
          <w:b/>
          <w:szCs w:val="22"/>
          <w:lang w:val="es-ES"/>
        </w:rPr>
      </w:pPr>
      <w:r w:rsidRPr="000D5434">
        <w:rPr>
          <w:b/>
          <w:szCs w:val="22"/>
          <w:lang w:val="es-ES"/>
        </w:rPr>
        <w:t>Convenio sobre la Diversidad Biológica (CDB)</w:t>
      </w:r>
    </w:p>
    <w:p w:rsidR="00C0409B" w:rsidRPr="000D5434" w:rsidRDefault="00C0409B" w:rsidP="00103D66">
      <w:pPr>
        <w:pStyle w:val="ONUMFS"/>
        <w:numPr>
          <w:ilvl w:val="0"/>
          <w:numId w:val="0"/>
        </w:numPr>
        <w:rPr>
          <w:szCs w:val="22"/>
          <w:lang w:val="es-ES"/>
        </w:rPr>
      </w:pPr>
      <w:r w:rsidRPr="000D5434">
        <w:rPr>
          <w:szCs w:val="22"/>
          <w:lang w:val="es-ES"/>
        </w:rPr>
        <w:t>Convenio internacional adoptado en 1992 durante la Conferencia de las Naciones Unidas sobre el Medio Ambiente y el Desarrollo, celebrada en Río de Janeiro (Brasil).</w:t>
      </w:r>
      <w:r w:rsidR="00B834A4" w:rsidRPr="000D5434">
        <w:rPr>
          <w:szCs w:val="22"/>
          <w:lang w:val="es-ES"/>
        </w:rPr>
        <w:t xml:space="preserve"> </w:t>
      </w:r>
      <w:r w:rsidRPr="000D5434">
        <w:rPr>
          <w:szCs w:val="22"/>
          <w:lang w:val="es-ES"/>
        </w:rPr>
        <w:t>Conforme a su artículo 1, tiene por objetivos “</w:t>
      </w:r>
      <w:r w:rsidRPr="000D5434">
        <w:rPr>
          <w:iCs/>
          <w:szCs w:val="22"/>
          <w:lang w:val="es-ES"/>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B834A4" w:rsidRPr="000D5434">
        <w:rPr>
          <w:iCs/>
          <w:szCs w:val="22"/>
          <w:lang w:val="es-ES"/>
        </w:rPr>
        <w:t xml:space="preserve"> </w:t>
      </w:r>
      <w:r w:rsidRPr="000D5434">
        <w:rPr>
          <w:szCs w:val="22"/>
          <w:lang w:val="es-ES"/>
        </w:rPr>
        <w:t>El CDB entró en vigor el 29 de diciembre de 1993.</w:t>
      </w:r>
    </w:p>
    <w:p w:rsidR="00C0409B" w:rsidRPr="000D5434" w:rsidRDefault="00C0409B" w:rsidP="00103D66">
      <w:pPr>
        <w:pStyle w:val="ONUMFS"/>
        <w:numPr>
          <w:ilvl w:val="0"/>
          <w:numId w:val="0"/>
        </w:numPr>
        <w:rPr>
          <w:b/>
          <w:szCs w:val="22"/>
          <w:lang w:val="es-ES"/>
        </w:rPr>
      </w:pPr>
      <w:r w:rsidRPr="000D5434">
        <w:rPr>
          <w:b/>
          <w:bCs/>
          <w:szCs w:val="22"/>
          <w:lang w:val="es-ES"/>
        </w:rPr>
        <w:t>País de origen de los recursos genéticos</w:t>
      </w:r>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de origen de recursos genéticos se entiende el país que posee esos recursos genéticos en condiciones </w:t>
      </w:r>
      <w:r w:rsidRPr="000D5434">
        <w:rPr>
          <w:i/>
          <w:iCs/>
          <w:szCs w:val="22"/>
          <w:lang w:val="es-ES"/>
        </w:rPr>
        <w:t>in situ</w:t>
      </w:r>
      <w:r w:rsidRPr="000D5434">
        <w:rPr>
          <w:szCs w:val="22"/>
          <w:lang w:val="es-ES"/>
        </w:rPr>
        <w:t>”.</w:t>
      </w:r>
      <w:r w:rsidR="00B834A4" w:rsidRPr="000D5434">
        <w:rPr>
          <w:szCs w:val="22"/>
          <w:lang w:val="es-ES"/>
        </w:rPr>
        <w:t xml:space="preserve"> </w:t>
      </w:r>
      <w:r w:rsidRPr="000D5434">
        <w:rPr>
          <w:szCs w:val="22"/>
          <w:lang w:val="es-ES"/>
        </w:rPr>
        <w:t xml:space="preserve">En otras definiciones se incluyen recursos genéticos en condiciones </w:t>
      </w:r>
      <w:r w:rsidRPr="000D5434">
        <w:rPr>
          <w:i/>
          <w:iCs/>
          <w:szCs w:val="22"/>
          <w:lang w:val="es-ES"/>
        </w:rPr>
        <w:t>ex situ</w:t>
      </w:r>
      <w:r w:rsidRPr="000D5434">
        <w:rPr>
          <w:szCs w:val="22"/>
          <w:lang w:val="es-ES"/>
        </w:rPr>
        <w:t>.</w:t>
      </w:r>
      <w:r w:rsidR="00B834A4" w:rsidRPr="000D5434">
        <w:rPr>
          <w:szCs w:val="22"/>
          <w:lang w:val="es-ES"/>
        </w:rPr>
        <w:t xml:space="preserve"> </w:t>
      </w:r>
      <w:r w:rsidRPr="000D5434">
        <w:rPr>
          <w:szCs w:val="22"/>
          <w:lang w:val="es-ES"/>
        </w:rPr>
        <w:t xml:space="preserve">Por ejemplo, 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“país de origen” se define como “país que posee los recursos genéticos en condiciones </w:t>
      </w:r>
      <w:r w:rsidRPr="000D5434">
        <w:rPr>
          <w:i/>
          <w:iCs/>
          <w:szCs w:val="22"/>
          <w:lang w:val="es-ES"/>
        </w:rPr>
        <w:t>in situ</w:t>
      </w:r>
      <w:r w:rsidRPr="000D5434">
        <w:rPr>
          <w:szCs w:val="22"/>
          <w:lang w:val="es-ES"/>
        </w:rPr>
        <w:t xml:space="preserve">, incluyendo aquellos que habiendo estado en dichas condiciones, se encuentran en condiciones </w:t>
      </w:r>
      <w:r w:rsidRPr="000D5434">
        <w:rPr>
          <w:i/>
          <w:iCs/>
          <w:szCs w:val="22"/>
          <w:lang w:val="es-ES"/>
        </w:rPr>
        <w:t>ex situ</w:t>
      </w:r>
      <w:r w:rsidRPr="000D5434">
        <w:rPr>
          <w:szCs w:val="22"/>
          <w:lang w:val="es-ES"/>
        </w:rPr>
        <w:t>”.</w:t>
      </w:r>
    </w:p>
    <w:p w:rsidR="00C0409B" w:rsidRPr="000D5434" w:rsidRDefault="00C0409B" w:rsidP="00E1039C">
      <w:pPr>
        <w:pStyle w:val="ONUMFS"/>
        <w:keepNext/>
        <w:keepLines/>
        <w:numPr>
          <w:ilvl w:val="0"/>
          <w:numId w:val="0"/>
        </w:numPr>
        <w:rPr>
          <w:b/>
          <w:szCs w:val="22"/>
          <w:lang w:val="es-ES"/>
        </w:rPr>
      </w:pPr>
      <w:r w:rsidRPr="000D5434">
        <w:rPr>
          <w:b/>
          <w:bCs/>
          <w:szCs w:val="22"/>
          <w:lang w:val="es-ES"/>
        </w:rPr>
        <w:t>País que aporta recursos genéticos</w:t>
      </w:r>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que aporta recursos genéticos se entiende el país que suministra recursos genéticos obtenidos de fuentes </w:t>
      </w:r>
      <w:r w:rsidRPr="000D5434">
        <w:rPr>
          <w:i/>
          <w:iCs/>
          <w:szCs w:val="22"/>
          <w:lang w:val="es-ES"/>
        </w:rPr>
        <w:t>in situ</w:t>
      </w:r>
      <w:r w:rsidRPr="000D5434">
        <w:rPr>
          <w:szCs w:val="22"/>
          <w:lang w:val="es-ES"/>
        </w:rPr>
        <w:t xml:space="preserve">, incluidas las poblaciones de especies silvestres y domesticadas, o de fuentes </w:t>
      </w:r>
      <w:r w:rsidRPr="000D5434">
        <w:rPr>
          <w:i/>
          <w:iCs/>
          <w:szCs w:val="22"/>
          <w:lang w:val="es-ES"/>
        </w:rPr>
        <w:t>ex situ</w:t>
      </w:r>
      <w:r w:rsidRPr="000D5434">
        <w:rPr>
          <w:szCs w:val="22"/>
          <w:lang w:val="es-ES"/>
        </w:rPr>
        <w:t>, que pueden tener o no su origen en ese país”.</w:t>
      </w:r>
    </w:p>
    <w:p w:rsidR="00C0409B" w:rsidRPr="000D5434" w:rsidRDefault="00C0409B" w:rsidP="00103D66">
      <w:pPr>
        <w:pStyle w:val="ONUMFS"/>
        <w:numPr>
          <w:ilvl w:val="0"/>
          <w:numId w:val="0"/>
        </w:numPr>
        <w:rPr>
          <w:b/>
          <w:szCs w:val="22"/>
          <w:lang w:val="es-ES"/>
        </w:rPr>
      </w:pPr>
      <w:r w:rsidRPr="000D5434">
        <w:rPr>
          <w:b/>
          <w:bCs/>
          <w:szCs w:val="22"/>
          <w:lang w:val="es-ES"/>
        </w:rPr>
        <w:t>Comunidad cultural</w:t>
      </w:r>
    </w:p>
    <w:p w:rsidR="00C0409B" w:rsidRPr="000D5434" w:rsidRDefault="00C0409B" w:rsidP="00103D66">
      <w:pPr>
        <w:pStyle w:val="ONUMFS"/>
        <w:numPr>
          <w:ilvl w:val="0"/>
          <w:numId w:val="0"/>
        </w:numPr>
        <w:rPr>
          <w:szCs w:val="22"/>
          <w:lang w:val="es-ES"/>
        </w:rPr>
      </w:pPr>
      <w:bookmarkStart w:id="6" w:name="_Ref289689074"/>
      <w:bookmarkEnd w:id="6"/>
      <w:r w:rsidRPr="000D5434">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0D5434">
        <w:rPr>
          <w:rStyle w:val="FootnoteReference"/>
          <w:szCs w:val="22"/>
          <w:lang w:val="es-ES"/>
        </w:rPr>
        <w:footnoteReference w:id="25"/>
      </w:r>
    </w:p>
    <w:p w:rsidR="00C0409B" w:rsidRPr="000D5434" w:rsidRDefault="00C0409B" w:rsidP="00103D66">
      <w:pPr>
        <w:pStyle w:val="ONUMFS"/>
        <w:numPr>
          <w:ilvl w:val="0"/>
          <w:numId w:val="0"/>
        </w:numPr>
        <w:rPr>
          <w:b/>
          <w:bCs/>
          <w:szCs w:val="22"/>
          <w:lang w:val="es-ES"/>
        </w:rPr>
      </w:pPr>
      <w:r w:rsidRPr="000D5434">
        <w:rPr>
          <w:b/>
          <w:bCs/>
          <w:szCs w:val="22"/>
          <w:lang w:val="es-ES"/>
        </w:rPr>
        <w:t>Diversidad cultural</w:t>
      </w:r>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(2005),</w:t>
      </w:r>
      <w:r w:rsidR="00A120FA" w:rsidRPr="000D5434">
        <w:rPr>
          <w:szCs w:val="22"/>
          <w:lang w:val="es-ES"/>
        </w:rPr>
        <w:t xml:space="preserve"> de la Organización de las Naciones Unidas para la Educación, la Ciencia y la Cultura (UNESCO),</w:t>
      </w:r>
      <w:r w:rsidRPr="000D5434">
        <w:rPr>
          <w:szCs w:val="22"/>
          <w:lang w:val="es-ES"/>
        </w:rPr>
        <w:t xml:space="preserve"> por diversidad cultural se entiende “la multiplicidad de formas en que se expresan las culturas de los grupos y sociedades.</w:t>
      </w:r>
      <w:r w:rsidR="00B834A4" w:rsidRPr="000D5434">
        <w:rPr>
          <w:szCs w:val="22"/>
          <w:lang w:val="es-ES"/>
        </w:rPr>
        <w:t xml:space="preserve"> </w:t>
      </w:r>
      <w:r w:rsidRPr="000D5434">
        <w:rPr>
          <w:szCs w:val="22"/>
          <w:lang w:val="es-ES"/>
        </w:rPr>
        <w:t>Estas expresiones se transmiten dentro y entre los grupos y las sociedades”.</w:t>
      </w:r>
      <w:r w:rsidRPr="000D5434">
        <w:rPr>
          <w:rStyle w:val="FootnoteReference"/>
          <w:szCs w:val="22"/>
          <w:lang w:val="es-ES"/>
        </w:rPr>
        <w:footnoteReference w:id="26"/>
      </w:r>
    </w:p>
    <w:p w:rsidR="00C0409B" w:rsidRPr="000D5434" w:rsidRDefault="00C0409B" w:rsidP="00E1039C">
      <w:pPr>
        <w:pStyle w:val="ONUMFS"/>
        <w:numPr>
          <w:ilvl w:val="0"/>
          <w:numId w:val="0"/>
        </w:numPr>
        <w:rPr>
          <w:b/>
          <w:bCs/>
          <w:szCs w:val="22"/>
          <w:lang w:val="es-ES"/>
        </w:rPr>
      </w:pPr>
      <w:r w:rsidRPr="000D5434">
        <w:rPr>
          <w:b/>
          <w:bCs/>
          <w:szCs w:val="22"/>
          <w:lang w:val="es-ES"/>
        </w:rPr>
        <w:t>Expresiones culturales</w:t>
      </w:r>
    </w:p>
    <w:p w:rsidR="00C0409B" w:rsidRPr="000D5434" w:rsidRDefault="00C0409B" w:rsidP="00E1039C">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w:t>
      </w:r>
      <w:r w:rsidR="00A120FA" w:rsidRPr="000D5434">
        <w:rPr>
          <w:szCs w:val="22"/>
          <w:lang w:val="es-ES"/>
        </w:rPr>
        <w:t xml:space="preserve">de la UNESCO, </w:t>
      </w:r>
      <w:r w:rsidRPr="000D5434">
        <w:rPr>
          <w:szCs w:val="22"/>
          <w:lang w:val="es-ES"/>
        </w:rPr>
        <w:t>las expresiones culturales son “las expresiones resultantes de la creatividad de personas, grupos y sociedades, que poseen un contenido cultural”.</w:t>
      </w:r>
      <w:r w:rsidRPr="000D5434">
        <w:rPr>
          <w:rStyle w:val="FootnoteReference"/>
          <w:szCs w:val="22"/>
          <w:lang w:val="es-ES"/>
        </w:rPr>
        <w:footnoteReference w:id="27"/>
      </w:r>
    </w:p>
    <w:p w:rsidR="00C0409B" w:rsidRPr="000D5434" w:rsidRDefault="00C0409B" w:rsidP="00103D66">
      <w:pPr>
        <w:pStyle w:val="ONUMFS"/>
        <w:numPr>
          <w:ilvl w:val="0"/>
          <w:numId w:val="0"/>
        </w:numPr>
        <w:rPr>
          <w:b/>
          <w:bCs/>
          <w:szCs w:val="22"/>
          <w:lang w:val="es-ES"/>
        </w:rPr>
      </w:pPr>
      <w:r w:rsidRPr="000D5434">
        <w:rPr>
          <w:b/>
          <w:bCs/>
          <w:szCs w:val="22"/>
          <w:lang w:val="es-ES"/>
        </w:rPr>
        <w:t>Patrimonio cultural</w:t>
      </w:r>
    </w:p>
    <w:p w:rsidR="00C0409B" w:rsidRPr="000D5434" w:rsidRDefault="00C0409B" w:rsidP="00103D66">
      <w:pPr>
        <w:pStyle w:val="ONUMFS"/>
        <w:numPr>
          <w:ilvl w:val="0"/>
          <w:numId w:val="0"/>
        </w:numPr>
        <w:rPr>
          <w:szCs w:val="22"/>
          <w:lang w:val="es-ES"/>
        </w:rPr>
      </w:pPr>
      <w:r w:rsidRPr="000D5434">
        <w:rPr>
          <w:szCs w:val="22"/>
          <w:lang w:val="es-ES"/>
        </w:rPr>
        <w:t xml:space="preserve">Según el artículo 1 de la </w:t>
      </w:r>
      <w:r w:rsidRPr="000D5434">
        <w:rPr>
          <w:i/>
          <w:szCs w:val="22"/>
          <w:lang w:val="es-ES"/>
        </w:rPr>
        <w:t>Convención sobre la Protección del Patrimonio Mundial Cultural y Natural</w:t>
      </w:r>
      <w:r w:rsidRPr="000D5434">
        <w:rPr>
          <w:szCs w:val="22"/>
          <w:lang w:val="es-ES"/>
        </w:rPr>
        <w:t xml:space="preserve"> (1972), </w:t>
      </w:r>
      <w:r w:rsidR="00A120FA" w:rsidRPr="000D5434">
        <w:rPr>
          <w:szCs w:val="22"/>
          <w:lang w:val="es-ES"/>
        </w:rPr>
        <w:t xml:space="preserve">de la UNESCO, </w:t>
      </w:r>
      <w:r w:rsidRPr="000D5434">
        <w:rPr>
          <w:szCs w:val="22"/>
          <w:lang w:val="es-ES"/>
        </w:rPr>
        <w:t>el “patrimonio cultural” comprende lo siguiente:</w:t>
      </w:r>
    </w:p>
    <w:p w:rsidR="00C0409B" w:rsidRPr="000D5434" w:rsidRDefault="00C0409B" w:rsidP="00103D66">
      <w:pPr>
        <w:pStyle w:val="ONUMFS"/>
        <w:numPr>
          <w:ilvl w:val="0"/>
          <w:numId w:val="0"/>
        </w:numPr>
        <w:ind w:left="567"/>
        <w:rPr>
          <w:i/>
          <w:iCs/>
          <w:szCs w:val="22"/>
          <w:lang w:val="es-ES"/>
        </w:rPr>
      </w:pPr>
      <w:r w:rsidRPr="000D5434">
        <w:rPr>
          <w:i/>
          <w:iCs/>
          <w:szCs w:val="22"/>
          <w:lang w:val="es-ES"/>
        </w:rPr>
        <w:t>“a)</w:t>
      </w:r>
      <w:r w:rsidRPr="000D5434">
        <w:rPr>
          <w:i/>
          <w:iCs/>
          <w:szCs w:val="22"/>
          <w:lang w:val="es-ES"/>
        </w:rPr>
        <w:tab/>
        <w:t>monumentos:</w:t>
      </w:r>
      <w:r w:rsidR="00B834A4" w:rsidRPr="000D5434">
        <w:rPr>
          <w:i/>
          <w:iCs/>
          <w:szCs w:val="22"/>
          <w:lang w:val="es-ES"/>
        </w:rPr>
        <w:t xml:space="preserve"> </w:t>
      </w:r>
      <w:r w:rsidRPr="000D5434">
        <w:rPr>
          <w:i/>
          <w:iCs/>
          <w:szCs w:val="22"/>
          <w:lang w:val="es-ES"/>
        </w:rPr>
        <w:t>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0D5434" w:rsidRDefault="00C0409B" w:rsidP="00103D66">
      <w:pPr>
        <w:pStyle w:val="ONUMFS"/>
        <w:numPr>
          <w:ilvl w:val="0"/>
          <w:numId w:val="0"/>
        </w:numPr>
        <w:ind w:left="567"/>
        <w:rPr>
          <w:i/>
          <w:iCs/>
          <w:szCs w:val="22"/>
          <w:lang w:val="es-ES"/>
        </w:rPr>
      </w:pPr>
      <w:r w:rsidRPr="000D5434">
        <w:rPr>
          <w:i/>
          <w:iCs/>
          <w:szCs w:val="22"/>
          <w:lang w:val="es-ES"/>
        </w:rPr>
        <w:t>b)</w:t>
      </w:r>
      <w:r w:rsidRPr="000D5434">
        <w:rPr>
          <w:i/>
          <w:iCs/>
          <w:szCs w:val="22"/>
          <w:lang w:val="es-ES"/>
        </w:rPr>
        <w:tab/>
        <w:t>conjuntos:</w:t>
      </w:r>
      <w:r w:rsidR="00B834A4" w:rsidRPr="000D5434">
        <w:rPr>
          <w:i/>
          <w:iCs/>
          <w:szCs w:val="22"/>
          <w:lang w:val="es-ES"/>
        </w:rPr>
        <w:t xml:space="preserve"> </w:t>
      </w:r>
      <w:r w:rsidRPr="000D5434">
        <w:rPr>
          <w:i/>
          <w:iCs/>
          <w:szCs w:val="22"/>
          <w:lang w:val="es-ES"/>
        </w:rPr>
        <w:t>grupos de construcciones, aisladas o reunidas, cuya arquitectura, unidad e integración en el paisaje les dé un valor universal excepcional desde el punto de vista de la historia, del arte o de la ciencia;</w:t>
      </w:r>
    </w:p>
    <w:p w:rsidR="00C0409B" w:rsidRPr="000D5434" w:rsidRDefault="00C0409B" w:rsidP="00103D66">
      <w:pPr>
        <w:pStyle w:val="ONUMFS"/>
        <w:numPr>
          <w:ilvl w:val="0"/>
          <w:numId w:val="0"/>
        </w:numPr>
        <w:ind w:left="567"/>
        <w:rPr>
          <w:szCs w:val="22"/>
          <w:lang w:val="es-ES"/>
        </w:rPr>
      </w:pPr>
      <w:r w:rsidRPr="000D5434">
        <w:rPr>
          <w:i/>
          <w:iCs/>
          <w:szCs w:val="22"/>
          <w:lang w:val="es-ES"/>
        </w:rPr>
        <w:t>c)</w:t>
      </w:r>
      <w:r w:rsidRPr="000D5434">
        <w:rPr>
          <w:i/>
          <w:iCs/>
          <w:szCs w:val="22"/>
          <w:lang w:val="es-ES"/>
        </w:rPr>
        <w:tab/>
        <w:t>lugares:</w:t>
      </w:r>
      <w:r w:rsidR="00B834A4" w:rsidRPr="000D5434">
        <w:rPr>
          <w:i/>
          <w:iCs/>
          <w:szCs w:val="22"/>
          <w:lang w:val="es-ES"/>
        </w:rPr>
        <w:t xml:space="preserve"> </w:t>
      </w:r>
      <w:r w:rsidRPr="000D5434">
        <w:rPr>
          <w:i/>
          <w:iCs/>
          <w:szCs w:val="22"/>
          <w:lang w:val="es-ES"/>
        </w:rPr>
        <w:t>obras del hombre u obras conjuntas del hombre y la naturaleza así como las zonas incluidos los lugares arqueológicos que tengan un valor universal excepcional desde el punto de vista histórico, estético, etnológico o antropológico.”</w:t>
      </w:r>
    </w:p>
    <w:p w:rsidR="00C0409B" w:rsidRPr="000D5434" w:rsidRDefault="00C0409B" w:rsidP="00E1039C">
      <w:pPr>
        <w:pStyle w:val="ONUMFS"/>
        <w:keepNext/>
        <w:keepLines/>
        <w:numPr>
          <w:ilvl w:val="0"/>
          <w:numId w:val="0"/>
        </w:numPr>
        <w:rPr>
          <w:b/>
          <w:bCs/>
          <w:szCs w:val="22"/>
          <w:lang w:val="es-ES"/>
        </w:rPr>
      </w:pPr>
      <w:r w:rsidRPr="000D5434">
        <w:rPr>
          <w:b/>
          <w:bCs/>
          <w:szCs w:val="22"/>
          <w:lang w:val="es-ES"/>
        </w:rPr>
        <w:t>Identidad cultural</w:t>
      </w:r>
    </w:p>
    <w:p w:rsidR="00C0409B" w:rsidRPr="000D5434" w:rsidRDefault="00C0409B" w:rsidP="00103D66">
      <w:pPr>
        <w:pStyle w:val="ONUMFS"/>
        <w:numPr>
          <w:ilvl w:val="0"/>
          <w:numId w:val="0"/>
        </w:numPr>
        <w:rPr>
          <w:szCs w:val="22"/>
          <w:lang w:val="es-ES"/>
        </w:rPr>
      </w:pPr>
      <w:r w:rsidRPr="000D5434">
        <w:rPr>
          <w:szCs w:val="22"/>
          <w:lang w:val="es-ES"/>
        </w:rPr>
        <w:t>Designa la correspondencia que existe entre la comunidad (nacional, étnica, lingüística, etcétera) y su vida cultural, así como el derecho de la comunidad a la propia cultura.</w:t>
      </w:r>
      <w:r w:rsidRPr="000D5434">
        <w:rPr>
          <w:rStyle w:val="FootnoteReference"/>
          <w:szCs w:val="22"/>
          <w:lang w:val="es-ES"/>
        </w:rPr>
        <w:footnoteReference w:id="28"/>
      </w:r>
      <w:r w:rsidR="00B834A4" w:rsidRPr="000D5434">
        <w:rPr>
          <w:szCs w:val="22"/>
          <w:lang w:val="es-ES"/>
        </w:rPr>
        <w:t xml:space="preserve"> </w:t>
      </w: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de la OIT,</w:t>
      </w:r>
      <w:r w:rsidRPr="000D5434">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0D5434">
        <w:rPr>
          <w:rStyle w:val="FootnoteReference"/>
          <w:szCs w:val="22"/>
          <w:lang w:val="es-ES"/>
        </w:rPr>
        <w:footnoteReference w:id="29"/>
      </w:r>
    </w:p>
    <w:p w:rsidR="00C0409B" w:rsidRPr="000D5434" w:rsidRDefault="00C0409B" w:rsidP="00103D66">
      <w:pPr>
        <w:pStyle w:val="ONUMFS"/>
        <w:numPr>
          <w:ilvl w:val="0"/>
          <w:numId w:val="0"/>
        </w:numPr>
        <w:rPr>
          <w:b/>
          <w:bCs/>
          <w:szCs w:val="22"/>
          <w:lang w:val="es-ES"/>
        </w:rPr>
      </w:pPr>
      <w:r w:rsidRPr="000D5434">
        <w:rPr>
          <w:b/>
          <w:bCs/>
          <w:szCs w:val="22"/>
          <w:lang w:val="es-ES"/>
        </w:rPr>
        <w:t>Bienes culturales</w:t>
      </w:r>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008C07C1" w:rsidRPr="000D5434">
        <w:rPr>
          <w:szCs w:val="22"/>
          <w:lang w:val="es-ES"/>
        </w:rPr>
        <w:t xml:space="preserve">el Artículo 1 de la </w:t>
      </w:r>
      <w:r w:rsidRPr="000D5434">
        <w:rPr>
          <w:i/>
          <w:szCs w:val="22"/>
          <w:lang w:val="es-ES"/>
        </w:rPr>
        <w:t>Convención sobre las medidas que deben adoptarse para prohibir e impedir la importación, la exportación y la transferencia de propiedad ilícitas de bienes culturales</w:t>
      </w:r>
      <w:r w:rsidRPr="000D5434">
        <w:rPr>
          <w:szCs w:val="22"/>
          <w:lang w:val="es-ES"/>
        </w:rPr>
        <w:t xml:space="preserve"> (1970),</w:t>
      </w:r>
      <w:r w:rsidR="00A120FA" w:rsidRPr="000D5434">
        <w:rPr>
          <w:szCs w:val="22"/>
          <w:lang w:val="es-ES"/>
        </w:rPr>
        <w:t xml:space="preserve"> de la UNESCO,</w:t>
      </w:r>
      <w:r w:rsidRPr="000D5434">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B834A4" w:rsidRPr="000D5434">
        <w:rPr>
          <w:szCs w:val="22"/>
          <w:lang w:val="es-ES"/>
        </w:rPr>
        <w:t xml:space="preserve"> </w:t>
      </w:r>
      <w:r w:rsidRPr="000D5434">
        <w:rPr>
          <w:szCs w:val="22"/>
          <w:lang w:val="es-ES"/>
        </w:rPr>
        <w:t>a) las colecciones y ejemplares raros de zoología, botánica, mineralogía, anatomía, y los objetos de interés paleontológico;</w:t>
      </w:r>
      <w:r w:rsidR="00B834A4" w:rsidRPr="000D5434">
        <w:rPr>
          <w:szCs w:val="22"/>
          <w:lang w:val="es-ES"/>
        </w:rPr>
        <w:t xml:space="preserve"> </w:t>
      </w:r>
      <w:r w:rsidRPr="000D5434">
        <w:rPr>
          <w:szCs w:val="22"/>
          <w:lang w:val="es-ES"/>
        </w:rPr>
        <w:t>b) los bienes relacionados con la historia, con inclusión de la historia de las ciencias y de las técnicas, la historia militar y la historia social, así como con la vida de los dirigentes, pensadores, sabios y artistas nacionales y con los acontecimientos de importancia nacional;</w:t>
      </w:r>
      <w:r w:rsidR="00B834A4" w:rsidRPr="000D5434">
        <w:rPr>
          <w:szCs w:val="22"/>
          <w:lang w:val="es-ES"/>
        </w:rPr>
        <w:t xml:space="preserve"> </w:t>
      </w:r>
      <w:r w:rsidRPr="000D5434">
        <w:rPr>
          <w:szCs w:val="22"/>
          <w:lang w:val="es-ES"/>
        </w:rPr>
        <w:t>c) el producto de las excavaciones (tanto autorizadas como clandestinas) o de los descubrimientos arqueológicos;</w:t>
      </w:r>
      <w:r w:rsidR="00B834A4" w:rsidRPr="000D5434">
        <w:rPr>
          <w:szCs w:val="22"/>
          <w:lang w:val="es-ES"/>
        </w:rPr>
        <w:t xml:space="preserve"> </w:t>
      </w:r>
      <w:r w:rsidRPr="000D5434">
        <w:rPr>
          <w:szCs w:val="22"/>
          <w:lang w:val="es-ES"/>
        </w:rPr>
        <w:t>d) los elementos procedentes de la desmembración de monumentos artísticos o históricos y de lugares de interés arqueológico;</w:t>
      </w:r>
      <w:r w:rsidR="00B834A4" w:rsidRPr="000D5434">
        <w:rPr>
          <w:szCs w:val="22"/>
          <w:lang w:val="es-ES"/>
        </w:rPr>
        <w:t xml:space="preserve"> </w:t>
      </w:r>
      <w:r w:rsidRPr="000D5434">
        <w:rPr>
          <w:szCs w:val="22"/>
          <w:lang w:val="es-ES"/>
        </w:rPr>
        <w:t>e) antigüedades que tengan más de 100 años, tales como inscripciones, monedas y sellos grabados:</w:t>
      </w:r>
      <w:r w:rsidR="00B834A4" w:rsidRPr="000D5434">
        <w:rPr>
          <w:szCs w:val="22"/>
          <w:lang w:val="es-ES"/>
        </w:rPr>
        <w:t xml:space="preserve"> </w:t>
      </w:r>
      <w:r w:rsidRPr="000D5434">
        <w:rPr>
          <w:szCs w:val="22"/>
          <w:lang w:val="es-ES"/>
        </w:rPr>
        <w:t>f) el material etnológico;</w:t>
      </w:r>
      <w:r w:rsidR="00B834A4" w:rsidRPr="000D5434">
        <w:rPr>
          <w:szCs w:val="22"/>
          <w:lang w:val="es-ES"/>
        </w:rPr>
        <w:t xml:space="preserve"> </w:t>
      </w:r>
      <w:r w:rsidRPr="000D5434">
        <w:rPr>
          <w:szCs w:val="22"/>
          <w:lang w:val="es-ES"/>
        </w:rPr>
        <w:t>g) los bienes de interés artístico tales como:</w:t>
      </w:r>
      <w:r w:rsidR="00B834A4" w:rsidRPr="000D5434">
        <w:rPr>
          <w:szCs w:val="22"/>
          <w:lang w:val="es-ES"/>
        </w:rPr>
        <w:t xml:space="preserve"> </w:t>
      </w:r>
      <w:r w:rsidRPr="000D5434">
        <w:rPr>
          <w:szCs w:val="22"/>
          <w:lang w:val="es-ES"/>
        </w:rPr>
        <w:t>i) cuadros, pinturas y dibujos hechos enteramente a mano sobre cualquier soporte y en cualquier material (con exclusión de los dibujos industriales y de los artículos manufacturados decorados a mano);</w:t>
      </w:r>
      <w:r w:rsidR="00B834A4" w:rsidRPr="000D5434">
        <w:rPr>
          <w:szCs w:val="22"/>
          <w:lang w:val="es-ES"/>
        </w:rPr>
        <w:t xml:space="preserve"> </w:t>
      </w:r>
      <w:r w:rsidRPr="000D5434">
        <w:rPr>
          <w:szCs w:val="22"/>
          <w:lang w:val="es-ES"/>
        </w:rPr>
        <w:t>ii) producciones originales de arte estatuario y de escultura en cualquier material;</w:t>
      </w:r>
      <w:r w:rsidR="00B834A4" w:rsidRPr="000D5434">
        <w:rPr>
          <w:szCs w:val="22"/>
          <w:lang w:val="es-ES"/>
        </w:rPr>
        <w:t xml:space="preserve"> </w:t>
      </w:r>
      <w:r w:rsidRPr="000D5434">
        <w:rPr>
          <w:szCs w:val="22"/>
          <w:lang w:val="es-ES"/>
        </w:rPr>
        <w:t>iii) grabados, estampas y litografías originales;</w:t>
      </w:r>
      <w:r w:rsidR="00B834A4" w:rsidRPr="000D5434">
        <w:rPr>
          <w:szCs w:val="22"/>
          <w:lang w:val="es-ES"/>
        </w:rPr>
        <w:t xml:space="preserve"> </w:t>
      </w:r>
      <w:r w:rsidRPr="000D5434">
        <w:rPr>
          <w:szCs w:val="22"/>
          <w:lang w:val="es-ES"/>
        </w:rPr>
        <w:t>iv) conjuntos y montajes artísticos originales en cualquier materia;</w:t>
      </w:r>
      <w:r w:rsidR="00B834A4" w:rsidRPr="000D5434">
        <w:rPr>
          <w:szCs w:val="22"/>
          <w:lang w:val="es-ES"/>
        </w:rPr>
        <w:t xml:space="preserve"> </w:t>
      </w:r>
      <w:r w:rsidRPr="000D5434">
        <w:rPr>
          <w:szCs w:val="22"/>
          <w:lang w:val="es-ES"/>
        </w:rPr>
        <w:t>h) manuscritos raros e incunables, libros, documentos y publicaciones antiguos de interés especial (histórico, artístico, científico, literario, etc.) sueltos o en colecciones;</w:t>
      </w:r>
      <w:r w:rsidR="00B834A4" w:rsidRPr="000D5434">
        <w:rPr>
          <w:szCs w:val="22"/>
          <w:lang w:val="es-ES"/>
        </w:rPr>
        <w:t xml:space="preserve"> </w:t>
      </w:r>
      <w:r w:rsidRPr="000D5434">
        <w:rPr>
          <w:szCs w:val="22"/>
          <w:lang w:val="es-ES"/>
        </w:rPr>
        <w:t>i) sellos de correo, sellos fiscales y análogos, sueltos o en colecciones;</w:t>
      </w:r>
      <w:r w:rsidR="00B834A4" w:rsidRPr="000D5434">
        <w:rPr>
          <w:szCs w:val="22"/>
          <w:lang w:val="es-ES"/>
        </w:rPr>
        <w:t xml:space="preserve"> </w:t>
      </w:r>
      <w:r w:rsidRPr="000D5434">
        <w:rPr>
          <w:szCs w:val="22"/>
          <w:lang w:val="es-ES"/>
        </w:rPr>
        <w:t>j) archivos, incluidos los fonográficos, fotográficos y cinematográficos;</w:t>
      </w:r>
      <w:r w:rsidR="00B834A4" w:rsidRPr="000D5434">
        <w:rPr>
          <w:szCs w:val="22"/>
          <w:lang w:val="es-ES"/>
        </w:rPr>
        <w:t xml:space="preserve"> </w:t>
      </w:r>
      <w:r w:rsidRPr="000D5434">
        <w:rPr>
          <w:szCs w:val="22"/>
          <w:lang w:val="es-ES"/>
        </w:rPr>
        <w:t>k) objetos de mobiliario que tengan más de 100 años e instrumentos de música antiguos”.</w:t>
      </w:r>
    </w:p>
    <w:p w:rsidR="00C0409B" w:rsidRPr="000D5434" w:rsidRDefault="00C0409B" w:rsidP="00103D66">
      <w:pPr>
        <w:pStyle w:val="ONUMFS"/>
        <w:numPr>
          <w:ilvl w:val="0"/>
          <w:numId w:val="0"/>
        </w:numPr>
        <w:rPr>
          <w:b/>
          <w:bCs/>
          <w:szCs w:val="22"/>
          <w:lang w:val="es-ES"/>
        </w:rPr>
      </w:pPr>
      <w:r w:rsidRPr="000D5434">
        <w:rPr>
          <w:b/>
          <w:bCs/>
          <w:szCs w:val="22"/>
          <w:lang w:val="es-ES"/>
        </w:rPr>
        <w:t>Custodio</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término “custodio” como “cuidador, guardián, vigilante, depositario”.</w:t>
      </w:r>
      <w:r w:rsidR="00B834A4" w:rsidRPr="000D5434">
        <w:rPr>
          <w:szCs w:val="22"/>
          <w:lang w:val="es-ES"/>
        </w:rPr>
        <w:t xml:space="preserve"> </w:t>
      </w:r>
      <w:r w:rsidRPr="000D5434">
        <w:rPr>
          <w:szCs w:val="22"/>
          <w:lang w:val="es-ES"/>
        </w:rPr>
        <w:t xml:space="preserve">A su vez, en el </w:t>
      </w:r>
      <w:r w:rsidRPr="000D5434">
        <w:rPr>
          <w:iCs/>
          <w:szCs w:val="22"/>
          <w:lang w:val="es-ES"/>
        </w:rPr>
        <w:t>Diccionario de la lengua española</w:t>
      </w:r>
      <w:r w:rsidRPr="000D5434">
        <w:rPr>
          <w:szCs w:val="22"/>
          <w:lang w:val="es-ES"/>
        </w:rPr>
        <w:t xml:space="preserve"> de la Real Academia Española se define “custodio” como “encargado de custodiar”, y el verbo “custodiar” como “guardar con cuidado y vigilancia”.</w:t>
      </w:r>
      <w:r w:rsidR="00B834A4" w:rsidRPr="000D5434">
        <w:rPr>
          <w:szCs w:val="22"/>
          <w:lang w:val="es-ES"/>
        </w:rPr>
        <w:t xml:space="preserve"> </w:t>
      </w:r>
      <w:r w:rsidRPr="000D5434">
        <w:rPr>
          <w:szCs w:val="22"/>
          <w:lang w:val="es-ES"/>
        </w:rPr>
        <w:t>Cabanellas precisa “que es también la guarda o tenencia de cosa ajena que se administra o conserva con cuidado hasta su entrega al legítimo dueño”.</w:t>
      </w:r>
      <w:r w:rsidR="00B834A4" w:rsidRPr="000D5434">
        <w:rPr>
          <w:szCs w:val="22"/>
          <w:lang w:val="es-ES"/>
        </w:rPr>
        <w:t xml:space="preserve"> </w:t>
      </w:r>
      <w:r w:rsidRPr="000D5434">
        <w:rPr>
          <w:szCs w:val="22"/>
          <w:lang w:val="es-ES"/>
        </w:rPr>
        <w:t>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w:t>
      </w:r>
      <w:r w:rsidR="00B834A4" w:rsidRPr="000D5434">
        <w:rPr>
          <w:szCs w:val="22"/>
          <w:lang w:val="es-ES"/>
        </w:rPr>
        <w:t xml:space="preserve"> </w:t>
      </w:r>
      <w:r w:rsidRPr="000D5434">
        <w:rPr>
          <w:szCs w:val="22"/>
          <w:lang w:val="es-ES"/>
        </w:rPr>
        <w:t>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0D5434">
        <w:rPr>
          <w:szCs w:val="22"/>
          <w:lang w:val="es-ES"/>
        </w:rPr>
        <w:t>.</w:t>
      </w:r>
      <w:bookmarkEnd w:id="7"/>
    </w:p>
    <w:p w:rsidR="00C0409B" w:rsidRPr="000D5434" w:rsidRDefault="00C0409B" w:rsidP="00103D66">
      <w:pPr>
        <w:pStyle w:val="ONUMFS"/>
        <w:numPr>
          <w:ilvl w:val="0"/>
          <w:numId w:val="0"/>
        </w:numPr>
        <w:rPr>
          <w:b/>
          <w:bCs/>
          <w:szCs w:val="22"/>
          <w:lang w:val="es-ES"/>
        </w:rPr>
      </w:pPr>
      <w:r w:rsidRPr="000D5434">
        <w:rPr>
          <w:b/>
          <w:bCs/>
          <w:szCs w:val="22"/>
          <w:lang w:val="es-ES"/>
        </w:rPr>
        <w:t>Contexto consuetudinario</w:t>
      </w:r>
    </w:p>
    <w:p w:rsidR="00C0409B" w:rsidRPr="000D5434" w:rsidRDefault="00C0409B" w:rsidP="00103D66">
      <w:pPr>
        <w:pStyle w:val="ONUMFS"/>
        <w:numPr>
          <w:ilvl w:val="0"/>
          <w:numId w:val="0"/>
        </w:numPr>
        <w:rPr>
          <w:szCs w:val="22"/>
          <w:lang w:val="es-ES"/>
        </w:rPr>
      </w:pPr>
      <w:r w:rsidRPr="000D5434">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0D5434">
        <w:rPr>
          <w:rStyle w:val="FootnoteReference"/>
          <w:szCs w:val="22"/>
          <w:lang w:val="es-ES"/>
        </w:rPr>
        <w:footnoteReference w:id="30"/>
      </w:r>
    </w:p>
    <w:p w:rsidR="00C0409B" w:rsidRPr="000D5434" w:rsidRDefault="00C0409B" w:rsidP="00103D66">
      <w:pPr>
        <w:pStyle w:val="ONUMFS"/>
        <w:numPr>
          <w:ilvl w:val="0"/>
          <w:numId w:val="0"/>
        </w:numPr>
        <w:rPr>
          <w:b/>
          <w:bCs/>
          <w:szCs w:val="22"/>
          <w:lang w:val="es-ES"/>
        </w:rPr>
      </w:pPr>
      <w:r w:rsidRPr="000D5434">
        <w:rPr>
          <w:b/>
          <w:bCs/>
          <w:szCs w:val="22"/>
          <w:lang w:val="es-ES"/>
        </w:rPr>
        <w:t>Derecho y protocolos consuetudinarios</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Derecho consuetudinario como “el que nace de la costumbre;</w:t>
      </w:r>
      <w:r w:rsidR="00B834A4" w:rsidRPr="000D5434">
        <w:rPr>
          <w:szCs w:val="22"/>
          <w:lang w:val="es-ES"/>
        </w:rPr>
        <w:t xml:space="preserve"> </w:t>
      </w:r>
      <w:r w:rsidRPr="000D5434">
        <w:rPr>
          <w:szCs w:val="22"/>
          <w:lang w:val="es-ES"/>
        </w:rPr>
        <w:t>el Derecho no escrito.</w:t>
      </w:r>
      <w:r w:rsidR="00B834A4" w:rsidRPr="000D5434">
        <w:rPr>
          <w:szCs w:val="22"/>
          <w:lang w:val="es-ES"/>
        </w:rPr>
        <w:t xml:space="preserve"> </w:t>
      </w:r>
      <w:r w:rsidRPr="000D5434">
        <w:rPr>
          <w:szCs w:val="22"/>
          <w:lang w:val="es-ES"/>
        </w:rPr>
        <w:t>En los pueblos primitivos, en un estadio preliminar de la cultura jurídica, este Derecho es el primero y exclusivo durante mucho tiempo”.</w:t>
      </w:r>
      <w:r w:rsidR="00B834A4" w:rsidRPr="000D5434">
        <w:rPr>
          <w:szCs w:val="22"/>
          <w:lang w:val="es-ES"/>
        </w:rPr>
        <w:t xml:space="preserve"> </w:t>
      </w:r>
      <w:r w:rsidRPr="000D5434">
        <w:rPr>
          <w:szCs w:val="22"/>
          <w:lang w:val="es-ES"/>
        </w:rPr>
        <w:t>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0D5434">
        <w:rPr>
          <w:rStyle w:val="FootnoteReference"/>
          <w:szCs w:val="22"/>
          <w:lang w:val="es-ES"/>
        </w:rPr>
        <w:footnoteReference w:id="31"/>
      </w:r>
      <w:r w:rsidR="00B834A4" w:rsidRPr="000D5434">
        <w:rPr>
          <w:szCs w:val="22"/>
          <w:lang w:val="es-ES"/>
        </w:rPr>
        <w:t xml:space="preserve"> </w:t>
      </w:r>
      <w:r w:rsidRPr="000D5434">
        <w:rPr>
          <w:szCs w:val="22"/>
          <w:lang w:val="es-ES"/>
        </w:rPr>
        <w:t>La forma en que están plasmadas las leyes consuetudinarias difiere de un caso a otro.</w:t>
      </w:r>
      <w:r w:rsidR="00B834A4" w:rsidRPr="000D5434">
        <w:rPr>
          <w:szCs w:val="22"/>
          <w:lang w:val="es-ES"/>
        </w:rPr>
        <w:t xml:space="preserve"> </w:t>
      </w:r>
      <w:r w:rsidRPr="000D5434">
        <w:rPr>
          <w:szCs w:val="22"/>
          <w:lang w:val="es-ES"/>
        </w:rPr>
        <w:t>Por ejemplo, dichas leyes pueden estar codificadas, escritas o ser orales, y estar formuladas explícitamente o aplicadas en prácticas tradicionales.</w:t>
      </w:r>
      <w:r w:rsidR="00B834A4" w:rsidRPr="000D5434">
        <w:rPr>
          <w:szCs w:val="22"/>
          <w:lang w:val="es-ES"/>
        </w:rPr>
        <w:t xml:space="preserve"> </w:t>
      </w:r>
      <w:r w:rsidRPr="000D5434">
        <w:rPr>
          <w:szCs w:val="22"/>
          <w:lang w:val="es-ES"/>
        </w:rPr>
        <w:t>Otro elemento importante es determinar en qué medida esas leyes son realmente objeto de reconocimiento “oficial” o están vinculadas al sistema jurídico nacional del país en el que reside la comunidad.</w:t>
      </w:r>
      <w:r w:rsidR="00B834A4" w:rsidRPr="000D5434">
        <w:rPr>
          <w:szCs w:val="22"/>
          <w:lang w:val="es-ES"/>
        </w:rPr>
        <w:t xml:space="preserve"> </w:t>
      </w:r>
      <w:r w:rsidRPr="000D5434">
        <w:rPr>
          <w:szCs w:val="22"/>
          <w:lang w:val="es-ES"/>
        </w:rPr>
        <w:t>Un factor decisivo a la hora de determinar si las costumbres gozan de la condición de ley es saber si la comunidad las concibe en tanto que normas con efecto vinculante o si se trata únicamente de una forma de describir prácticas concretas.</w:t>
      </w:r>
    </w:p>
    <w:p w:rsidR="00C0409B" w:rsidRPr="000D5434" w:rsidRDefault="00C0409B" w:rsidP="00E1039C">
      <w:pPr>
        <w:pStyle w:val="ONUMFS"/>
        <w:numPr>
          <w:ilvl w:val="0"/>
          <w:numId w:val="0"/>
        </w:numPr>
        <w:rPr>
          <w:szCs w:val="22"/>
          <w:lang w:val="es-ES"/>
        </w:rPr>
      </w:pPr>
      <w:r w:rsidRPr="000D5434">
        <w:rPr>
          <w:szCs w:val="22"/>
          <w:lang w:val="es-ES"/>
        </w:rPr>
        <w:t>Las normas del Derecho consuetudinario rigen numerosos aspectos de la vida de la comunidad.</w:t>
      </w:r>
      <w:r w:rsidR="00B834A4" w:rsidRPr="000D5434">
        <w:rPr>
          <w:szCs w:val="22"/>
          <w:lang w:val="es-ES"/>
        </w:rPr>
        <w:t xml:space="preserve"> </w:t>
      </w:r>
      <w:r w:rsidRPr="000D5434">
        <w:rPr>
          <w:szCs w:val="22"/>
          <w:lang w:val="es-ES"/>
        </w:rPr>
        <w:t>Fijan los derechos y las obligaciones de los miembros de las comunidades en lo tocante a aspectos importantes de su vida, su cultura y su visión del mundo:</w:t>
      </w:r>
      <w:r w:rsidR="00B834A4" w:rsidRPr="000D5434">
        <w:rPr>
          <w:szCs w:val="22"/>
          <w:lang w:val="es-ES"/>
        </w:rPr>
        <w:t xml:space="preserve"> </w:t>
      </w:r>
      <w:r w:rsidRPr="000D5434">
        <w:rPr>
          <w:szCs w:val="22"/>
          <w:lang w:val="es-ES"/>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0D5434">
        <w:rPr>
          <w:rStyle w:val="FootnoteReference"/>
          <w:szCs w:val="22"/>
          <w:lang w:val="es-ES"/>
        </w:rPr>
        <w:footnoteReference w:id="32"/>
      </w:r>
      <w:r w:rsidR="00B834A4" w:rsidRPr="000D5434">
        <w:rPr>
          <w:szCs w:val="22"/>
          <w:lang w:val="es-ES"/>
        </w:rPr>
        <w:t xml:space="preserve"> </w:t>
      </w:r>
      <w:r w:rsidRPr="000D5434">
        <w:rPr>
          <w:szCs w:val="22"/>
          <w:lang w:val="es-ES"/>
        </w:rPr>
        <w:t>Se ha sostenido que el “Derecho consuetudinario está constituido por las costumbres indígenas de las comunidades tradicionales, y la infracción de las normas acarrea sanciones locales.</w:t>
      </w:r>
      <w:r w:rsidR="00B834A4" w:rsidRPr="000D5434">
        <w:rPr>
          <w:szCs w:val="22"/>
          <w:lang w:val="es-ES"/>
        </w:rPr>
        <w:t xml:space="preserve"> </w:t>
      </w:r>
      <w:r w:rsidRPr="000D5434">
        <w:rPr>
          <w:szCs w:val="22"/>
          <w:lang w:val="es-ES"/>
        </w:rPr>
        <w:t>La mayoría de las normas no están recogidas por escrito y no hay uniformidad en las leyes tradicionales entre los diferentes grupos étnicos.</w:t>
      </w:r>
      <w:r w:rsidR="00B834A4" w:rsidRPr="000D5434">
        <w:rPr>
          <w:szCs w:val="22"/>
          <w:lang w:val="es-ES"/>
        </w:rPr>
        <w:t xml:space="preserve"> </w:t>
      </w:r>
      <w:r w:rsidRPr="000D5434">
        <w:rPr>
          <w:szCs w:val="22"/>
          <w:lang w:val="es-ES"/>
        </w:rPr>
        <w:t>Las diferencias de las leyes tradicionales entre grupos étnicos se pueden vincular a factores como la lengua, la proximidad, el origen, la historia, la estructura social y la economía.</w:t>
      </w:r>
      <w:r w:rsidR="00B834A4" w:rsidRPr="000D5434">
        <w:rPr>
          <w:szCs w:val="22"/>
          <w:lang w:val="es-ES"/>
        </w:rPr>
        <w:t xml:space="preserve"> </w:t>
      </w:r>
      <w:r w:rsidRPr="000D5434">
        <w:rPr>
          <w:szCs w:val="22"/>
          <w:lang w:val="es-ES"/>
        </w:rPr>
        <w:t>El Derecho consuetudinario no es estático.</w:t>
      </w:r>
      <w:r w:rsidR="00B834A4" w:rsidRPr="000D5434">
        <w:rPr>
          <w:szCs w:val="22"/>
          <w:lang w:val="es-ES"/>
        </w:rPr>
        <w:t xml:space="preserve"> </w:t>
      </w:r>
      <w:r w:rsidRPr="000D5434">
        <w:rPr>
          <w:szCs w:val="22"/>
          <w:lang w:val="es-ES"/>
        </w:rPr>
        <w:t>Es dinámico y sus reglas se modifican de vez en cuando para reflejar las cambiantes condiciones sociales y económicas.</w:t>
      </w:r>
      <w:r w:rsidRPr="000D5434">
        <w:rPr>
          <w:rStyle w:val="FootnoteReference"/>
          <w:szCs w:val="22"/>
          <w:lang w:val="es-ES"/>
        </w:rPr>
        <w:footnoteReference w:id="33"/>
      </w:r>
    </w:p>
    <w:p w:rsidR="00C0409B" w:rsidRPr="000D5434" w:rsidRDefault="00C0409B" w:rsidP="00103D66">
      <w:pPr>
        <w:pStyle w:val="ONUMFS"/>
        <w:numPr>
          <w:ilvl w:val="0"/>
          <w:numId w:val="0"/>
        </w:numPr>
        <w:rPr>
          <w:szCs w:val="22"/>
          <w:lang w:val="es-ES"/>
        </w:rPr>
      </w:pPr>
      <w:r w:rsidRPr="000D5434">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0D5434" w:rsidRDefault="00C0409B" w:rsidP="00103D66">
      <w:pPr>
        <w:pStyle w:val="ONUMFS"/>
        <w:numPr>
          <w:ilvl w:val="0"/>
          <w:numId w:val="0"/>
        </w:numPr>
        <w:rPr>
          <w:b/>
          <w:bCs/>
          <w:szCs w:val="22"/>
          <w:lang w:val="es-ES"/>
        </w:rPr>
      </w:pPr>
      <w:r w:rsidRPr="000D5434">
        <w:rPr>
          <w:b/>
          <w:bCs/>
          <w:szCs w:val="22"/>
          <w:lang w:val="es-ES"/>
        </w:rPr>
        <w:t>Prácticas consuetudinarias</w:t>
      </w:r>
    </w:p>
    <w:p w:rsidR="00C0409B" w:rsidRPr="000D5434" w:rsidRDefault="00C0409B" w:rsidP="00103D66">
      <w:pPr>
        <w:pStyle w:val="ONUMFS"/>
        <w:numPr>
          <w:ilvl w:val="0"/>
          <w:numId w:val="0"/>
        </w:numPr>
        <w:rPr>
          <w:szCs w:val="22"/>
          <w:lang w:val="es-ES"/>
        </w:rPr>
      </w:pPr>
      <w:r w:rsidRPr="000D5434">
        <w:rPr>
          <w:szCs w:val="22"/>
          <w:lang w:val="es-ES"/>
        </w:rPr>
        <w:t>Las prácticas consuetudinarias son los actos y usos destinados a regir u orientar muchos aspectos de la vida de la comunidad.</w:t>
      </w:r>
      <w:r w:rsidR="00B834A4" w:rsidRPr="000D5434">
        <w:rPr>
          <w:szCs w:val="22"/>
          <w:lang w:val="es-ES"/>
        </w:rPr>
        <w:t xml:space="preserve"> </w:t>
      </w:r>
      <w:r w:rsidRPr="000D5434">
        <w:rPr>
          <w:szCs w:val="22"/>
          <w:lang w:val="es-ES"/>
        </w:rPr>
        <w:t>Tales prácticas pueden estar hasta tal punto arraigadas en el seno de la comunidad y de su forma de vida y de trabajo que no se perciban como autónomas, es decir como “leyes” codificadas.</w:t>
      </w:r>
      <w:r w:rsidRPr="000D5434">
        <w:rPr>
          <w:rStyle w:val="FootnoteReference"/>
          <w:szCs w:val="22"/>
          <w:lang w:val="es-ES"/>
        </w:rPr>
        <w:footnoteReference w:id="34"/>
      </w:r>
    </w:p>
    <w:p w:rsidR="00C0409B" w:rsidRPr="000D5434" w:rsidRDefault="00C0409B" w:rsidP="00103D66">
      <w:pPr>
        <w:pStyle w:val="ONUMFS"/>
        <w:numPr>
          <w:ilvl w:val="0"/>
          <w:numId w:val="0"/>
        </w:numPr>
        <w:rPr>
          <w:b/>
          <w:bCs/>
          <w:szCs w:val="22"/>
          <w:lang w:val="es-ES"/>
        </w:rPr>
      </w:pPr>
      <w:r w:rsidRPr="000D5434">
        <w:rPr>
          <w:b/>
          <w:bCs/>
          <w:szCs w:val="22"/>
          <w:lang w:val="es-ES"/>
        </w:rPr>
        <w:t>Base de datos de los acuerdos de acceso y de participación en los beneficios relacionados con la biodiversidad</w:t>
      </w:r>
    </w:p>
    <w:p w:rsidR="00C0409B" w:rsidRPr="000D5434" w:rsidRDefault="00C0409B" w:rsidP="00103D66">
      <w:pPr>
        <w:pStyle w:val="ONUMFS"/>
        <w:numPr>
          <w:ilvl w:val="0"/>
          <w:numId w:val="0"/>
        </w:numPr>
        <w:rPr>
          <w:szCs w:val="22"/>
          <w:lang w:val="es-ES"/>
        </w:rPr>
      </w:pPr>
      <w:r w:rsidRPr="000D5434">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0D5434">
        <w:rPr>
          <w:rStyle w:val="FootnoteReference"/>
          <w:szCs w:val="22"/>
          <w:lang w:val="es-ES"/>
        </w:rPr>
        <w:footnoteReference w:id="35"/>
      </w:r>
      <w:r w:rsidR="00B834A4" w:rsidRPr="000D5434">
        <w:rPr>
          <w:szCs w:val="22"/>
          <w:vertAlign w:val="superscript"/>
          <w:lang w:val="es-ES"/>
        </w:rPr>
        <w:t xml:space="preserve"> </w:t>
      </w:r>
      <w:r w:rsidRPr="000D5434">
        <w:rPr>
          <w:szCs w:val="22"/>
          <w:lang w:val="es-ES"/>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w:t>
      </w:r>
      <w:r w:rsidR="00B834A4" w:rsidRPr="000D5434">
        <w:rPr>
          <w:szCs w:val="22"/>
          <w:lang w:val="es-ES"/>
        </w:rPr>
        <w:t xml:space="preserve"> </w:t>
      </w:r>
      <w:r w:rsidRPr="000D5434">
        <w:rPr>
          <w:szCs w:val="22"/>
          <w:lang w:val="es-ES"/>
        </w:rPr>
        <w:t>en tanto que base empírica, tiene por objeto contribuir a la elaboración, por parte de la OMPI, de directrices de P.I. sobre acceso a los recursos genéticos y participación en los beneficios que se derivan de su utilización.</w:t>
      </w:r>
      <w:r w:rsidRPr="000D5434">
        <w:rPr>
          <w:rStyle w:val="FootnoteReference"/>
          <w:szCs w:val="22"/>
          <w:lang w:val="es-ES"/>
        </w:rPr>
        <w:footnoteReference w:id="36"/>
      </w:r>
    </w:p>
    <w:p w:rsidR="00C0409B" w:rsidRPr="000D5434" w:rsidRDefault="00C0409B" w:rsidP="00103D66">
      <w:pPr>
        <w:pStyle w:val="ONUMFS"/>
        <w:numPr>
          <w:ilvl w:val="0"/>
          <w:numId w:val="0"/>
        </w:numPr>
        <w:rPr>
          <w:b/>
          <w:bCs/>
          <w:szCs w:val="22"/>
          <w:lang w:val="es-ES"/>
        </w:rPr>
      </w:pPr>
      <w:r w:rsidRPr="000D5434">
        <w:rPr>
          <w:b/>
          <w:bCs/>
          <w:szCs w:val="22"/>
          <w:lang w:val="es-ES"/>
        </w:rPr>
        <w:t>Derivado</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2.e)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establece la siguiente definición:</w:t>
      </w:r>
      <w:r w:rsidR="00B834A4" w:rsidRPr="000D5434">
        <w:rPr>
          <w:szCs w:val="22"/>
          <w:lang w:val="es-ES"/>
        </w:rPr>
        <w:t xml:space="preserve"> </w:t>
      </w:r>
      <w:r w:rsidRPr="000D5434">
        <w:rPr>
          <w:szCs w:val="22"/>
          <w:lang w:val="es-ES"/>
        </w:rPr>
        <w:t>“compuesto bioquímico que existe naturalmente producido por la expresión genética o el metabolismo de los recursos biológicos o genéticos, incluso aunque no contenga unidades funcionales de la herencia”.</w:t>
      </w:r>
    </w:p>
    <w:p w:rsidR="00C0409B" w:rsidRPr="000D5434" w:rsidRDefault="00C0409B" w:rsidP="00103D66">
      <w:pPr>
        <w:pStyle w:val="ONUMFS"/>
        <w:numPr>
          <w:ilvl w:val="0"/>
          <w:numId w:val="0"/>
        </w:numPr>
        <w:rPr>
          <w:b/>
          <w:bCs/>
          <w:szCs w:val="22"/>
          <w:lang w:val="es-ES"/>
        </w:rPr>
      </w:pPr>
      <w:r w:rsidRPr="000D5434">
        <w:rPr>
          <w:b/>
          <w:bCs/>
          <w:szCs w:val="22"/>
          <w:lang w:val="es-ES"/>
        </w:rPr>
        <w:t>Obra derivada</w:t>
      </w:r>
    </w:p>
    <w:p w:rsidR="00C0409B" w:rsidRPr="000D5434" w:rsidRDefault="00C0409B" w:rsidP="00103D66">
      <w:pPr>
        <w:pStyle w:val="ONUMFS"/>
        <w:numPr>
          <w:ilvl w:val="0"/>
          <w:numId w:val="0"/>
        </w:numPr>
        <w:rPr>
          <w:szCs w:val="22"/>
          <w:lang w:val="es-ES"/>
        </w:rPr>
      </w:pPr>
      <w:bookmarkStart w:id="8" w:name="_Ref289432997"/>
      <w:bookmarkEnd w:id="8"/>
      <w:r w:rsidRPr="000D5434">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0D5434">
        <w:rPr>
          <w:i/>
          <w:szCs w:val="22"/>
          <w:lang w:val="es-ES"/>
        </w:rPr>
        <w:t>Convenio de Berna para la Protección de las Obras Literarias y Artísticas</w:t>
      </w:r>
      <w:r w:rsidRPr="000D5434">
        <w:rPr>
          <w:szCs w:val="22"/>
          <w:lang w:val="es-ES"/>
        </w:rPr>
        <w:t xml:space="preserve"> (1971), sin perjuicio de los derechos del autor de la obra original.</w:t>
      </w:r>
      <w:r w:rsidRPr="000D5434">
        <w:rPr>
          <w:rStyle w:val="FootnoteReference"/>
          <w:szCs w:val="22"/>
          <w:lang w:val="es-ES"/>
        </w:rPr>
        <w:footnoteReference w:id="37"/>
      </w:r>
      <w:r w:rsidR="00B834A4" w:rsidRPr="000D5434">
        <w:rPr>
          <w:szCs w:val="22"/>
          <w:lang w:val="es-ES"/>
        </w:rPr>
        <w:t xml:space="preserve"> </w:t>
      </w:r>
      <w:r w:rsidRPr="000D5434">
        <w:rPr>
          <w:szCs w:val="22"/>
          <w:lang w:val="es-ES"/>
        </w:rPr>
        <w:t xml:space="preserve">La expresión tiene también un sentido más amplio, en el que quedan comprendidas las compilaciones o las colecciones de las obras amparadas por el artículo 2.5) de ese mismo Convenio de Berna, así como por efecto del artículo 10.2 del </w:t>
      </w:r>
      <w:r w:rsidRPr="000D5434">
        <w:rPr>
          <w:i/>
          <w:szCs w:val="22"/>
          <w:lang w:val="es-ES"/>
        </w:rPr>
        <w:t>Acuerdo sobre los Aspectos de los Derechos de Propiedad Intelectual relacionados con el Comercio</w:t>
      </w:r>
      <w:r w:rsidRPr="000D5434">
        <w:rPr>
          <w:szCs w:val="22"/>
          <w:lang w:val="es-ES"/>
        </w:rPr>
        <w:t xml:space="preserve"> (1994)</w:t>
      </w:r>
      <w:r w:rsidR="00672806" w:rsidRPr="000D5434">
        <w:rPr>
          <w:szCs w:val="22"/>
          <w:lang w:val="es-ES"/>
        </w:rPr>
        <w:t xml:space="preserve"> de la OMC</w:t>
      </w:r>
      <w:r w:rsidRPr="000D5434">
        <w:rPr>
          <w:szCs w:val="22"/>
          <w:lang w:val="es-ES"/>
        </w:rPr>
        <w:t xml:space="preserve"> (Acuerdo sobre los ADPIC) y del artículo 5 del </w:t>
      </w:r>
      <w:r w:rsidRPr="000D5434">
        <w:rPr>
          <w:i/>
          <w:szCs w:val="22"/>
          <w:lang w:val="es-ES"/>
        </w:rPr>
        <w:t>Tratado de la OMPI sobre Derecho de Autor</w:t>
      </w:r>
      <w:r w:rsidRPr="000D5434">
        <w:rPr>
          <w:szCs w:val="22"/>
          <w:lang w:val="es-ES"/>
        </w:rPr>
        <w:t xml:space="preserve"> (1996) (WCT).</w:t>
      </w:r>
      <w:r w:rsidRPr="000D5434">
        <w:rPr>
          <w:rStyle w:val="FootnoteReference"/>
          <w:szCs w:val="22"/>
          <w:lang w:val="es-ES"/>
        </w:rPr>
        <w:footnoteReference w:id="38"/>
      </w:r>
    </w:p>
    <w:p w:rsidR="00C0409B" w:rsidRPr="000D5434" w:rsidRDefault="00C0409B" w:rsidP="00103D66">
      <w:pPr>
        <w:pStyle w:val="ONUMFS"/>
        <w:numPr>
          <w:ilvl w:val="0"/>
          <w:numId w:val="0"/>
        </w:numPr>
        <w:rPr>
          <w:szCs w:val="22"/>
          <w:lang w:val="es-ES"/>
        </w:rPr>
      </w:pPr>
      <w:r w:rsidRPr="000D5434">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0D5434">
        <w:rPr>
          <w:rStyle w:val="FootnoteReference"/>
          <w:szCs w:val="22"/>
          <w:lang w:val="es-ES"/>
        </w:rPr>
        <w:footnoteReference w:id="39"/>
      </w:r>
      <w:r w:rsidR="00B834A4" w:rsidRPr="000D5434">
        <w:rPr>
          <w:szCs w:val="22"/>
          <w:lang w:val="es-ES"/>
        </w:rPr>
        <w:t xml:space="preserve"> </w:t>
      </w:r>
      <w:r w:rsidRPr="000D5434">
        <w:rPr>
          <w:szCs w:val="22"/>
          <w:lang w:val="es-ES"/>
        </w:rPr>
        <w:t xml:space="preserve">El </w:t>
      </w:r>
      <w:r w:rsidRPr="000D5434">
        <w:rPr>
          <w:i/>
          <w:szCs w:val="22"/>
          <w:lang w:val="es-ES"/>
        </w:rPr>
        <w:t>Convenio de Berna</w:t>
      </w:r>
      <w:r w:rsidRPr="000D5434">
        <w:rPr>
          <w:szCs w:val="22"/>
          <w:lang w:val="es-ES"/>
        </w:rPr>
        <w:t xml:space="preserve"> otorga a las obras que son fruto de labores de compilación o de colección idéntica protección que a las demás obras derivadas.</w:t>
      </w:r>
      <w:r w:rsidRPr="000D5434">
        <w:rPr>
          <w:rStyle w:val="FootnoteReference"/>
          <w:szCs w:val="22"/>
          <w:lang w:val="es-ES"/>
        </w:rPr>
        <w:footnoteReference w:id="40"/>
      </w:r>
    </w:p>
    <w:p w:rsidR="00C0409B" w:rsidRPr="000D5434" w:rsidRDefault="00C0409B" w:rsidP="00103D66">
      <w:pPr>
        <w:pStyle w:val="ONUMFS"/>
        <w:numPr>
          <w:ilvl w:val="0"/>
          <w:numId w:val="0"/>
        </w:numPr>
        <w:rPr>
          <w:szCs w:val="22"/>
          <w:lang w:val="es-ES"/>
        </w:rPr>
      </w:pPr>
      <w:r w:rsidRPr="000D5434">
        <w:rPr>
          <w:szCs w:val="22"/>
          <w:lang w:val="es-ES"/>
        </w:rPr>
        <w:t>El derecho moral del autor pone límites a la creación de obras derivadas por terceros.</w:t>
      </w:r>
      <w:r w:rsidR="00B834A4" w:rsidRPr="000D5434">
        <w:rPr>
          <w:szCs w:val="22"/>
          <w:lang w:val="es-ES"/>
        </w:rPr>
        <w:t xml:space="preserve"> </w:t>
      </w:r>
      <w:r w:rsidRPr="000D5434">
        <w:rPr>
          <w:szCs w:val="22"/>
          <w:lang w:val="es-ES"/>
        </w:rPr>
        <w:t xml:space="preserve">En razón de ello, aunque por ley o con arreglo a pactos contractuales el tercero quede autorizado a modificar la obra o a hacer uso de ella para crear una obra derivada, el autor podrá oponerse al acto de deformación de la obra cuando </w:t>
      </w:r>
      <w:r w:rsidR="00D4348B">
        <w:rPr>
          <w:szCs w:val="22"/>
          <w:lang w:val="es-ES"/>
        </w:rPr>
        <w:t>este</w:t>
      </w:r>
      <w:r w:rsidRPr="000D5434">
        <w:rPr>
          <w:szCs w:val="22"/>
          <w:lang w:val="es-ES"/>
        </w:rPr>
        <w:t xml:space="preserve"> cause perjuicio a su prestigio.</w:t>
      </w:r>
    </w:p>
    <w:p w:rsidR="00C0409B" w:rsidRPr="000D5434" w:rsidRDefault="00C0409B" w:rsidP="00103D66">
      <w:pPr>
        <w:pStyle w:val="ONUMFS"/>
        <w:numPr>
          <w:ilvl w:val="0"/>
          <w:numId w:val="0"/>
        </w:numPr>
        <w:rPr>
          <w:szCs w:val="22"/>
          <w:lang w:val="es-ES"/>
        </w:rPr>
      </w:pPr>
      <w:r w:rsidRPr="000D5434">
        <w:rPr>
          <w:szCs w:val="22"/>
          <w:lang w:val="es-ES"/>
        </w:rPr>
        <w:t>En algunas legislaciones se recoge la figura de la obra derivada en el campo de las expresiones culturales tradicionales.</w:t>
      </w:r>
      <w:r w:rsidR="00B834A4" w:rsidRPr="000D5434">
        <w:rPr>
          <w:szCs w:val="22"/>
          <w:lang w:val="es-ES"/>
        </w:rPr>
        <w:t xml:space="preserve"> </w:t>
      </w:r>
      <w:r w:rsidRPr="000D5434">
        <w:rPr>
          <w:szCs w:val="22"/>
          <w:lang w:val="es-ES"/>
        </w:rPr>
        <w:t xml:space="preserve">En el </w:t>
      </w:r>
      <w:r w:rsidRPr="000D5434">
        <w:rPr>
          <w:i/>
          <w:szCs w:val="22"/>
          <w:lang w:val="es-ES"/>
        </w:rPr>
        <w:t>Marco Regional para el Pacífico relativo a la protección de los conocimientos tradicionales y las expresiones de la cultura</w:t>
      </w:r>
      <w:r w:rsidRPr="000D5434">
        <w:rPr>
          <w:szCs w:val="22"/>
          <w:lang w:val="es-ES"/>
        </w:rPr>
        <w:t xml:space="preserve"> (2002), se establece explícitamente que es </w:t>
      </w:r>
      <w:r w:rsidRPr="000D5434">
        <w:rPr>
          <w:iCs/>
          <w:szCs w:val="22"/>
          <w:lang w:val="es-ES"/>
        </w:rPr>
        <w:t xml:space="preserve">“la creación o innovación de carácter intelectual que se inspira en los conocimientos tradicionales o las expresiones de cultura o se deriva de </w:t>
      </w:r>
      <w:r w:rsidR="00D4348B">
        <w:rPr>
          <w:iCs/>
          <w:szCs w:val="22"/>
          <w:lang w:val="es-ES"/>
        </w:rPr>
        <w:t>estos</w:t>
      </w:r>
      <w:r w:rsidRPr="000D5434">
        <w:rPr>
          <w:i/>
          <w:iCs/>
          <w:szCs w:val="22"/>
          <w:lang w:val="es-ES"/>
        </w:rPr>
        <w:t>”</w:t>
      </w:r>
      <w:r w:rsidRPr="000D5434">
        <w:rPr>
          <w:iCs/>
          <w:szCs w:val="22"/>
          <w:lang w:val="es-ES"/>
        </w:rPr>
        <w:t>.</w:t>
      </w:r>
      <w:r w:rsidRPr="000D5434">
        <w:rPr>
          <w:rStyle w:val="FootnoteReference"/>
          <w:iCs/>
          <w:szCs w:val="22"/>
          <w:lang w:val="es-ES"/>
        </w:rPr>
        <w:footnoteReference w:id="41"/>
      </w:r>
    </w:p>
    <w:p w:rsidR="00C0409B" w:rsidRPr="000D5434" w:rsidRDefault="00C0409B" w:rsidP="00E1039C">
      <w:pPr>
        <w:pStyle w:val="ONUMFS"/>
        <w:numPr>
          <w:ilvl w:val="0"/>
          <w:numId w:val="0"/>
        </w:numPr>
        <w:rPr>
          <w:b/>
          <w:szCs w:val="22"/>
          <w:lang w:val="es-ES"/>
        </w:rPr>
      </w:pPr>
      <w:r w:rsidRPr="000D5434">
        <w:rPr>
          <w:b/>
          <w:szCs w:val="22"/>
          <w:lang w:val="es-ES"/>
        </w:rPr>
        <w:t>Atentado a la obra</w:t>
      </w:r>
      <w:r w:rsidR="00672806" w:rsidRPr="000D5434">
        <w:rPr>
          <w:b/>
          <w:szCs w:val="22"/>
          <w:lang w:val="es-ES"/>
        </w:rPr>
        <w:t xml:space="preserve"> (o acto lesivo)</w:t>
      </w:r>
    </w:p>
    <w:p w:rsidR="00C0409B" w:rsidRPr="000D5434" w:rsidRDefault="00C0409B" w:rsidP="00E1039C">
      <w:pPr>
        <w:pStyle w:val="ONUMFS"/>
        <w:numPr>
          <w:ilvl w:val="0"/>
          <w:numId w:val="0"/>
        </w:numPr>
        <w:rPr>
          <w:szCs w:val="22"/>
          <w:lang w:val="es-ES"/>
        </w:rPr>
      </w:pPr>
      <w:r w:rsidRPr="000D5434">
        <w:rPr>
          <w:szCs w:val="22"/>
          <w:lang w:val="es-ES"/>
        </w:rPr>
        <w:t>Con arreglo a lo que se establece 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se califica de “atentado a la obra” al acto de efectos “lesivos”, o sea, “dañosos” o “perjudiciales”, que cause perjuicio al honor o al prestigio del autor.</w:t>
      </w:r>
      <w:r w:rsidR="00B834A4" w:rsidRPr="000D5434">
        <w:rPr>
          <w:szCs w:val="22"/>
          <w:lang w:val="es-ES"/>
        </w:rPr>
        <w:t xml:space="preserve"> </w:t>
      </w:r>
      <w:r w:rsidRPr="000D5434">
        <w:rPr>
          <w:szCs w:val="22"/>
          <w:lang w:val="es-ES"/>
        </w:rPr>
        <w:t>La figura del “atentado a la obra” o “acto lesivo” comprende no sólo la modificación o alteración efectiva de la obra en sí, sino todo acto cuyos efectos recaigan sobre ella.</w:t>
      </w:r>
      <w:r w:rsidR="00B834A4" w:rsidRPr="000D5434">
        <w:rPr>
          <w:szCs w:val="22"/>
          <w:lang w:val="es-ES"/>
        </w:rPr>
        <w:t xml:space="preserve"> </w:t>
      </w:r>
      <w:r w:rsidRPr="000D5434">
        <w:rPr>
          <w:szCs w:val="22"/>
          <w:lang w:val="es-ES"/>
        </w:rPr>
        <w:t>La expresión es fruto de la Revisión de Bruselas y se recogió en el Convenio para tipificar los actos de uso de la obra que causen perjuicio al autor.</w:t>
      </w:r>
      <w:r w:rsidR="00B834A4" w:rsidRPr="000D5434">
        <w:rPr>
          <w:szCs w:val="22"/>
          <w:lang w:val="es-ES"/>
        </w:rPr>
        <w:t xml:space="preserve"> </w:t>
      </w:r>
      <w:r w:rsidRPr="000D5434">
        <w:rPr>
          <w:szCs w:val="22"/>
          <w:lang w:val="es-ES"/>
        </w:rPr>
        <w:t>Designa los supuestos en que la comunicación de la obra, por el modo en que se lleva a cabo, acarree perjuicio o menoscabo para el autor.</w:t>
      </w:r>
      <w:r w:rsidRPr="000D5434">
        <w:rPr>
          <w:rStyle w:val="FootnoteReference"/>
          <w:szCs w:val="22"/>
          <w:lang w:val="es-ES"/>
        </w:rPr>
        <w:footnoteReference w:id="42"/>
      </w:r>
    </w:p>
    <w:p w:rsidR="00C0409B" w:rsidRPr="000D5434" w:rsidRDefault="00C0409B" w:rsidP="00103D66">
      <w:pPr>
        <w:pStyle w:val="ONUMFS"/>
        <w:numPr>
          <w:ilvl w:val="0"/>
          <w:numId w:val="0"/>
        </w:numPr>
        <w:rPr>
          <w:b/>
          <w:szCs w:val="22"/>
          <w:lang w:val="es-ES"/>
        </w:rPr>
      </w:pPr>
      <w:r w:rsidRPr="000D5434">
        <w:rPr>
          <w:b/>
          <w:szCs w:val="22"/>
          <w:lang w:val="es-ES"/>
        </w:rPr>
        <w:t>Conocimientos tradicionales divulgados</w:t>
      </w:r>
    </w:p>
    <w:p w:rsidR="00C0409B" w:rsidRPr="000D5434" w:rsidRDefault="00C0409B" w:rsidP="00103D66">
      <w:pPr>
        <w:pStyle w:val="ONUMFS"/>
        <w:numPr>
          <w:ilvl w:val="0"/>
          <w:numId w:val="0"/>
        </w:numPr>
        <w:rPr>
          <w:szCs w:val="22"/>
          <w:lang w:val="es-ES"/>
        </w:rPr>
      </w:pPr>
      <w:r w:rsidRPr="000D5434">
        <w:rPr>
          <w:szCs w:val="22"/>
          <w:lang w:val="es-ES"/>
        </w:rPr>
        <w:t>Por “conocimientos tradicionales divulgados” se entiende “los conocimientos tradicionales</w:t>
      </w:r>
      <w:r w:rsidRPr="000D5434">
        <w:rPr>
          <w:i/>
          <w:iCs/>
          <w:szCs w:val="22"/>
          <w:lang w:val="es-ES"/>
        </w:rPr>
        <w:t xml:space="preserve"> </w:t>
      </w:r>
      <w:r w:rsidRPr="000D5434">
        <w:rPr>
          <w:iCs/>
          <w:szCs w:val="22"/>
          <w:lang w:val="es-ES"/>
        </w:rPr>
        <w:t>[que son accesibles a las personas que no son miembros de la comunidad indígena o local a la que se considera “poseedora” de los [conocimientos tradicionales].</w:t>
      </w:r>
      <w:r w:rsidR="00B834A4" w:rsidRPr="000D5434">
        <w:rPr>
          <w:iCs/>
          <w:szCs w:val="22"/>
          <w:lang w:val="es-ES"/>
        </w:rPr>
        <w:t xml:space="preserve"> </w:t>
      </w:r>
      <w:r w:rsidRPr="000D5434">
        <w:rPr>
          <w:iCs/>
          <w:szCs w:val="22"/>
          <w:lang w:val="es-ES"/>
        </w:rPr>
        <w:t>Esos [conocimientos tradicionales] pueden ser objeto de fácil acceso tras su catalogación en medios tangibles, por Internet o mediante otros tipos de telecomunicación o registro.</w:t>
      </w:r>
      <w:r w:rsidR="00B834A4" w:rsidRPr="000D5434">
        <w:rPr>
          <w:iCs/>
          <w:szCs w:val="22"/>
          <w:lang w:val="es-ES"/>
        </w:rPr>
        <w:t xml:space="preserve"> </w:t>
      </w:r>
      <w:r w:rsidRPr="000D5434">
        <w:rPr>
          <w:iCs/>
          <w:szCs w:val="22"/>
          <w:lang w:val="es-ES"/>
        </w:rPr>
        <w:t>Los [conocimientos tradicionales] pueden divulgarse a terceros o a personas que no sean miembros de las comunidades indígenas y locales en las que se originaron los [conocimientos tradicionales], con o sin autorización de las comunidades indígenas y locales.</w:t>
      </w:r>
      <w:r w:rsidRPr="000D5434">
        <w:rPr>
          <w:szCs w:val="22"/>
          <w:lang w:val="es-ES"/>
        </w:rPr>
        <w:t>”</w:t>
      </w:r>
      <w:r w:rsidRPr="000D5434">
        <w:rPr>
          <w:rStyle w:val="FootnoteReference"/>
          <w:szCs w:val="22"/>
          <w:lang w:val="es-ES"/>
        </w:rPr>
        <w:footnoteReference w:id="43"/>
      </w:r>
    </w:p>
    <w:p w:rsidR="00C0409B" w:rsidRPr="000D5434" w:rsidRDefault="00C0409B" w:rsidP="00103D66">
      <w:pPr>
        <w:pStyle w:val="ONUMFS"/>
        <w:numPr>
          <w:ilvl w:val="0"/>
          <w:numId w:val="0"/>
        </w:numPr>
        <w:rPr>
          <w:szCs w:val="22"/>
          <w:lang w:val="es-ES"/>
        </w:rPr>
      </w:pPr>
      <w:r w:rsidRPr="000D5434">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0D5434" w:rsidRDefault="00C0409B" w:rsidP="00E1039C">
      <w:pPr>
        <w:pStyle w:val="ONUMFS"/>
        <w:numPr>
          <w:ilvl w:val="0"/>
          <w:numId w:val="0"/>
        </w:numPr>
        <w:rPr>
          <w:b/>
          <w:szCs w:val="22"/>
          <w:lang w:val="es-ES"/>
        </w:rPr>
      </w:pPr>
      <w:r w:rsidRPr="000D5434">
        <w:rPr>
          <w:b/>
          <w:szCs w:val="22"/>
          <w:lang w:val="es-ES"/>
        </w:rPr>
        <w:t>Divulgación</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“divulgar” es </w:t>
      </w:r>
      <w:r w:rsidRPr="000D5434">
        <w:rPr>
          <w:iCs/>
          <w:szCs w:val="22"/>
          <w:lang w:val="es-ES"/>
        </w:rPr>
        <w:t>“publicar, extender, poner al alcance del público algo”</w:t>
      </w:r>
      <w:r w:rsidRPr="000D5434">
        <w:rPr>
          <w:szCs w:val="22"/>
          <w:lang w:val="es-ES"/>
        </w:rPr>
        <w:t>.</w:t>
      </w:r>
      <w:r w:rsidR="00B834A4" w:rsidRPr="000D5434">
        <w:rPr>
          <w:szCs w:val="22"/>
          <w:lang w:val="es-ES"/>
        </w:rPr>
        <w:t xml:space="preserve"> </w:t>
      </w:r>
      <w:r w:rsidRPr="000D5434">
        <w:rPr>
          <w:szCs w:val="22"/>
          <w:lang w:val="es-ES"/>
        </w:rPr>
        <w:t>En la rama del derecho de autor, “divulgar” consiste en hacer que una obra sea accesible al público por primera vez.</w:t>
      </w:r>
      <w:r w:rsidR="00B834A4" w:rsidRPr="000D5434">
        <w:rPr>
          <w:szCs w:val="22"/>
          <w:lang w:val="es-ES"/>
        </w:rPr>
        <w:t xml:space="preserve"> </w:t>
      </w:r>
      <w:r w:rsidRPr="000D5434">
        <w:rPr>
          <w:szCs w:val="22"/>
          <w:lang w:val="es-ES"/>
        </w:rPr>
        <w:t>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0D5434">
        <w:rPr>
          <w:rStyle w:val="FootnoteReference"/>
          <w:szCs w:val="22"/>
          <w:lang w:val="es-ES"/>
        </w:rPr>
        <w:footnoteReference w:id="44"/>
      </w:r>
      <w:r w:rsidR="00B834A4" w:rsidRPr="000D5434">
        <w:rPr>
          <w:szCs w:val="22"/>
          <w:lang w:val="es-ES"/>
        </w:rPr>
        <w:t xml:space="preserve"> </w:t>
      </w:r>
      <w:r w:rsidRPr="000D5434">
        <w:rPr>
          <w:szCs w:val="22"/>
          <w:lang w:val="es-ES"/>
        </w:rPr>
        <w:t>El reconocimiento de este derecho no es obligatorio en virtud de las normas internacionales de derecho autor.</w:t>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habla de la obra divulgada en el capítulo referido a las excepciones.</w:t>
      </w:r>
      <w:r w:rsidR="00B834A4" w:rsidRPr="000D5434">
        <w:rPr>
          <w:szCs w:val="22"/>
          <w:lang w:val="es-ES"/>
        </w:rPr>
        <w:t xml:space="preserve"> </w:t>
      </w:r>
      <w:r w:rsidRPr="000D5434">
        <w:rPr>
          <w:szCs w:val="22"/>
          <w:lang w:val="es-ES"/>
        </w:rPr>
        <w:t>El autor posee el derecho a divulgar la obra a todo el mundo.</w:t>
      </w:r>
      <w:r w:rsidRPr="000D5434">
        <w:rPr>
          <w:rStyle w:val="FootnoteReference"/>
          <w:szCs w:val="22"/>
          <w:lang w:val="es-ES"/>
        </w:rPr>
        <w:footnoteReference w:id="45"/>
      </w:r>
      <w:r w:rsidR="00B834A4" w:rsidRPr="000D5434">
        <w:rPr>
          <w:szCs w:val="22"/>
          <w:lang w:val="es-ES"/>
        </w:rPr>
        <w:t xml:space="preserve"> </w:t>
      </w:r>
      <w:r w:rsidRPr="000D5434">
        <w:rPr>
          <w:szCs w:val="22"/>
          <w:lang w:val="es-ES"/>
        </w:rPr>
        <w:t>En virtud de determinadas legislaciones nacionales, el “derecho de divulgación” constituye un derecho moral.</w:t>
      </w:r>
    </w:p>
    <w:p w:rsidR="00C0409B" w:rsidRPr="000D5434" w:rsidRDefault="00C0409B" w:rsidP="00103D66">
      <w:pPr>
        <w:pStyle w:val="ONUMFS"/>
        <w:numPr>
          <w:ilvl w:val="0"/>
          <w:numId w:val="0"/>
        </w:numPr>
        <w:rPr>
          <w:b/>
          <w:szCs w:val="22"/>
          <w:lang w:val="es-ES"/>
        </w:rPr>
      </w:pPr>
      <w:r w:rsidRPr="000D5434">
        <w:rPr>
          <w:b/>
          <w:szCs w:val="22"/>
          <w:lang w:val="es-ES"/>
        </w:rPr>
        <w:t>Requisitos de divulgación</w:t>
      </w:r>
    </w:p>
    <w:p w:rsidR="00C0409B" w:rsidRPr="000D5434" w:rsidRDefault="00C0409B" w:rsidP="00103D66">
      <w:pPr>
        <w:pStyle w:val="ONUMFS"/>
        <w:numPr>
          <w:ilvl w:val="0"/>
          <w:numId w:val="0"/>
        </w:numPr>
        <w:rPr>
          <w:szCs w:val="22"/>
          <w:lang w:val="es-ES"/>
        </w:rPr>
      </w:pPr>
      <w:r w:rsidRPr="000D5434">
        <w:rPr>
          <w:szCs w:val="22"/>
          <w:lang w:val="es-ES"/>
        </w:rPr>
        <w:t>La divulgación forma parte de la base fundamental del Derecho de patentes.</w:t>
      </w:r>
      <w:bookmarkStart w:id="9" w:name="sdfootnote19anc"/>
      <w:r w:rsidRPr="000D5434">
        <w:rPr>
          <w:rStyle w:val="FootnoteReference"/>
          <w:szCs w:val="22"/>
          <w:lang w:val="es-ES"/>
        </w:rPr>
        <w:footnoteReference w:id="46"/>
      </w:r>
      <w:bookmarkEnd w:id="9"/>
      <w:r w:rsidR="00B834A4" w:rsidRPr="000D5434">
        <w:rPr>
          <w:szCs w:val="22"/>
          <w:lang w:val="es-ES"/>
        </w:rPr>
        <w:t xml:space="preserve"> </w:t>
      </w:r>
      <w:r w:rsidRPr="000D5434">
        <w:rPr>
          <w:szCs w:val="22"/>
          <w:lang w:val="es-ES"/>
        </w:rPr>
        <w:t xml:space="preserve">El Derecho de patentes impone una obligación general a los solicitantes de patentes, como se establece en el artículo 5 del </w:t>
      </w:r>
      <w:r w:rsidRPr="000D5434">
        <w:rPr>
          <w:i/>
          <w:szCs w:val="22"/>
          <w:lang w:val="es-ES"/>
        </w:rPr>
        <w:t>Tratado de Cooperación en materia de Patentes</w:t>
      </w:r>
      <w:r w:rsidRPr="000D5434">
        <w:rPr>
          <w:szCs w:val="22"/>
          <w:lang w:val="es-ES"/>
        </w:rPr>
        <w:t>:</w:t>
      </w:r>
      <w:r w:rsidR="00B834A4" w:rsidRPr="000D5434">
        <w:rPr>
          <w:szCs w:val="22"/>
          <w:lang w:val="es-ES"/>
        </w:rPr>
        <w:t xml:space="preserve"> </w:t>
      </w:r>
      <w:r w:rsidRPr="000D5434">
        <w:rPr>
          <w:szCs w:val="22"/>
          <w:lang w:val="es-ES"/>
        </w:rPr>
        <w:t>“[…] divulgar la invención de una manera suficientemente clara y completa para que pueda ser realizada por un experto en la materia”.</w:t>
      </w:r>
      <w:r w:rsidR="00B834A4" w:rsidRPr="000D5434">
        <w:rPr>
          <w:szCs w:val="22"/>
          <w:lang w:val="es-ES"/>
        </w:rPr>
        <w:t xml:space="preserve"> </w:t>
      </w:r>
      <w:r w:rsidRPr="000D5434">
        <w:rPr>
          <w:szCs w:val="22"/>
          <w:lang w:val="es-ES"/>
        </w:rPr>
        <w:t>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0D5434">
        <w:rPr>
          <w:rStyle w:val="FootnoteReference"/>
          <w:szCs w:val="22"/>
          <w:lang w:val="es-ES"/>
        </w:rPr>
        <w:footnoteReference w:id="47"/>
      </w:r>
    </w:p>
    <w:p w:rsidR="00C0409B" w:rsidRPr="000D5434" w:rsidRDefault="00C0409B" w:rsidP="00103D66">
      <w:pPr>
        <w:pStyle w:val="ONUMFS"/>
        <w:numPr>
          <w:ilvl w:val="0"/>
          <w:numId w:val="0"/>
        </w:numPr>
        <w:rPr>
          <w:szCs w:val="22"/>
          <w:lang w:val="es-ES"/>
        </w:rPr>
      </w:pPr>
      <w:r w:rsidRPr="000D5434">
        <w:rPr>
          <w:szCs w:val="22"/>
          <w:lang w:val="es-ES"/>
        </w:rPr>
        <w:t>Se han examinado tres amplias funciones en relación con los métodos de divulgación relativos a los RR.GG. y CC.TT.:</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la fuente u or</w:t>
      </w:r>
      <w:r w:rsidR="008D49E2" w:rsidRPr="000D5434">
        <w:rPr>
          <w:szCs w:val="22"/>
          <w:lang w:val="es-ES"/>
        </w:rPr>
        <w:t xml:space="preserve">igen real de los RR.GG./CC.TT. </w:t>
      </w:r>
      <w:r w:rsidRPr="000D5434">
        <w:rPr>
          <w:szCs w:val="22"/>
          <w:lang w:val="es-ES"/>
        </w:rPr>
        <w:t>(divulgación de su fuente de origen, relacionada con el lugar en que se hayan obtenido;</w:t>
      </w:r>
      <w:r w:rsidR="00B834A4" w:rsidRPr="000D5434">
        <w:rPr>
          <w:szCs w:val="22"/>
          <w:lang w:val="es-ES"/>
        </w:rPr>
        <w:t xml:space="preserve"> </w:t>
      </w:r>
      <w:r w:rsidRPr="000D5434">
        <w:rPr>
          <w:szCs w:val="22"/>
          <w:lang w:val="es-ES"/>
        </w:rPr>
        <w:t>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mostrar un compromiso o proporcionar pruebas del consentimiento fundamentado previo (función de observancia relativa a la legitimidad de los actos de acceso al material de origen de los RR.GG./CC.TT.);</w:t>
      </w:r>
      <w:r w:rsidR="00B834A4" w:rsidRPr="000D5434">
        <w:rPr>
          <w:szCs w:val="22"/>
          <w:lang w:val="es-ES"/>
        </w:rPr>
        <w:t xml:space="preserve"> </w:t>
      </w:r>
      <w:r w:rsidRPr="000D5434">
        <w:rPr>
          <w:szCs w:val="22"/>
          <w:lang w:val="es-ES"/>
        </w:rPr>
        <w:t>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w:t>
      </w:r>
      <w:r w:rsidR="00B834A4" w:rsidRPr="000D5434">
        <w:rPr>
          <w:szCs w:val="22"/>
          <w:lang w:val="es-ES"/>
        </w:rPr>
        <w:t xml:space="preserve"> </w:t>
      </w:r>
      <w:r w:rsidRPr="000D5434">
        <w:rPr>
          <w:szCs w:val="22"/>
          <w:lang w:val="es-ES"/>
        </w:rPr>
        <w:t>o demostrar que el acto de solicitar la patente ha sido efectuado de por sí con el consentimiento fundamentado previo necesario.</w:t>
      </w:r>
      <w:r w:rsidRPr="000D5434">
        <w:rPr>
          <w:rStyle w:val="FootnoteReference"/>
          <w:szCs w:val="22"/>
          <w:lang w:val="es-ES"/>
        </w:rPr>
        <w:footnoteReference w:id="48"/>
      </w:r>
    </w:p>
    <w:p w:rsidR="00C0409B" w:rsidRPr="000D5434" w:rsidRDefault="00C0409B" w:rsidP="00103D66">
      <w:pPr>
        <w:pStyle w:val="ONUMFS"/>
        <w:numPr>
          <w:ilvl w:val="0"/>
          <w:numId w:val="0"/>
        </w:numPr>
        <w:rPr>
          <w:b/>
          <w:szCs w:val="22"/>
          <w:lang w:val="es-ES"/>
        </w:rPr>
      </w:pPr>
      <w:r w:rsidRPr="000D5434">
        <w:rPr>
          <w:szCs w:val="22"/>
          <w:lang w:val="es-ES"/>
        </w:rPr>
        <w:t>Asimismo, se han propuesto mecanismos alternativos a los requisitos de divulgación.</w:t>
      </w:r>
      <w:r w:rsidRPr="000D5434">
        <w:rPr>
          <w:rStyle w:val="FootnoteReference"/>
          <w:szCs w:val="22"/>
          <w:lang w:val="es-ES"/>
        </w:rPr>
        <w:footnoteReference w:id="49"/>
      </w:r>
      <w:r w:rsidR="00B834A4" w:rsidRPr="000D5434">
        <w:rPr>
          <w:szCs w:val="22"/>
          <w:lang w:val="es-ES"/>
        </w:rPr>
        <w:t xml:space="preserve"> </w:t>
      </w:r>
      <w:r w:rsidRPr="000D5434">
        <w:rPr>
          <w:szCs w:val="22"/>
          <w:lang w:val="es-ES"/>
        </w:rPr>
        <w:t>Y una de las iniciativas internacionales emprendidas actualmente con relación al requisito de divulgación:</w:t>
      </w:r>
      <w:r w:rsidR="00B834A4" w:rsidRPr="000D5434">
        <w:rPr>
          <w:szCs w:val="22"/>
          <w:lang w:val="es-ES"/>
        </w:rPr>
        <w:t xml:space="preserve"> </w:t>
      </w:r>
      <w:r w:rsidRPr="000D5434">
        <w:rPr>
          <w:szCs w:val="22"/>
          <w:lang w:val="es-ES"/>
        </w:rPr>
        <w:t>el artículo 29</w:t>
      </w:r>
      <w:r w:rsidRPr="000D5434">
        <w:rPr>
          <w:i/>
          <w:iCs/>
          <w:szCs w:val="22"/>
          <w:lang w:val="es-ES"/>
        </w:rPr>
        <w:t>bis</w:t>
      </w:r>
      <w:r w:rsidRPr="000D5434">
        <w:rPr>
          <w:szCs w:val="22"/>
          <w:lang w:val="es-ES"/>
        </w:rPr>
        <w:t xml:space="preserve"> del </w:t>
      </w:r>
      <w:r w:rsidRPr="000D5434">
        <w:rPr>
          <w:i/>
          <w:szCs w:val="22"/>
          <w:lang w:val="es-ES"/>
        </w:rPr>
        <w:t>Acuerdo sobre los ADPIC</w:t>
      </w:r>
      <w:r w:rsidRPr="000D5434">
        <w:rPr>
          <w:szCs w:val="22"/>
          <w:lang w:val="es-ES"/>
        </w:rPr>
        <w:t xml:space="preserve"> de la OMC, propuesto por algunos países.</w:t>
      </w:r>
      <w:r w:rsidRPr="000D5434">
        <w:rPr>
          <w:rStyle w:val="FootnoteReference"/>
          <w:szCs w:val="22"/>
          <w:lang w:val="es-ES"/>
        </w:rPr>
        <w:footnoteReference w:id="50"/>
      </w:r>
    </w:p>
    <w:p w:rsidR="00C0409B" w:rsidRPr="000D5434" w:rsidRDefault="00C0409B" w:rsidP="00103D66">
      <w:pPr>
        <w:pStyle w:val="ONUMFS"/>
        <w:numPr>
          <w:ilvl w:val="0"/>
          <w:numId w:val="0"/>
        </w:numPr>
        <w:rPr>
          <w:b/>
          <w:szCs w:val="22"/>
          <w:lang w:val="es-ES"/>
        </w:rPr>
      </w:pPr>
      <w:r w:rsidRPr="000D5434">
        <w:rPr>
          <w:b/>
          <w:szCs w:val="22"/>
          <w:lang w:val="es-ES"/>
        </w:rPr>
        <w:t>Catalogación</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“catalogar” es </w:t>
      </w:r>
      <w:r w:rsidRPr="000D5434">
        <w:rPr>
          <w:i/>
          <w:iCs/>
          <w:szCs w:val="22"/>
          <w:lang w:val="es-ES"/>
        </w:rPr>
        <w:t>“</w:t>
      </w:r>
      <w:r w:rsidRPr="000D5434">
        <w:rPr>
          <w:iCs/>
          <w:szCs w:val="22"/>
          <w:lang w:val="es-ES"/>
        </w:rPr>
        <w:t>apuntar, registrar ordenadamente libros, documentos, etc., formando catálogo de ellos”</w:t>
      </w:r>
      <w:r w:rsidRPr="000D5434">
        <w:rPr>
          <w:szCs w:val="22"/>
          <w:lang w:val="es-ES"/>
        </w:rPr>
        <w:t xml:space="preserve"> y, a su vez, por “catálogo” se entiende lo siguiente:</w:t>
      </w:r>
      <w:r w:rsidR="00B834A4" w:rsidRPr="000D5434">
        <w:rPr>
          <w:szCs w:val="22"/>
          <w:lang w:val="es-ES"/>
        </w:rPr>
        <w:t xml:space="preserve"> </w:t>
      </w:r>
      <w:r w:rsidRPr="000D5434">
        <w:rPr>
          <w:szCs w:val="22"/>
          <w:lang w:val="es-ES"/>
        </w:rPr>
        <w:t>“</w:t>
      </w:r>
      <w:r w:rsidRPr="000D5434">
        <w:rPr>
          <w:iCs/>
          <w:szCs w:val="22"/>
          <w:lang w:val="es-ES"/>
        </w:rPr>
        <w:t>relación ordenada en la que se incluyen o describen de forma individual libros, documentos, personas, objetos, etc., que están relacionados entre sí”</w:t>
      </w:r>
      <w:r w:rsidRPr="000D5434">
        <w:rPr>
          <w:szCs w:val="22"/>
          <w:lang w:val="es-ES"/>
        </w:rPr>
        <w:t>.</w:t>
      </w:r>
      <w:r w:rsidR="00B834A4" w:rsidRPr="000D5434">
        <w:rPr>
          <w:szCs w:val="22"/>
          <w:lang w:val="es-ES"/>
        </w:rPr>
        <w:t xml:space="preserve"> </w:t>
      </w:r>
      <w:r w:rsidRPr="000D5434">
        <w:rPr>
          <w:szCs w:val="22"/>
          <w:lang w:val="es-ES"/>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B834A4" w:rsidRPr="000D5434">
        <w:rPr>
          <w:szCs w:val="22"/>
          <w:lang w:val="es-ES"/>
        </w:rPr>
        <w:t xml:space="preserve"> </w:t>
      </w:r>
      <w:r w:rsidRPr="000D5434">
        <w:rPr>
          <w:szCs w:val="22"/>
          <w:lang w:val="es-ES"/>
        </w:rPr>
        <w:t>Difiere de las maneras tradicionales de conservar y transmitir los conocimientos y las expresiones culturales tradicionales en el seno de la comunidad.</w:t>
      </w:r>
    </w:p>
    <w:p w:rsidR="00C0409B" w:rsidRPr="000D5434" w:rsidRDefault="00C0409B" w:rsidP="00103D66">
      <w:pPr>
        <w:pStyle w:val="ONUMFS"/>
        <w:numPr>
          <w:ilvl w:val="0"/>
          <w:numId w:val="0"/>
        </w:numPr>
        <w:rPr>
          <w:szCs w:val="22"/>
          <w:lang w:val="es-ES"/>
        </w:rPr>
      </w:pPr>
      <w:r w:rsidRPr="000D5434">
        <w:rPr>
          <w:szCs w:val="22"/>
          <w:lang w:val="es-ES"/>
        </w:rPr>
        <w:t>La catalogación es especialmente importante, pues a menudo es la manera en que las personas ajenas al círculo tradicional pueden acceder a los conocimientos.</w:t>
      </w:r>
      <w:r w:rsidRPr="000D5434">
        <w:rPr>
          <w:rStyle w:val="FootnoteReference"/>
          <w:szCs w:val="22"/>
          <w:lang w:val="es-ES"/>
        </w:rPr>
        <w:footnoteReference w:id="51"/>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con detenimiento los conocimientos tradicionales catalogados y los conocimientos tradicionales no catalogados.</w:t>
      </w:r>
    </w:p>
    <w:p w:rsidR="008040C8" w:rsidRPr="000D5434" w:rsidRDefault="008040C8" w:rsidP="00103D66">
      <w:pPr>
        <w:pStyle w:val="ONUMFS"/>
        <w:numPr>
          <w:ilvl w:val="0"/>
          <w:numId w:val="0"/>
        </w:numPr>
        <w:rPr>
          <w:szCs w:val="22"/>
          <w:lang w:val="es-ES"/>
        </w:rPr>
      </w:pPr>
      <w:r w:rsidRPr="000D5434">
        <w:rPr>
          <w:b/>
          <w:szCs w:val="22"/>
          <w:lang w:val="es-ES"/>
        </w:rPr>
        <w:t>Diligencia debida</w:t>
      </w:r>
    </w:p>
    <w:p w:rsidR="008040C8" w:rsidRPr="000D5434" w:rsidRDefault="002D32A2" w:rsidP="00103D66">
      <w:pPr>
        <w:pStyle w:val="ONUMFS"/>
        <w:numPr>
          <w:ilvl w:val="0"/>
          <w:numId w:val="0"/>
        </w:numPr>
        <w:rPr>
          <w:szCs w:val="22"/>
          <w:lang w:val="es-ES"/>
        </w:rPr>
      </w:pPr>
      <w:r w:rsidRPr="000D5434">
        <w:rPr>
          <w:szCs w:val="22"/>
          <w:lang w:val="es-ES"/>
        </w:rPr>
        <w:t>Según el Diccionario del español jurídico, de la Real Academia Española, es el conjunto de precauciones que la ley o el buen sentido aconsejan adoptar en el desarrollo de una actividad para evitar daños previsibles.</w:t>
      </w:r>
    </w:p>
    <w:p w:rsidR="00C0409B" w:rsidRPr="000D5434" w:rsidRDefault="00C0409B" w:rsidP="00103D66">
      <w:pPr>
        <w:pStyle w:val="ONUMFS"/>
        <w:numPr>
          <w:ilvl w:val="0"/>
          <w:numId w:val="0"/>
        </w:numPr>
        <w:rPr>
          <w:b/>
          <w:szCs w:val="22"/>
          <w:lang w:val="es-ES"/>
        </w:rPr>
      </w:pPr>
      <w:r w:rsidRPr="000D5434">
        <w:rPr>
          <w:b/>
          <w:szCs w:val="22"/>
          <w:lang w:val="es-ES"/>
        </w:rPr>
        <w:t>Remuneración equitativa</w:t>
      </w:r>
    </w:p>
    <w:p w:rsidR="00C0409B" w:rsidRPr="000D5434" w:rsidRDefault="00C0409B" w:rsidP="00103D66">
      <w:pPr>
        <w:pStyle w:val="ONUMFS"/>
        <w:numPr>
          <w:ilvl w:val="0"/>
          <w:numId w:val="0"/>
        </w:numPr>
        <w:rPr>
          <w:b/>
          <w:szCs w:val="22"/>
          <w:lang w:val="es-ES"/>
        </w:rPr>
      </w:pPr>
      <w:r w:rsidRPr="000D5434">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w:t>
      </w:r>
      <w:r w:rsidR="00B834A4" w:rsidRPr="000D5434">
        <w:rPr>
          <w:szCs w:val="22"/>
          <w:lang w:val="es-ES"/>
        </w:rPr>
        <w:t xml:space="preserve"> </w:t>
      </w:r>
      <w:r w:rsidRPr="000D5434">
        <w:rPr>
          <w:szCs w:val="22"/>
          <w:lang w:val="es-ES"/>
        </w:rPr>
        <w:t>Esta remuneración normalmente suele efectuarse cuando los derechos patrimoniales se reducen al derecho de remuneración (y, en general, aplicarse a partir de licencias no voluntarias).</w:t>
      </w:r>
      <w:r w:rsidRPr="000D5434">
        <w:rPr>
          <w:rStyle w:val="FootnoteReference"/>
          <w:szCs w:val="22"/>
          <w:lang w:val="es-ES"/>
        </w:rPr>
        <w:footnoteReference w:id="52"/>
      </w:r>
      <w:r w:rsidR="00B834A4" w:rsidRPr="000D5434">
        <w:rPr>
          <w:szCs w:val="22"/>
          <w:lang w:val="es-ES"/>
        </w:rPr>
        <w:t xml:space="preserve"> </w:t>
      </w:r>
      <w:r w:rsidRPr="000D5434">
        <w:rPr>
          <w:szCs w:val="22"/>
          <w:lang w:val="es-ES"/>
        </w:rPr>
        <w:t xml:space="preserve">En el </w:t>
      </w:r>
      <w:r w:rsidRPr="000D5434">
        <w:rPr>
          <w:i/>
          <w:szCs w:val="22"/>
          <w:lang w:val="es-ES"/>
        </w:rPr>
        <w:t>Tratado de la OMPI sobre Interpretación o Ejecución y Fonogramas</w:t>
      </w:r>
      <w:r w:rsidRPr="000D5434">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B834A4" w:rsidRPr="000D5434">
        <w:rPr>
          <w:szCs w:val="22"/>
          <w:lang w:val="es-ES"/>
        </w:rPr>
        <w:t xml:space="preserve"> </w:t>
      </w:r>
      <w:r w:rsidRPr="000D5434">
        <w:rPr>
          <w:szCs w:val="22"/>
          <w:lang w:val="es-ES"/>
        </w:rPr>
        <w:t>Ahora bien, las Partes Contratantes pueden limitar o negar ese derecho, a condición de que formulen una reserva en relación con el Tratado (artículo 15.3)).</w:t>
      </w:r>
    </w:p>
    <w:p w:rsidR="00C0409B" w:rsidRPr="000D5434" w:rsidRDefault="00C0409B" w:rsidP="00103D66">
      <w:pPr>
        <w:pStyle w:val="ONUMFS"/>
        <w:numPr>
          <w:ilvl w:val="0"/>
          <w:numId w:val="0"/>
        </w:numPr>
        <w:rPr>
          <w:b/>
          <w:szCs w:val="22"/>
          <w:lang w:val="es-ES"/>
        </w:rPr>
      </w:pPr>
      <w:r w:rsidRPr="000D5434">
        <w:rPr>
          <w:b/>
          <w:szCs w:val="22"/>
          <w:lang w:val="es-ES"/>
        </w:rPr>
        <w:t>Excepciones</w:t>
      </w:r>
    </w:p>
    <w:p w:rsidR="00C0409B" w:rsidRPr="000D5434" w:rsidRDefault="00C0409B" w:rsidP="00103D66">
      <w:pPr>
        <w:pStyle w:val="ONUMFS"/>
        <w:numPr>
          <w:ilvl w:val="0"/>
          <w:numId w:val="0"/>
        </w:numPr>
        <w:rPr>
          <w:b/>
          <w:szCs w:val="22"/>
          <w:lang w:val="es-ES"/>
        </w:rPr>
      </w:pPr>
      <w:r w:rsidRPr="000D5434">
        <w:rPr>
          <w:szCs w:val="22"/>
          <w:lang w:val="es-ES"/>
        </w:rPr>
        <w:t>Las “excepciones” fijan las condiciones que limitan el uso de la obra protegida por derecho de autor.</w:t>
      </w:r>
      <w:r w:rsidR="00B834A4" w:rsidRPr="000D5434">
        <w:rPr>
          <w:szCs w:val="22"/>
          <w:lang w:val="es-ES"/>
        </w:rPr>
        <w:t xml:space="preserve"> </w:t>
      </w:r>
      <w:r w:rsidRPr="000D5434">
        <w:rPr>
          <w:szCs w:val="22"/>
          <w:lang w:val="es-ES"/>
        </w:rPr>
        <w:t>El término se refiere más bien a los actos relativos a los elementos que quedan protegidos.</w:t>
      </w:r>
      <w:r w:rsidR="00B834A4" w:rsidRPr="000D5434">
        <w:rPr>
          <w:szCs w:val="22"/>
          <w:lang w:val="es-ES"/>
        </w:rPr>
        <w:t xml:space="preserve"> </w:t>
      </w:r>
      <w:r w:rsidRPr="000D5434">
        <w:rPr>
          <w:szCs w:val="22"/>
          <w:lang w:val="es-ES"/>
        </w:rPr>
        <w:t>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0D5434">
        <w:rPr>
          <w:rStyle w:val="FootnoteReference"/>
          <w:szCs w:val="22"/>
          <w:lang w:val="es-ES"/>
        </w:rPr>
        <w:footnoteReference w:id="53"/>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establece la prueba del criterio triple, en la que se fijan los supuestos que debe cumplir la excepción:</w:t>
      </w:r>
      <w:r w:rsidR="00B834A4" w:rsidRPr="000D5434">
        <w:rPr>
          <w:szCs w:val="22"/>
          <w:lang w:val="es-ES"/>
        </w:rPr>
        <w:t xml:space="preserve"> </w:t>
      </w:r>
      <w:r w:rsidRPr="000D5434">
        <w:rPr>
          <w:szCs w:val="22"/>
          <w:lang w:val="es-ES"/>
        </w:rPr>
        <w:t>i) debe tener por objeto determinados casos especiales;</w:t>
      </w:r>
      <w:r w:rsidR="00B834A4" w:rsidRPr="000D5434">
        <w:rPr>
          <w:szCs w:val="22"/>
          <w:lang w:val="es-ES"/>
        </w:rPr>
        <w:t xml:space="preserve"> </w:t>
      </w:r>
      <w:r w:rsidRPr="000D5434">
        <w:rPr>
          <w:szCs w:val="22"/>
          <w:lang w:val="es-ES"/>
        </w:rPr>
        <w:t>ii) no debe atentar a la normal explotación de la obra;</w:t>
      </w:r>
      <w:r w:rsidR="00B834A4" w:rsidRPr="000D5434">
        <w:rPr>
          <w:szCs w:val="22"/>
          <w:lang w:val="es-ES"/>
        </w:rPr>
        <w:t xml:space="preserve"> </w:t>
      </w:r>
      <w:r w:rsidRPr="000D5434">
        <w:rPr>
          <w:szCs w:val="22"/>
          <w:lang w:val="es-ES"/>
        </w:rPr>
        <w:t>y iii) no debe causar un perjuicio injustificado a los intereses legítimos del autor.</w:t>
      </w:r>
      <w:r w:rsidRPr="000D5434">
        <w:rPr>
          <w:rStyle w:val="FootnoteReference"/>
          <w:szCs w:val="22"/>
          <w:lang w:val="es-ES"/>
        </w:rPr>
        <w:footnoteReference w:id="54"/>
      </w:r>
    </w:p>
    <w:p w:rsidR="00C0409B" w:rsidRPr="000D5434" w:rsidRDefault="00C0409B" w:rsidP="00103D66">
      <w:pPr>
        <w:pStyle w:val="ONUMFS"/>
        <w:numPr>
          <w:ilvl w:val="0"/>
          <w:numId w:val="0"/>
        </w:numPr>
        <w:rPr>
          <w:b/>
          <w:szCs w:val="22"/>
          <w:lang w:val="es-ES"/>
        </w:rPr>
      </w:pPr>
      <w:r w:rsidRPr="000D5434">
        <w:rPr>
          <w:b/>
          <w:szCs w:val="22"/>
          <w:lang w:val="es-ES"/>
        </w:rPr>
        <w:t>Expresión corporal</w:t>
      </w:r>
    </w:p>
    <w:p w:rsidR="00C0409B" w:rsidRPr="000D5434" w:rsidRDefault="00C0409B" w:rsidP="00103D66">
      <w:pPr>
        <w:pStyle w:val="ONUMFS"/>
        <w:numPr>
          <w:ilvl w:val="0"/>
          <w:numId w:val="0"/>
        </w:numPr>
        <w:rPr>
          <w:b/>
          <w:szCs w:val="22"/>
          <w:lang w:val="es-ES"/>
        </w:rPr>
      </w:pPr>
      <w:r w:rsidRPr="000D5434">
        <w:rPr>
          <w:szCs w:val="22"/>
          <w:lang w:val="es-ES"/>
        </w:rPr>
        <w:t>La “expresión corporal” es el modo de expresarse gracias al movimiento del cuerpo humano.</w:t>
      </w:r>
      <w:r w:rsidRPr="000D5434">
        <w:rPr>
          <w:rStyle w:val="FootnoteReference"/>
          <w:szCs w:val="22"/>
          <w:lang w:val="es-ES"/>
        </w:rPr>
        <w:footnoteReference w:id="55"/>
      </w:r>
      <w:r w:rsidR="00B834A4" w:rsidRPr="000D5434">
        <w:rPr>
          <w:szCs w:val="22"/>
          <w:lang w:val="es-ES"/>
        </w:rPr>
        <w:t xml:space="preserve"> </w:t>
      </w:r>
      <w:r w:rsidRPr="000D5434">
        <w:rPr>
          <w:szCs w:val="22"/>
          <w:lang w:val="es-ES"/>
        </w:rPr>
        <w:t>Comprende, entre otras, las danzas y representaciones escénicas populares y formas artísticas de rituales, y no necesitan estar fijadas en un soporte, por ejemplo, estar escritas mediante la notación coreográfica</w:t>
      </w:r>
      <w:r w:rsidRPr="000D5434">
        <w:rPr>
          <w:szCs w:val="22"/>
          <w:vertAlign w:val="superscript"/>
          <w:lang w:val="es-ES"/>
        </w:rPr>
        <w:t>”</w:t>
      </w:r>
      <w:r w:rsidRPr="000D5434">
        <w:rPr>
          <w:szCs w:val="22"/>
          <w:lang w:val="es-ES"/>
        </w:rPr>
        <w:t>.</w:t>
      </w:r>
      <w:r w:rsidRPr="000D5434">
        <w:rPr>
          <w:rStyle w:val="FootnoteReference"/>
          <w:szCs w:val="22"/>
          <w:lang w:val="es-ES"/>
        </w:rPr>
        <w:footnoteReference w:id="56"/>
      </w:r>
    </w:p>
    <w:p w:rsidR="00C0409B" w:rsidRPr="000D5434" w:rsidRDefault="00C0409B" w:rsidP="00103D66">
      <w:pPr>
        <w:pStyle w:val="ONUMFS"/>
        <w:numPr>
          <w:ilvl w:val="0"/>
          <w:numId w:val="0"/>
        </w:numPr>
        <w:rPr>
          <w:b/>
          <w:szCs w:val="22"/>
          <w:lang w:val="es-ES"/>
        </w:rPr>
      </w:pPr>
      <w:r w:rsidRPr="000D5434">
        <w:rPr>
          <w:b/>
          <w:szCs w:val="22"/>
          <w:lang w:val="es-ES"/>
        </w:rPr>
        <w:t>Expresiones del folclore</w:t>
      </w:r>
    </w:p>
    <w:p w:rsidR="00C0409B" w:rsidRPr="000D5434" w:rsidRDefault="00C0409B" w:rsidP="00103D66">
      <w:pPr>
        <w:pStyle w:val="ONUMFS"/>
        <w:numPr>
          <w:ilvl w:val="0"/>
          <w:numId w:val="0"/>
        </w:numPr>
        <w:rPr>
          <w:szCs w:val="22"/>
          <w:lang w:val="es-ES"/>
        </w:rPr>
      </w:pPr>
      <w:r w:rsidRPr="000D5434">
        <w:rPr>
          <w:szCs w:val="22"/>
          <w:lang w:val="es-ES"/>
        </w:rPr>
        <w:t xml:space="preserve">En las </w:t>
      </w:r>
      <w:r w:rsidRPr="000D5434">
        <w:rPr>
          <w:i/>
          <w:szCs w:val="22"/>
          <w:lang w:val="es-ES"/>
        </w:rPr>
        <w:t>Disposiciones Tipo para leyes nacionales sobre la protección de las expresiones del folclore contra la explotación ilícita y otras acciones lesivas</w:t>
      </w:r>
      <w:r w:rsidRPr="000D5434">
        <w:rPr>
          <w:szCs w:val="22"/>
          <w:lang w:val="es-ES"/>
        </w:rPr>
        <w:t xml:space="preserve"> (1982), </w:t>
      </w:r>
      <w:r w:rsidR="006748FD" w:rsidRPr="000D5434">
        <w:rPr>
          <w:szCs w:val="22"/>
          <w:lang w:val="es-ES"/>
        </w:rPr>
        <w:t xml:space="preserve">de la OMPI y la UNESCO, </w:t>
      </w:r>
      <w:r w:rsidRPr="000D5434">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las expresiones verbales, tales como los cuentos populares, la poesía popular y los enigmas;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las expresiones musicales, tales como las canciones y la música instrumental populares;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las expresiones corporales, tales como las danzas y representaciones escénicas populares y formas artísticas de rituales, estén o no fijadas en un soporte;</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iv)</w:t>
      </w:r>
      <w:r w:rsidRPr="000D5434">
        <w:rPr>
          <w:szCs w:val="22"/>
          <w:lang w:val="es-ES"/>
        </w:rPr>
        <w:tab/>
        <w:t>las expresiones ta</w:t>
      </w:r>
      <w:bookmarkStart w:id="10" w:name="sdfootnote40anc"/>
      <w:r w:rsidRPr="000D5434">
        <w:rPr>
          <w:szCs w:val="22"/>
          <w:lang w:val="es-ES"/>
        </w:rPr>
        <w:t>ngibles</w:t>
      </w:r>
      <w:bookmarkEnd w:id="10"/>
      <w:r w:rsidRPr="000D5434">
        <w:rPr>
          <w:szCs w:val="22"/>
          <w:lang w:val="es-ES"/>
        </w:rPr>
        <w:t>.</w:t>
      </w:r>
      <w:r w:rsidRPr="000D5434">
        <w:rPr>
          <w:rStyle w:val="FootnoteReference"/>
          <w:szCs w:val="22"/>
          <w:lang w:val="es-ES"/>
        </w:rPr>
        <w:footnoteReference w:id="57"/>
      </w:r>
    </w:p>
    <w:p w:rsidR="00C0409B" w:rsidRPr="000D5434" w:rsidRDefault="00C0409B" w:rsidP="00103D66">
      <w:pPr>
        <w:pStyle w:val="ONUMFS"/>
        <w:numPr>
          <w:ilvl w:val="0"/>
          <w:numId w:val="0"/>
        </w:numPr>
        <w:rPr>
          <w:b/>
          <w:szCs w:val="22"/>
          <w:lang w:val="es-ES"/>
        </w:rPr>
      </w:pPr>
      <w:r w:rsidRPr="000D5434">
        <w:rPr>
          <w:szCs w:val="22"/>
          <w:lang w:val="es-ES"/>
        </w:rPr>
        <w:t>En el contexto del CIG, los términos “expresiones culturales tradicionales” y “expresiones del folclore” son sinónimos y se usan indistintamente.</w:t>
      </w:r>
    </w:p>
    <w:p w:rsidR="00C0409B" w:rsidRPr="000D5434" w:rsidRDefault="002D32A2" w:rsidP="00E679AC">
      <w:pPr>
        <w:pStyle w:val="ONUMFS"/>
        <w:keepNext/>
        <w:numPr>
          <w:ilvl w:val="0"/>
          <w:numId w:val="0"/>
        </w:numPr>
        <w:rPr>
          <w:b/>
          <w:szCs w:val="22"/>
          <w:lang w:val="es-ES"/>
        </w:rPr>
      </w:pPr>
      <w:r w:rsidRPr="000D5434">
        <w:rPr>
          <w:b/>
          <w:iCs/>
          <w:szCs w:val="22"/>
          <w:lang w:val="es-ES"/>
        </w:rPr>
        <w:t>Con</w:t>
      </w:r>
      <w:r w:rsidR="00103D66" w:rsidRPr="000D5434">
        <w:rPr>
          <w:b/>
          <w:iCs/>
          <w:szCs w:val="22"/>
          <w:lang w:val="es-ES"/>
        </w:rPr>
        <w:t>s</w:t>
      </w:r>
      <w:r w:rsidRPr="000D5434">
        <w:rPr>
          <w:b/>
          <w:iCs/>
          <w:szCs w:val="22"/>
          <w:lang w:val="es-ES"/>
        </w:rPr>
        <w:t xml:space="preserve">ervación </w:t>
      </w:r>
      <w:r w:rsidR="00C0409B" w:rsidRPr="000D5434">
        <w:rPr>
          <w:b/>
          <w:i/>
          <w:iCs/>
          <w:szCs w:val="22"/>
          <w:lang w:val="es-ES"/>
        </w:rPr>
        <w:t>Ex-situ</w:t>
      </w:r>
    </w:p>
    <w:p w:rsidR="00C0409B" w:rsidRPr="000D5434" w:rsidRDefault="00C0409B" w:rsidP="00E679AC">
      <w:pPr>
        <w:pStyle w:val="ONUMFS"/>
        <w:keepNext/>
        <w:numPr>
          <w:ilvl w:val="0"/>
          <w:numId w:val="0"/>
        </w:numPr>
        <w:rPr>
          <w:szCs w:val="22"/>
          <w:lang w:val="es-ES"/>
        </w:rPr>
      </w:pPr>
      <w:r w:rsidRPr="000D5434">
        <w:rPr>
          <w:szCs w:val="22"/>
          <w:lang w:val="es-ES"/>
        </w:rPr>
        <w:t xml:space="preserve">En referencia a la definición de “conservación </w:t>
      </w:r>
      <w:r w:rsidRPr="000D5434">
        <w:rPr>
          <w:i/>
          <w:iCs/>
          <w:szCs w:val="22"/>
          <w:lang w:val="es-ES"/>
        </w:rPr>
        <w:t>ex situ</w:t>
      </w:r>
      <w:r w:rsidRPr="000D5434">
        <w:rPr>
          <w:szCs w:val="22"/>
          <w:lang w:val="es-ES"/>
        </w:rPr>
        <w:t xml:space="preserve">” del artículo 2 del </w:t>
      </w:r>
      <w:r w:rsidRPr="000D5434">
        <w:rPr>
          <w:i/>
          <w:szCs w:val="22"/>
          <w:lang w:val="es-ES"/>
        </w:rPr>
        <w:t>Convenio sobre la Diversidad Biológica</w:t>
      </w:r>
      <w:r w:rsidRPr="000D5434">
        <w:rPr>
          <w:szCs w:val="22"/>
          <w:lang w:val="es-ES"/>
        </w:rPr>
        <w:t xml:space="preserve"> (1992), por “</w:t>
      </w:r>
      <w:r w:rsidRPr="000D5434">
        <w:rPr>
          <w:i/>
          <w:iCs/>
          <w:szCs w:val="22"/>
          <w:lang w:val="es-ES"/>
        </w:rPr>
        <w:t>ex situ</w:t>
      </w:r>
      <w:r w:rsidRPr="000D5434">
        <w:rPr>
          <w:iCs/>
          <w:szCs w:val="22"/>
          <w:lang w:val="es-ES"/>
        </w:rPr>
        <w:t>”</w:t>
      </w:r>
      <w:r w:rsidRPr="000D5434">
        <w:rPr>
          <w:szCs w:val="22"/>
          <w:lang w:val="es-ES"/>
        </w:rPr>
        <w:t xml:space="preserve"> se entiende “la conservación de componentes de la diversidad biológica fuera de sus hábitats naturales”.</w:t>
      </w:r>
    </w:p>
    <w:p w:rsidR="00C0409B" w:rsidRPr="000D5434" w:rsidRDefault="00C0409B" w:rsidP="00103D66">
      <w:pPr>
        <w:pStyle w:val="ONUMFS"/>
        <w:numPr>
          <w:ilvl w:val="0"/>
          <w:numId w:val="0"/>
        </w:numPr>
        <w:rPr>
          <w:b/>
          <w:bCs/>
          <w:szCs w:val="22"/>
          <w:lang w:val="es-ES"/>
        </w:rPr>
      </w:pPr>
      <w:r w:rsidRPr="000D5434">
        <w:rPr>
          <w:b/>
          <w:bCs/>
          <w:szCs w:val="22"/>
          <w:lang w:val="es-ES"/>
        </w:rPr>
        <w:t>Uso leal</w:t>
      </w:r>
    </w:p>
    <w:p w:rsidR="00C0409B" w:rsidRPr="000D5434" w:rsidRDefault="00C0409B" w:rsidP="00103D66">
      <w:pPr>
        <w:pStyle w:val="ONUMFS"/>
        <w:numPr>
          <w:ilvl w:val="0"/>
          <w:numId w:val="0"/>
        </w:numPr>
        <w:rPr>
          <w:b/>
          <w:szCs w:val="22"/>
          <w:lang w:val="es-ES"/>
        </w:rPr>
      </w:pPr>
      <w:r w:rsidRPr="000D5434">
        <w:rPr>
          <w:szCs w:val="22"/>
          <w:lang w:val="es-ES"/>
        </w:rPr>
        <w:t xml:space="preserve">Expresión que aparece en determinadas disposiciones del </w:t>
      </w:r>
      <w:r w:rsidRPr="000D5434">
        <w:rPr>
          <w:i/>
          <w:szCs w:val="22"/>
          <w:lang w:val="es-ES"/>
        </w:rPr>
        <w:t>Convenio de Berna para la Protección de las Obras Literarias y Artísticas</w:t>
      </w:r>
      <w:r w:rsidRPr="000D5434">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B834A4" w:rsidRPr="000D5434">
        <w:rPr>
          <w:szCs w:val="22"/>
          <w:lang w:val="es-ES"/>
        </w:rPr>
        <w:t xml:space="preserve"> </w:t>
      </w:r>
      <w:r w:rsidRPr="000D5434">
        <w:rPr>
          <w:szCs w:val="22"/>
          <w:lang w:val="es-ES"/>
        </w:rPr>
        <w:t>Los tipos de usos que se pueden considerar “leales” se determinan aplicando los criterios de la prueba del criterio triple.</w:t>
      </w:r>
      <w:r w:rsidRPr="000D5434">
        <w:rPr>
          <w:rStyle w:val="FootnoteReference"/>
          <w:szCs w:val="22"/>
          <w:lang w:val="es-ES"/>
        </w:rPr>
        <w:footnoteReference w:id="58"/>
      </w:r>
    </w:p>
    <w:p w:rsidR="00C0409B" w:rsidRPr="000D5434" w:rsidRDefault="00C0409B" w:rsidP="00103D66">
      <w:pPr>
        <w:pStyle w:val="ONUMFS"/>
        <w:numPr>
          <w:ilvl w:val="0"/>
          <w:numId w:val="0"/>
        </w:numPr>
        <w:rPr>
          <w:b/>
          <w:bCs/>
          <w:szCs w:val="22"/>
          <w:lang w:val="es-ES"/>
        </w:rPr>
      </w:pPr>
      <w:r w:rsidRPr="000D5434">
        <w:rPr>
          <w:b/>
          <w:bCs/>
          <w:szCs w:val="22"/>
          <w:lang w:val="es-ES"/>
        </w:rPr>
        <w:t>Derechos del agricultor</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9.1 del </w:t>
      </w:r>
      <w:r w:rsidRPr="000D5434">
        <w:rPr>
          <w:i/>
          <w:szCs w:val="22"/>
          <w:lang w:val="es-ES"/>
        </w:rPr>
        <w:t>Tratado Internacional sobre los Recursos Fitogenéticos para la Alimentación y la Agricultura</w:t>
      </w:r>
      <w:r w:rsidRPr="000D5434">
        <w:rPr>
          <w:szCs w:val="22"/>
          <w:lang w:val="es-ES"/>
        </w:rPr>
        <w:t xml:space="preserve"> se reconoce “</w:t>
      </w:r>
      <w:r w:rsidRPr="000D5434">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0D5434">
        <w:rPr>
          <w:szCs w:val="22"/>
          <w:lang w:val="es-ES"/>
        </w:rPr>
        <w:t>”.</w:t>
      </w:r>
      <w:r w:rsidR="00B834A4" w:rsidRPr="000D5434">
        <w:rPr>
          <w:szCs w:val="22"/>
          <w:lang w:val="es-ES"/>
        </w:rPr>
        <w:t xml:space="preserve"> </w:t>
      </w:r>
      <w:r w:rsidRPr="000D5434">
        <w:rPr>
          <w:szCs w:val="22"/>
          <w:lang w:val="es-ES"/>
        </w:rPr>
        <w:t>En el artículo 9.2 se definen los “derechos del agricultor” como:</w:t>
      </w:r>
      <w:r w:rsidR="00B834A4" w:rsidRPr="000D5434">
        <w:rPr>
          <w:szCs w:val="22"/>
          <w:lang w:val="es-ES"/>
        </w:rPr>
        <w:t xml:space="preserve"> </w:t>
      </w:r>
      <w:r w:rsidRPr="000D5434">
        <w:rPr>
          <w:szCs w:val="22"/>
          <w:lang w:val="es-ES"/>
        </w:rPr>
        <w:t>“</w:t>
      </w:r>
      <w:r w:rsidRPr="000D5434">
        <w:rPr>
          <w:iCs/>
          <w:szCs w:val="22"/>
          <w:lang w:val="es-ES"/>
        </w:rPr>
        <w:t>a) la protección de los conocimientos tradicionales de interés para los recursos fitogenéticos para la alimentación y la agricultura;</w:t>
      </w:r>
      <w:r w:rsidR="00B834A4" w:rsidRPr="000D5434">
        <w:rPr>
          <w:iCs/>
          <w:szCs w:val="22"/>
          <w:lang w:val="es-ES"/>
        </w:rPr>
        <w:t xml:space="preserve"> </w:t>
      </w:r>
      <w:r w:rsidRPr="000D5434">
        <w:rPr>
          <w:iCs/>
          <w:szCs w:val="22"/>
          <w:lang w:val="es-ES"/>
        </w:rPr>
        <w:t>b) el derecho a participar equitativamente en la distribución de los beneficios que se deriven de la utilización de los recursos fitogenéticos para la alimentación y la agricultura;</w:t>
      </w:r>
      <w:r w:rsidR="00B834A4" w:rsidRPr="000D5434">
        <w:rPr>
          <w:iCs/>
          <w:szCs w:val="22"/>
          <w:lang w:val="es-ES"/>
        </w:rPr>
        <w:t xml:space="preserve"> </w:t>
      </w:r>
      <w:r w:rsidRPr="000D5434">
        <w:rPr>
          <w:iCs/>
          <w:szCs w:val="22"/>
          <w:lang w:val="es-ES"/>
        </w:rPr>
        <w:t>y c) el derecho a participar en la adopción de decisiones, a nivel nacional, sobre asuntos relativos a la conservación y la utilización sostenible de los recursos fitogenéticos para la alimentación y la agricultura</w:t>
      </w:r>
      <w:r w:rsidRPr="000D5434">
        <w:rPr>
          <w:szCs w:val="22"/>
          <w:lang w:val="es-ES"/>
        </w:rPr>
        <w:t>”.</w:t>
      </w:r>
      <w:r w:rsidR="00B834A4" w:rsidRPr="000D5434">
        <w:rPr>
          <w:szCs w:val="22"/>
          <w:lang w:val="es-ES"/>
        </w:rPr>
        <w:t xml:space="preserve"> </w:t>
      </w:r>
      <w:r w:rsidRPr="000D5434">
        <w:rPr>
          <w:szCs w:val="22"/>
          <w:lang w:val="es-ES"/>
        </w:rPr>
        <w:t xml:space="preserve">En el artículo 2 del </w:t>
      </w:r>
      <w:r w:rsidRPr="000D5434">
        <w:rPr>
          <w:i/>
          <w:szCs w:val="22"/>
          <w:lang w:val="es-ES"/>
        </w:rPr>
        <w:t>Código Internacional de Conducta para la Recolección y Transferencia de Germoplasma</w:t>
      </w:r>
      <w:r w:rsidRPr="000D5434">
        <w:rPr>
          <w:szCs w:val="22"/>
          <w:lang w:val="es-ES"/>
        </w:rPr>
        <w:t>, de la FAO, se definen esos derechos como “</w:t>
      </w:r>
      <w:r w:rsidRPr="000D5434">
        <w:rPr>
          <w:iCs/>
          <w:szCs w:val="22"/>
          <w:lang w:val="es-ES"/>
        </w:rPr>
        <w:t>derechos que provienen de la contribución pasada, presente y futura de los agricultores a la conservación, mejora y disponibilidad de los recursos fitogenéticos, particularmente los de los centros de origen o diversidad.</w:t>
      </w:r>
      <w:r w:rsidR="00B834A4" w:rsidRPr="000D5434">
        <w:rPr>
          <w:iCs/>
          <w:szCs w:val="22"/>
          <w:lang w:val="es-ES"/>
        </w:rPr>
        <w:t xml:space="preserve"> </w:t>
      </w:r>
      <w:r w:rsidRPr="000D5434">
        <w:rPr>
          <w:iCs/>
          <w:szCs w:val="22"/>
          <w:lang w:val="es-ES"/>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0D5434">
        <w:rPr>
          <w:szCs w:val="22"/>
          <w:lang w:val="es-ES"/>
        </w:rPr>
        <w:t>”.</w:t>
      </w:r>
    </w:p>
    <w:p w:rsidR="00C0409B" w:rsidRPr="000D5434" w:rsidRDefault="00C0409B" w:rsidP="00103D66">
      <w:pPr>
        <w:pStyle w:val="ONUMFS"/>
        <w:numPr>
          <w:ilvl w:val="0"/>
          <w:numId w:val="0"/>
        </w:numPr>
        <w:rPr>
          <w:b/>
          <w:bCs/>
          <w:szCs w:val="22"/>
          <w:lang w:val="es-ES"/>
        </w:rPr>
      </w:pPr>
      <w:r w:rsidRPr="000D5434">
        <w:rPr>
          <w:b/>
          <w:bCs/>
          <w:szCs w:val="22"/>
          <w:lang w:val="es-ES"/>
        </w:rPr>
        <w:t>Fijación</w:t>
      </w:r>
    </w:p>
    <w:p w:rsidR="00C0409B" w:rsidRPr="000D5434" w:rsidRDefault="00C0409B" w:rsidP="00103D66">
      <w:pPr>
        <w:pStyle w:val="ONUMFS"/>
        <w:numPr>
          <w:ilvl w:val="0"/>
          <w:numId w:val="0"/>
        </w:numPr>
        <w:rPr>
          <w:szCs w:val="22"/>
          <w:lang w:val="es-ES"/>
        </w:rPr>
      </w:pPr>
      <w:bookmarkStart w:id="11" w:name="_Ref289444051"/>
      <w:bookmarkEnd w:id="11"/>
      <w:r w:rsidRPr="000D5434">
        <w:rPr>
          <w:szCs w:val="22"/>
          <w:lang w:val="es-ES"/>
        </w:rPr>
        <w:t xml:space="preserve">El </w:t>
      </w:r>
      <w:r w:rsidRPr="000D5434">
        <w:rPr>
          <w:iCs/>
          <w:szCs w:val="22"/>
          <w:lang w:val="es-ES"/>
        </w:rPr>
        <w:t>Diccionario General de la Lengua Española VOX</w:t>
      </w:r>
      <w:r w:rsidRPr="000D5434">
        <w:rPr>
          <w:szCs w:val="22"/>
          <w:lang w:val="es-ES"/>
        </w:rPr>
        <w:t xml:space="preserve"> explica que “fijar” es “hacer fija [una cosa] en un estado determinado;</w:t>
      </w:r>
      <w:r w:rsidR="00B834A4" w:rsidRPr="000D5434">
        <w:rPr>
          <w:szCs w:val="22"/>
          <w:lang w:val="es-ES"/>
        </w:rPr>
        <w:t xml:space="preserve"> </w:t>
      </w:r>
      <w:r w:rsidRPr="000D5434">
        <w:rPr>
          <w:szCs w:val="22"/>
          <w:lang w:val="es-ES"/>
        </w:rPr>
        <w:t>dar un estado o forma permanente”.</w:t>
      </w:r>
      <w:r w:rsidR="00B834A4" w:rsidRPr="000D5434">
        <w:rPr>
          <w:szCs w:val="22"/>
          <w:lang w:val="es-ES"/>
        </w:rPr>
        <w:t xml:space="preserve"> </w:t>
      </w:r>
      <w:r w:rsidRPr="000D5434">
        <w:rPr>
          <w:szCs w:val="22"/>
          <w:lang w:val="es-ES"/>
        </w:rPr>
        <w:t>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0D5434">
        <w:rPr>
          <w:rStyle w:val="FootnoteReference"/>
          <w:szCs w:val="22"/>
          <w:lang w:val="es-ES"/>
        </w:rPr>
        <w:footnoteReference w:id="59"/>
      </w:r>
      <w:r w:rsidR="00B834A4" w:rsidRPr="000D5434">
        <w:rPr>
          <w:szCs w:val="22"/>
          <w:lang w:val="es-ES"/>
        </w:rPr>
        <w:t xml:space="preserve"> </w:t>
      </w:r>
      <w:r w:rsidRPr="000D5434">
        <w:rPr>
          <w:szCs w:val="22"/>
          <w:lang w:val="es-ES"/>
        </w:rPr>
        <w:t xml:space="preserve">No siempre se prescribe la fijación en un soporte material, pero en el </w:t>
      </w:r>
      <w:r w:rsidRPr="000D5434">
        <w:rPr>
          <w:i/>
          <w:szCs w:val="22"/>
          <w:lang w:val="es-ES"/>
        </w:rPr>
        <w:t>Convenio de Berna para la Protección de las Obras Literarias y Artísticas</w:t>
      </w:r>
      <w:r w:rsidRPr="000D5434">
        <w:rPr>
          <w:szCs w:val="22"/>
          <w:lang w:val="es-ES"/>
        </w:rPr>
        <w:t xml:space="preserve"> (1971) se reserva a las legislaciones nacionales la facultad de establecer dicha condición.</w:t>
      </w:r>
      <w:r w:rsidRPr="000D5434">
        <w:rPr>
          <w:rStyle w:val="FootnoteReference"/>
          <w:szCs w:val="22"/>
          <w:lang w:val="es-ES"/>
        </w:rPr>
        <w:footnoteReference w:id="60"/>
      </w:r>
      <w:r w:rsidR="00B834A4" w:rsidRPr="000D5434">
        <w:rPr>
          <w:szCs w:val="22"/>
          <w:lang w:val="es-ES"/>
        </w:rPr>
        <w:t xml:space="preserve"> </w:t>
      </w:r>
      <w:r w:rsidRPr="000D5434">
        <w:rPr>
          <w:szCs w:val="22"/>
          <w:lang w:val="es-ES"/>
        </w:rPr>
        <w:t>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0D5434">
        <w:rPr>
          <w:rStyle w:val="FootnoteReference"/>
          <w:szCs w:val="22"/>
          <w:lang w:val="es-ES"/>
        </w:rPr>
        <w:footnoteReference w:id="61"/>
      </w:r>
      <w:r w:rsidR="00B834A4" w:rsidRPr="000D5434">
        <w:rPr>
          <w:szCs w:val="22"/>
          <w:lang w:val="es-ES"/>
        </w:rPr>
        <w:t xml:space="preserve"> </w:t>
      </w:r>
      <w:r w:rsidRPr="000D5434">
        <w:rPr>
          <w:szCs w:val="22"/>
          <w:lang w:val="es-ES"/>
        </w:rPr>
        <w:t>Se ha sostenido que el uso del término “expresión” parece indicar que es necesario cumplir el requisito de la fijación para obtener la protección de las expresiones culturales tradicionales.</w:t>
      </w:r>
      <w:r w:rsidRPr="000D5434">
        <w:rPr>
          <w:rStyle w:val="FootnoteReference"/>
          <w:szCs w:val="22"/>
          <w:lang w:val="es-ES"/>
        </w:rPr>
        <w:footnoteReference w:id="62"/>
      </w:r>
    </w:p>
    <w:p w:rsidR="00C0409B" w:rsidRPr="000D5434" w:rsidRDefault="00C0409B" w:rsidP="00103D66">
      <w:pPr>
        <w:pStyle w:val="ONUMFS"/>
        <w:numPr>
          <w:ilvl w:val="0"/>
          <w:numId w:val="0"/>
        </w:numPr>
        <w:rPr>
          <w:b/>
          <w:bCs/>
          <w:szCs w:val="22"/>
          <w:lang w:val="es-ES"/>
        </w:rPr>
      </w:pPr>
      <w:r w:rsidRPr="000D5434">
        <w:rPr>
          <w:b/>
          <w:bCs/>
          <w:szCs w:val="22"/>
          <w:lang w:val="es-ES"/>
        </w:rPr>
        <w:t>Folclore</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Recomendación sobre la Salvaguardia de la Cultura Tradicional y Popular</w:t>
      </w:r>
      <w:r w:rsidRPr="000D5434">
        <w:rPr>
          <w:szCs w:val="22"/>
          <w:lang w:val="es-ES"/>
        </w:rPr>
        <w:t xml:space="preserve"> (1989)</w:t>
      </w:r>
      <w:r w:rsidR="006748FD" w:rsidRPr="000D5434">
        <w:rPr>
          <w:szCs w:val="22"/>
          <w:lang w:val="es-ES"/>
        </w:rPr>
        <w:t xml:space="preserve"> , de la UNESCO,</w:t>
      </w:r>
      <w:r w:rsidRPr="000D5434">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w:t>
      </w:r>
      <w:r w:rsidR="00B834A4" w:rsidRPr="000D5434">
        <w:rPr>
          <w:szCs w:val="22"/>
          <w:lang w:val="es-ES"/>
        </w:rPr>
        <w:t xml:space="preserve"> </w:t>
      </w:r>
      <w:r w:rsidRPr="000D5434">
        <w:rPr>
          <w:szCs w:val="22"/>
          <w:lang w:val="es-ES"/>
        </w:rPr>
        <w:t>las normas y los valores se transmiten oralmente, por imitación o de otras maneras.</w:t>
      </w:r>
      <w:r w:rsidR="00B834A4" w:rsidRPr="000D5434">
        <w:rPr>
          <w:szCs w:val="22"/>
          <w:lang w:val="es-ES"/>
        </w:rPr>
        <w:t xml:space="preserve"> </w:t>
      </w:r>
      <w:r w:rsidRPr="000D5434">
        <w:rPr>
          <w:szCs w:val="22"/>
          <w:lang w:val="es-ES"/>
        </w:rPr>
        <w:t>Sus formas comprenden, entre otras, la lengua, la literatura, la música, la danza, los juegos, la mitología, los ritos, las costumbres, la artesanía, la arquitectura y otras artes”.</w:t>
      </w:r>
    </w:p>
    <w:p w:rsidR="00C0409B" w:rsidRPr="000D5434" w:rsidRDefault="00C0409B" w:rsidP="00103D66">
      <w:pPr>
        <w:pStyle w:val="ONUMFS"/>
        <w:numPr>
          <w:ilvl w:val="0"/>
          <w:numId w:val="0"/>
        </w:numPr>
        <w:rPr>
          <w:szCs w:val="22"/>
          <w:lang w:val="es-ES"/>
        </w:rPr>
      </w:pPr>
      <w:r w:rsidRPr="000D5434">
        <w:rPr>
          <w:szCs w:val="22"/>
          <w:lang w:val="es-ES"/>
        </w:rPr>
        <w:t>Los primeros esfuerzos para reglamentar la utilización de las creaciones del folclore se efectuaron en el marco de varias leyes sobre derecho de autor (Túnez, 1967;</w:t>
      </w:r>
      <w:r w:rsidR="00B834A4" w:rsidRPr="000D5434">
        <w:rPr>
          <w:szCs w:val="22"/>
          <w:lang w:val="es-ES"/>
        </w:rPr>
        <w:t xml:space="preserve"> </w:t>
      </w:r>
      <w:r w:rsidRPr="000D5434">
        <w:rPr>
          <w:szCs w:val="22"/>
          <w:lang w:val="es-ES"/>
        </w:rPr>
        <w:t>Bolivia, 1968 (únicamente respecto del folclore musical);</w:t>
      </w:r>
      <w:r w:rsidR="00B834A4" w:rsidRPr="000D5434">
        <w:rPr>
          <w:szCs w:val="22"/>
          <w:lang w:val="es-ES"/>
        </w:rPr>
        <w:t xml:space="preserve"> </w:t>
      </w:r>
      <w:r w:rsidRPr="000D5434">
        <w:rPr>
          <w:szCs w:val="22"/>
          <w:lang w:val="es-ES"/>
        </w:rPr>
        <w:t>Chile, 1970;</w:t>
      </w:r>
      <w:r w:rsidR="00B834A4" w:rsidRPr="000D5434">
        <w:rPr>
          <w:szCs w:val="22"/>
          <w:lang w:val="es-ES"/>
        </w:rPr>
        <w:t xml:space="preserve"> </w:t>
      </w:r>
      <w:r w:rsidRPr="000D5434">
        <w:rPr>
          <w:szCs w:val="22"/>
          <w:lang w:val="es-ES"/>
        </w:rPr>
        <w:t>Marruecos, 1970;</w:t>
      </w:r>
      <w:r w:rsidR="00B834A4" w:rsidRPr="000D5434">
        <w:rPr>
          <w:szCs w:val="22"/>
          <w:lang w:val="es-ES"/>
        </w:rPr>
        <w:t xml:space="preserve"> </w:t>
      </w:r>
      <w:r w:rsidRPr="000D5434">
        <w:rPr>
          <w:szCs w:val="22"/>
          <w:lang w:val="es-ES"/>
        </w:rPr>
        <w:t>Argelia, 1973;</w:t>
      </w:r>
      <w:r w:rsidR="00B834A4" w:rsidRPr="000D5434">
        <w:rPr>
          <w:szCs w:val="22"/>
          <w:lang w:val="es-ES"/>
        </w:rPr>
        <w:t xml:space="preserve"> </w:t>
      </w:r>
      <w:r w:rsidRPr="000D5434">
        <w:rPr>
          <w:szCs w:val="22"/>
          <w:lang w:val="es-ES"/>
        </w:rPr>
        <w:t>Senegal, 1973;</w:t>
      </w:r>
      <w:r w:rsidR="00B834A4" w:rsidRPr="000D5434">
        <w:rPr>
          <w:szCs w:val="22"/>
          <w:lang w:val="es-ES"/>
        </w:rPr>
        <w:t xml:space="preserve"> </w:t>
      </w:r>
      <w:r w:rsidRPr="000D5434">
        <w:rPr>
          <w:szCs w:val="22"/>
          <w:lang w:val="es-ES"/>
        </w:rPr>
        <w:t>Kenya, 1975;</w:t>
      </w:r>
      <w:r w:rsidR="00B834A4" w:rsidRPr="000D5434">
        <w:rPr>
          <w:szCs w:val="22"/>
          <w:lang w:val="es-ES"/>
        </w:rPr>
        <w:t xml:space="preserve"> </w:t>
      </w:r>
      <w:r w:rsidRPr="000D5434">
        <w:rPr>
          <w:szCs w:val="22"/>
          <w:lang w:val="es-ES"/>
        </w:rPr>
        <w:t>Malí, 1977;</w:t>
      </w:r>
      <w:r w:rsidR="00B834A4" w:rsidRPr="000D5434">
        <w:rPr>
          <w:szCs w:val="22"/>
          <w:lang w:val="es-ES"/>
        </w:rPr>
        <w:t xml:space="preserve"> </w:t>
      </w:r>
      <w:r w:rsidRPr="000D5434">
        <w:rPr>
          <w:szCs w:val="22"/>
          <w:lang w:val="es-ES"/>
        </w:rPr>
        <w:t>Burundi, 1978;</w:t>
      </w:r>
      <w:r w:rsidR="00B834A4" w:rsidRPr="000D5434">
        <w:rPr>
          <w:szCs w:val="22"/>
          <w:lang w:val="es-ES"/>
        </w:rPr>
        <w:t xml:space="preserve"> </w:t>
      </w:r>
      <w:r w:rsidRPr="000D5434">
        <w:rPr>
          <w:szCs w:val="22"/>
          <w:lang w:val="es-ES"/>
        </w:rPr>
        <w:t>Costa de Marfil, 1978;</w:t>
      </w:r>
      <w:r w:rsidR="00B834A4" w:rsidRPr="000D5434">
        <w:rPr>
          <w:szCs w:val="22"/>
          <w:lang w:val="es-ES"/>
        </w:rPr>
        <w:t xml:space="preserve"> </w:t>
      </w:r>
      <w:r w:rsidRPr="000D5434">
        <w:rPr>
          <w:szCs w:val="22"/>
          <w:lang w:val="es-ES"/>
        </w:rPr>
        <w:t>Guinea, 1980;</w:t>
      </w:r>
      <w:r w:rsidR="00B834A4" w:rsidRPr="000D5434">
        <w:rPr>
          <w:szCs w:val="22"/>
          <w:lang w:val="es-ES"/>
        </w:rPr>
        <w:t xml:space="preserve"> </w:t>
      </w:r>
      <w:r w:rsidRPr="000D5434">
        <w:rPr>
          <w:szCs w:val="22"/>
          <w:lang w:val="es-ES"/>
        </w:rPr>
        <w:t xml:space="preserve">Ley </w:t>
      </w:r>
      <w:r w:rsidR="00BA6F87" w:rsidRPr="000D5434">
        <w:rPr>
          <w:szCs w:val="22"/>
          <w:lang w:val="es-ES"/>
        </w:rPr>
        <w:t xml:space="preserve">tipo </w:t>
      </w:r>
      <w:r w:rsidRPr="000D5434">
        <w:rPr>
          <w:szCs w:val="22"/>
          <w:lang w:val="es-ES"/>
        </w:rPr>
        <w:t>de Túnez sobre el derecho de autor para los países en desarrollo, 1976) y en un tratado internacional (el texto de Bangui de 1977 de la Convención de la Organización Africana de la Propiedad Intelectual, denominado en adelante “la Convención de la OAPl”).</w:t>
      </w:r>
      <w:r w:rsidR="00B834A4" w:rsidRPr="000D5434">
        <w:rPr>
          <w:szCs w:val="22"/>
          <w:lang w:val="es-ES"/>
        </w:rPr>
        <w:t xml:space="preserve"> </w:t>
      </w:r>
      <w:r w:rsidRPr="000D5434">
        <w:rPr>
          <w:szCs w:val="22"/>
          <w:lang w:val="es-ES"/>
        </w:rPr>
        <w:t>En todos estos textos las obras del folclore se consideran como parte del patrimonio cultural de la nación (“patrimonio tradicional”, “patrimonio cultural”;</w:t>
      </w:r>
      <w:r w:rsidR="00B834A4" w:rsidRPr="000D5434">
        <w:rPr>
          <w:szCs w:val="22"/>
          <w:lang w:val="es-ES"/>
        </w:rPr>
        <w:t xml:space="preserve"> </w:t>
      </w:r>
      <w:r w:rsidRPr="000D5434">
        <w:rPr>
          <w:szCs w:val="22"/>
          <w:lang w:val="es-ES"/>
        </w:rPr>
        <w:t>en Chile, “dominio público cultural”, cuya utilización está sujeta a pago).</w:t>
      </w:r>
      <w:r w:rsidR="00B834A4" w:rsidRPr="000D5434">
        <w:rPr>
          <w:szCs w:val="22"/>
          <w:lang w:val="es-ES"/>
        </w:rPr>
        <w:t xml:space="preserve"> </w:t>
      </w:r>
      <w:r w:rsidRPr="000D5434">
        <w:rPr>
          <w:szCs w:val="22"/>
          <w:lang w:val="es-ES"/>
        </w:rPr>
        <w:t>Sin embargo, el significado del folclore, tal como queda abarcado en esos textos, se comprende en formas diferentes.</w:t>
      </w:r>
      <w:r w:rsidR="00B834A4" w:rsidRPr="000D5434">
        <w:rPr>
          <w:szCs w:val="22"/>
          <w:lang w:val="es-ES"/>
        </w:rPr>
        <w:t xml:space="preserve"> </w:t>
      </w:r>
      <w:r w:rsidRPr="000D5434">
        <w:rPr>
          <w:szCs w:val="22"/>
          <w:lang w:val="es-ES"/>
        </w:rPr>
        <w:t xml:space="preserve">Un importante elemento común del tipo del derecho de autor, que se encuentra en las definiciones de dichas leyes (con excepción de la </w:t>
      </w:r>
      <w:r w:rsidR="00BA6F87" w:rsidRPr="000D5434">
        <w:rPr>
          <w:i/>
          <w:szCs w:val="22"/>
          <w:lang w:val="es-ES"/>
        </w:rPr>
        <w:t xml:space="preserve">Ley tipo </w:t>
      </w:r>
      <w:r w:rsidRPr="000D5434">
        <w:rPr>
          <w:i/>
          <w:szCs w:val="22"/>
          <w:lang w:val="es-ES"/>
        </w:rPr>
        <w:t>de Túnez</w:t>
      </w:r>
      <w:r w:rsidRPr="000D5434">
        <w:rPr>
          <w:szCs w:val="22"/>
          <w:lang w:val="es-ES"/>
        </w:rPr>
        <w:t>, que no contiene ninguna definición), es que el folclore debe haber sido creado por autores de identidad desconocida pero que presumiblemente sean o hayan sido nacionales del país.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menciona las creaciones hechas por “comunidades'“ y no por autores, lo que traza un límite entre las creaciones del folclore y las obras protegidas por el derecho de autor convencional.</w:t>
      </w:r>
      <w:r w:rsidR="00B834A4" w:rsidRPr="000D5434">
        <w:rPr>
          <w:szCs w:val="22"/>
          <w:lang w:val="es-ES"/>
        </w:rPr>
        <w:t xml:space="preserve"> </w:t>
      </w:r>
      <w:r w:rsidRPr="000D5434">
        <w:rPr>
          <w:szCs w:val="22"/>
          <w:lang w:val="es-ES"/>
        </w:rPr>
        <w:t xml:space="preserve">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define el folclore utilizando ambas variantes, y conforme a ella se considera que el folclore significa creaciones “de autores que se presuman nacionales de [los] países [respectivos] o de sus comunidades étnicas”.</w:t>
      </w:r>
      <w:r w:rsidR="00B834A4" w:rsidRPr="000D5434">
        <w:rPr>
          <w:szCs w:val="22"/>
          <w:lang w:val="es-ES"/>
        </w:rPr>
        <w:t xml:space="preserve"> </w:t>
      </w:r>
      <w:r w:rsidRPr="000D5434">
        <w:rPr>
          <w:szCs w:val="22"/>
          <w:lang w:val="es-ES"/>
        </w:rPr>
        <w:t>De conformidad con la Ley de Marruecos, el folclore comprende todas las obras no publicadas de esa clase, mientras que las Leyes de Argelia y Túnez no limitan el alcance del folclore a las obras no publicadas.</w:t>
      </w:r>
      <w:r w:rsidR="00B834A4" w:rsidRPr="000D5434">
        <w:rPr>
          <w:szCs w:val="22"/>
          <w:lang w:val="es-ES"/>
        </w:rPr>
        <w:t xml:space="preserve"> </w:t>
      </w:r>
      <w:r w:rsidRPr="000D5434">
        <w:rPr>
          <w:szCs w:val="22"/>
          <w:lang w:val="es-ES"/>
        </w:rPr>
        <w:t>La Ley de Senegal interpreta expresamente la noción de folclore en el sentido de que comprende tanto obras literarias como artísticas.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y 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establecen que el folclore comprende también obras científicas.</w:t>
      </w:r>
      <w:r w:rsidR="00B834A4" w:rsidRPr="000D5434">
        <w:rPr>
          <w:szCs w:val="22"/>
          <w:lang w:val="es-ES"/>
        </w:rPr>
        <w:t xml:space="preserve"> </w:t>
      </w:r>
      <w:r w:rsidRPr="000D5434">
        <w:rPr>
          <w:szCs w:val="22"/>
          <w:lang w:val="es-ES"/>
        </w:rPr>
        <w:t>La mayoría de las normas jurídicas aludidas reconocen que las “obras inspiradas en el folclore” constituyen una categoría diferente de obras, cuya utilización con fines comerciales exige la aprobación de un órgano competente”.</w:t>
      </w:r>
      <w:r w:rsidRPr="000D5434">
        <w:rPr>
          <w:rStyle w:val="FootnoteReference"/>
          <w:szCs w:val="22"/>
          <w:lang w:val="es-ES"/>
        </w:rPr>
        <w:footnoteReference w:id="63"/>
      </w:r>
    </w:p>
    <w:p w:rsidR="00C0409B" w:rsidRPr="000D5434" w:rsidRDefault="00C0409B" w:rsidP="00103D66">
      <w:pPr>
        <w:pStyle w:val="ONUMFS"/>
        <w:numPr>
          <w:ilvl w:val="0"/>
          <w:numId w:val="0"/>
        </w:numPr>
        <w:rPr>
          <w:b/>
          <w:bCs/>
          <w:szCs w:val="22"/>
          <w:lang w:val="es-ES"/>
        </w:rPr>
      </w:pPr>
      <w:r w:rsidRPr="000D5434">
        <w:rPr>
          <w:b/>
          <w:bCs/>
          <w:szCs w:val="22"/>
          <w:lang w:val="es-ES"/>
        </w:rPr>
        <w:t>Formalidades</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“formalidades” se entiende “cada uno de los requisitos para ejecutar algo”.</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son “cada uno de los actos o condiciones reglamentarios o legales que hay que cumplir en la tramitación o ejecución de algo”.</w:t>
      </w:r>
      <w:r w:rsidR="00B834A4" w:rsidRPr="000D5434">
        <w:rPr>
          <w:szCs w:val="22"/>
          <w:lang w:val="es-ES"/>
        </w:rPr>
        <w:t xml:space="preserve"> </w:t>
      </w:r>
      <w:r w:rsidRPr="000D5434">
        <w:rPr>
          <w:szCs w:val="22"/>
          <w:lang w:val="es-ES"/>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0D5434">
        <w:rPr>
          <w:rStyle w:val="FootnoteReference"/>
          <w:szCs w:val="22"/>
          <w:lang w:val="es-ES"/>
        </w:rPr>
        <w:footnoteReference w:id="64"/>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el </w:t>
      </w:r>
      <w:r w:rsidRPr="000D5434">
        <w:rPr>
          <w:i/>
          <w:szCs w:val="22"/>
          <w:lang w:val="es-ES"/>
        </w:rPr>
        <w:t>Acuerdo sobre los ADPIC</w:t>
      </w:r>
      <w:r w:rsidRPr="000D5434">
        <w:rPr>
          <w:szCs w:val="22"/>
          <w:lang w:val="es-ES"/>
        </w:rPr>
        <w:t xml:space="preserve">, el </w:t>
      </w:r>
      <w:r w:rsidRPr="000D5434">
        <w:rPr>
          <w:i/>
          <w:szCs w:val="22"/>
          <w:lang w:val="es-ES"/>
        </w:rPr>
        <w:t>Tratado de la OMPI sobre Derecho de Autor</w:t>
      </w:r>
      <w:r w:rsidRPr="000D5434">
        <w:rPr>
          <w:szCs w:val="22"/>
          <w:lang w:val="es-ES"/>
        </w:rPr>
        <w:t xml:space="preserve"> y el </w:t>
      </w:r>
      <w:r w:rsidRPr="000D5434">
        <w:rPr>
          <w:i/>
          <w:szCs w:val="22"/>
          <w:lang w:val="es-ES"/>
        </w:rPr>
        <w:t>Tratado de la OMPI sobre Interpretación o Ejecución y Fonogramas</w:t>
      </w:r>
      <w:r w:rsidRPr="000D5434">
        <w:rPr>
          <w:szCs w:val="22"/>
          <w:lang w:val="es-ES"/>
        </w:rPr>
        <w:t>, “el goce y el ejercicio de estos derechos no estarán subordinados a ninguna formalidad”.</w:t>
      </w:r>
      <w:r w:rsidRPr="000D5434">
        <w:rPr>
          <w:rStyle w:val="FootnoteReference"/>
          <w:szCs w:val="22"/>
          <w:lang w:val="es-ES"/>
        </w:rPr>
        <w:footnoteReference w:id="65"/>
      </w:r>
    </w:p>
    <w:p w:rsidR="00C0409B" w:rsidRPr="000D5434" w:rsidRDefault="00C0409B" w:rsidP="00103D66">
      <w:pPr>
        <w:pStyle w:val="ONUMFS"/>
        <w:numPr>
          <w:ilvl w:val="0"/>
          <w:numId w:val="0"/>
        </w:numPr>
        <w:rPr>
          <w:b/>
          <w:bCs/>
          <w:szCs w:val="22"/>
          <w:lang w:val="es-ES"/>
        </w:rPr>
      </w:pPr>
      <w:r w:rsidRPr="000D5434">
        <w:rPr>
          <w:b/>
          <w:bCs/>
          <w:szCs w:val="22"/>
          <w:lang w:val="es-ES"/>
        </w:rPr>
        <w:t>Material genético</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“material genético” como “todo material de origen vegetal, animal, microbiano o de otro tipo que contenga unidades funcionales de la herencia”.</w:t>
      </w:r>
      <w:r w:rsidR="00B834A4" w:rsidRPr="000D5434">
        <w:rPr>
          <w:szCs w:val="22"/>
          <w:lang w:val="es-ES"/>
        </w:rPr>
        <w:t xml:space="preserve"> </w:t>
      </w:r>
      <w:r w:rsidRPr="000D5434">
        <w:rPr>
          <w:szCs w:val="22"/>
          <w:lang w:val="es-ES"/>
        </w:rPr>
        <w:t>También se ha propuesto definir el término de “material genético” como “material procedente de toda fuente biológica en que las unidades de la herencia efectúan o tienen una función”.</w:t>
      </w:r>
      <w:r w:rsidRPr="000D5434">
        <w:rPr>
          <w:rStyle w:val="FootnoteReference"/>
          <w:szCs w:val="22"/>
          <w:lang w:val="es-ES"/>
        </w:rPr>
        <w:footnoteReference w:id="66"/>
      </w:r>
    </w:p>
    <w:p w:rsidR="00C0409B" w:rsidRPr="000D5434" w:rsidRDefault="00C0409B" w:rsidP="00103D66">
      <w:pPr>
        <w:pStyle w:val="ONUMFS"/>
        <w:numPr>
          <w:ilvl w:val="0"/>
          <w:numId w:val="0"/>
        </w:numPr>
        <w:rPr>
          <w:b/>
          <w:bCs/>
          <w:szCs w:val="22"/>
          <w:lang w:val="es-ES"/>
        </w:rPr>
      </w:pPr>
      <w:r w:rsidRPr="000D5434">
        <w:rPr>
          <w:b/>
          <w:bCs/>
          <w:szCs w:val="22"/>
          <w:lang w:val="es-ES"/>
        </w:rPr>
        <w:t>Recursos genéticos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w:t>
      </w:r>
      <w:r w:rsidRPr="000D5434">
        <w:rPr>
          <w:iCs/>
          <w:szCs w:val="22"/>
          <w:lang w:val="es-ES"/>
        </w:rPr>
        <w:t>recursos genéticos”</w:t>
      </w:r>
      <w:r w:rsidRPr="000D5434">
        <w:rPr>
          <w:szCs w:val="22"/>
          <w:lang w:val="es-ES"/>
        </w:rPr>
        <w:t xml:space="preserve"> como “todo material genético de valor real o potencial”.</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acerca de un Régimen Común sobre Acceso a los Recursos Genéticos</w:t>
      </w:r>
      <w:r w:rsidRPr="000D5434">
        <w:rPr>
          <w:szCs w:val="22"/>
          <w:lang w:val="es-ES"/>
        </w:rPr>
        <w:t xml:space="preserve">, </w:t>
      </w:r>
      <w:r w:rsidR="00642D79" w:rsidRPr="000D5434">
        <w:rPr>
          <w:szCs w:val="22"/>
          <w:lang w:val="es-ES"/>
        </w:rPr>
        <w:t xml:space="preserve">de la Comunidad Andina, </w:t>
      </w:r>
      <w:r w:rsidRPr="000D5434">
        <w:rPr>
          <w:szCs w:val="22"/>
          <w:lang w:val="es-ES"/>
        </w:rPr>
        <w:t>el término de “recursos genéticos” se define ampliamente como “todo material de naturaleza biológica que contenga información genética de valor o utilidad real o potencial”.</w:t>
      </w:r>
    </w:p>
    <w:p w:rsidR="00C0409B" w:rsidRPr="000D5434" w:rsidRDefault="00C0409B" w:rsidP="00103D66">
      <w:pPr>
        <w:pStyle w:val="ONUMFS"/>
        <w:numPr>
          <w:ilvl w:val="0"/>
          <w:numId w:val="0"/>
        </w:numPr>
        <w:rPr>
          <w:szCs w:val="22"/>
          <w:lang w:val="es-ES"/>
        </w:rPr>
      </w:pPr>
      <w:r w:rsidRPr="000D5434">
        <w:rPr>
          <w:szCs w:val="22"/>
          <w:lang w:val="es-ES"/>
        </w:rPr>
        <w:t>En el Glosario de pesca de la FAO, el término se define como “germoplasma vegetal, animal o de otros organismos que contiene características útiles de valor presente o futuro.</w:t>
      </w:r>
      <w:r w:rsidR="00B834A4" w:rsidRPr="000D5434">
        <w:rPr>
          <w:szCs w:val="22"/>
          <w:lang w:val="es-ES"/>
        </w:rPr>
        <w:t xml:space="preserve"> </w:t>
      </w:r>
      <w:r w:rsidRPr="000D5434">
        <w:rPr>
          <w:szCs w:val="22"/>
          <w:lang w:val="es-ES"/>
        </w:rPr>
        <w:t>En especies domesticadas, es la suma de todas las combinaciones genéticas producidas en el proceso de evolución”.</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hace referencia a los recursos genéticos mediante diferentes términos:</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Según el artículo 2 del</w:t>
      </w:r>
      <w:r w:rsidRPr="000D5434">
        <w:rPr>
          <w:rStyle w:val="Emphasis"/>
          <w:szCs w:val="22"/>
          <w:lang w:val="es-ES"/>
        </w:rPr>
        <w:t xml:space="preserve"> Tratado Internacional sobre los Recursos Fitogenéticos para la Alimentación y la Agricultura </w:t>
      </w:r>
      <w:r w:rsidRPr="000D5434">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En el artículo 2 del</w:t>
      </w:r>
      <w:r w:rsidRPr="000D5434">
        <w:rPr>
          <w:rStyle w:val="Emphasis"/>
          <w:szCs w:val="22"/>
          <w:lang w:val="es-ES"/>
        </w:rPr>
        <w:t xml:space="preserve"> Código Internacional de Conducta para la Recolección y Transferencia de Germoplasma Vegetal </w:t>
      </w:r>
      <w:r w:rsidRPr="000D5434">
        <w:rPr>
          <w:rStyle w:val="Emphasis"/>
          <w:i w:val="0"/>
          <w:szCs w:val="22"/>
          <w:lang w:val="es-ES"/>
        </w:rPr>
        <w:t>de la FAO, el término se define como “material de reproducción o de propagación vegetativa de las plantas”.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2.1.a) del </w:t>
      </w:r>
      <w:r w:rsidRPr="000D5434">
        <w:rPr>
          <w:i/>
          <w:szCs w:val="22"/>
          <w:lang w:val="es-ES"/>
        </w:rPr>
        <w:t>Compromiso Internacional sobre los Recursos Fitogenéticos</w:t>
      </w:r>
      <w:r w:rsidRPr="000D5434">
        <w:rPr>
          <w:szCs w:val="22"/>
          <w:lang w:val="es-ES"/>
        </w:rPr>
        <w:t xml:space="preserve"> (1983), </w:t>
      </w:r>
      <w:r w:rsidR="00642D79" w:rsidRPr="000D5434">
        <w:rPr>
          <w:szCs w:val="22"/>
          <w:lang w:val="es-ES"/>
        </w:rPr>
        <w:t xml:space="preserve">de la FAO, </w:t>
      </w:r>
      <w:r w:rsidRPr="000D5434">
        <w:rPr>
          <w:szCs w:val="22"/>
          <w:lang w:val="es-ES"/>
        </w:rPr>
        <w:t>el término se define como “material de reproducción o de propagación vegetativa de las siguientes clases de plantas:</w:t>
      </w:r>
      <w:r w:rsidR="00B834A4" w:rsidRPr="000D5434">
        <w:rPr>
          <w:szCs w:val="22"/>
          <w:lang w:val="es-ES"/>
        </w:rPr>
        <w:t xml:space="preserve"> </w:t>
      </w:r>
      <w:r w:rsidRPr="000D5434">
        <w:rPr>
          <w:szCs w:val="22"/>
          <w:lang w:val="es-ES"/>
        </w:rPr>
        <w:t>i) variedades cultivadas (cultivares) utilizadas actualmente y variedades recién obtenidas;</w:t>
      </w:r>
      <w:r w:rsidR="00B834A4" w:rsidRPr="000D5434">
        <w:rPr>
          <w:szCs w:val="22"/>
          <w:lang w:val="es-ES"/>
        </w:rPr>
        <w:t xml:space="preserve"> </w:t>
      </w:r>
      <w:r w:rsidRPr="000D5434">
        <w:rPr>
          <w:szCs w:val="22"/>
          <w:lang w:val="es-ES"/>
        </w:rPr>
        <w:t>ii) cultivares en desuso;</w:t>
      </w:r>
      <w:r w:rsidR="00B834A4" w:rsidRPr="000D5434">
        <w:rPr>
          <w:szCs w:val="22"/>
          <w:lang w:val="es-ES"/>
        </w:rPr>
        <w:t xml:space="preserve"> </w:t>
      </w:r>
      <w:r w:rsidRPr="000D5434">
        <w:rPr>
          <w:szCs w:val="22"/>
          <w:lang w:val="es-ES"/>
        </w:rPr>
        <w:t>iii) cultivares primitivos (variedades locales);</w:t>
      </w:r>
      <w:r w:rsidR="00B834A4" w:rsidRPr="000D5434">
        <w:rPr>
          <w:szCs w:val="22"/>
          <w:lang w:val="es-ES"/>
        </w:rPr>
        <w:t xml:space="preserve"> </w:t>
      </w:r>
      <w:r w:rsidRPr="000D5434">
        <w:rPr>
          <w:szCs w:val="22"/>
          <w:lang w:val="es-ES"/>
        </w:rPr>
        <w:t>iv) especies silvestres y malas hierbas, parientes próximas de variedades cultivadas;</w:t>
      </w:r>
      <w:r w:rsidR="00B834A4" w:rsidRPr="000D5434">
        <w:rPr>
          <w:szCs w:val="22"/>
          <w:lang w:val="es-ES"/>
        </w:rPr>
        <w:t xml:space="preserve"> </w:t>
      </w:r>
      <w:r w:rsidRPr="000D5434">
        <w:rPr>
          <w:szCs w:val="22"/>
          <w:lang w:val="es-ES"/>
        </w:rPr>
        <w:t>y v) estirpes genéticas especiales (entre ellas las líneas y mutantes selectos y actuales de los fitogenetistas)”.</w:t>
      </w:r>
      <w:r w:rsidR="00B834A4" w:rsidRPr="000D5434">
        <w:rPr>
          <w:szCs w:val="22"/>
          <w:lang w:val="es-ES"/>
        </w:rPr>
        <w:t xml:space="preserve"> </w:t>
      </w:r>
      <w:r w:rsidRPr="000D5434">
        <w:rPr>
          <w:szCs w:val="22"/>
          <w:lang w:val="es-ES"/>
        </w:rPr>
        <w:t>En el Compromiso Internacional no se hace referencia a las “unidades funcionales de la herencia”.</w:t>
      </w:r>
    </w:p>
    <w:p w:rsidR="00C0409B" w:rsidRPr="000D5434" w:rsidRDefault="00C0409B" w:rsidP="00B16297">
      <w:pPr>
        <w:pStyle w:val="ONUMFS"/>
        <w:numPr>
          <w:ilvl w:val="0"/>
          <w:numId w:val="0"/>
        </w:numPr>
        <w:rPr>
          <w:b/>
          <w:bCs/>
          <w:szCs w:val="22"/>
          <w:lang w:val="es-ES"/>
        </w:rPr>
      </w:pPr>
      <w:r w:rsidRPr="000D5434">
        <w:rPr>
          <w:b/>
          <w:bCs/>
          <w:szCs w:val="22"/>
          <w:lang w:val="es-ES"/>
        </w:rPr>
        <w:t>Patrimonio (de los pueblos indígenas)</w:t>
      </w:r>
    </w:p>
    <w:p w:rsidR="00C0409B" w:rsidRPr="000D5434" w:rsidRDefault="00C0409B" w:rsidP="00B16297">
      <w:pPr>
        <w:pStyle w:val="ONUMFS"/>
        <w:numPr>
          <w:ilvl w:val="0"/>
          <w:numId w:val="0"/>
        </w:numPr>
        <w:rPr>
          <w:szCs w:val="22"/>
          <w:lang w:val="es-ES"/>
        </w:rPr>
      </w:pPr>
      <w:r w:rsidRPr="000D5434">
        <w:rPr>
          <w:szCs w:val="22"/>
          <w:lang w:val="es-ES"/>
        </w:rPr>
        <w:t xml:space="preserve">El término “patrimonio de los pueblos indígenas” (y otros pueblos) o “patrimonio cultural indígena” se refiere, en un sentido amplio, a las cuestiones que se exponen en el </w:t>
      </w:r>
      <w:r w:rsidRPr="000D5434">
        <w:rPr>
          <w:i/>
          <w:szCs w:val="22"/>
          <w:lang w:val="es-ES"/>
        </w:rPr>
        <w:t>Proyecto de principios y directrices para la protección del patrimonio de los pueblos indígenas</w:t>
      </w:r>
      <w:r w:rsidRPr="000D5434">
        <w:rPr>
          <w:szCs w:val="22"/>
          <w:lang w:val="es-ES"/>
        </w:rPr>
        <w:t xml:space="preserve"> (2000), elaborado por la Presidenta-Relatora de la Subcomisión de Promoción y Protección de los Derechos Humanos, Sra. Erica-Irene Daes.</w:t>
      </w:r>
      <w:r w:rsidR="00B834A4" w:rsidRPr="000D5434">
        <w:rPr>
          <w:szCs w:val="22"/>
          <w:lang w:val="es-ES"/>
        </w:rPr>
        <w:t xml:space="preserve"> </w:t>
      </w:r>
      <w:r w:rsidRPr="000D5434">
        <w:rPr>
          <w:szCs w:val="22"/>
          <w:lang w:val="es-ES"/>
        </w:rPr>
        <w:t>Las definiciones se recogen en los párrafos 12, 13 y 14 de las Directrices.</w:t>
      </w:r>
    </w:p>
    <w:p w:rsidR="00C0409B" w:rsidRPr="000D5434" w:rsidRDefault="00C0409B" w:rsidP="00103D66">
      <w:pPr>
        <w:pStyle w:val="ONUMFS"/>
        <w:numPr>
          <w:ilvl w:val="0"/>
          <w:numId w:val="0"/>
        </w:numPr>
        <w:rPr>
          <w:szCs w:val="22"/>
          <w:lang w:val="es-ES"/>
        </w:rPr>
      </w:pPr>
      <w:r w:rsidRPr="000D5434">
        <w:rPr>
          <w:szCs w:val="22"/>
          <w:lang w:val="es-ES"/>
        </w:rPr>
        <w:t>En el párrafo 12 se establece que:</w:t>
      </w:r>
      <w:r w:rsidR="00B834A4" w:rsidRPr="000D5434">
        <w:rPr>
          <w:szCs w:val="22"/>
          <w:lang w:val="es-ES"/>
        </w:rPr>
        <w:t xml:space="preserve"> </w:t>
      </w:r>
      <w:r w:rsidRPr="000D5434">
        <w:rPr>
          <w:szCs w:val="22"/>
          <w:lang w:val="es-ES"/>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B834A4" w:rsidRPr="000D5434">
        <w:rPr>
          <w:szCs w:val="22"/>
          <w:lang w:val="es-ES"/>
        </w:rPr>
        <w:t xml:space="preserve"> </w:t>
      </w:r>
      <w:r w:rsidRPr="000D5434">
        <w:rPr>
          <w:szCs w:val="22"/>
          <w:lang w:val="es-ES"/>
        </w:rPr>
        <w:t>El patrimonio de los pueblos indígenas incluye también los objetos, lugares, conocimientos y obras literarias o artísticas que puedan crearse o redescubrirse en el futuro inspirados en esa herencia”.</w:t>
      </w:r>
      <w:r w:rsidR="00B834A4" w:rsidRPr="000D5434">
        <w:rPr>
          <w:szCs w:val="22"/>
          <w:lang w:val="es-ES"/>
        </w:rPr>
        <w:t xml:space="preserve"> </w:t>
      </w:r>
      <w:r w:rsidRPr="000D5434">
        <w:rPr>
          <w:szCs w:val="22"/>
          <w:lang w:val="es-ES"/>
        </w:rPr>
        <w:t>Párrafo 13:</w:t>
      </w:r>
      <w:r w:rsidR="00B834A4" w:rsidRPr="000D5434">
        <w:rPr>
          <w:szCs w:val="22"/>
          <w:lang w:val="es-ES"/>
        </w:rPr>
        <w:t xml:space="preserve"> </w:t>
      </w:r>
      <w:r w:rsidRPr="000D5434">
        <w:rPr>
          <w:szCs w:val="22"/>
          <w:lang w:val="es-ES"/>
        </w:rPr>
        <w:t>“Por patrimonio de los pueblos indígenas se entiende todos los bienes culturales muebles definidos en las convenciones pertinentes de la UNESCO;</w:t>
      </w:r>
      <w:r w:rsidR="00B834A4" w:rsidRPr="000D5434">
        <w:rPr>
          <w:szCs w:val="22"/>
          <w:lang w:val="es-ES"/>
        </w:rPr>
        <w:t xml:space="preserve"> </w:t>
      </w:r>
      <w:r w:rsidRPr="000D5434">
        <w:rPr>
          <w:szCs w:val="22"/>
          <w:lang w:val="es-ES"/>
        </w:rPr>
        <w:t>todos los tipos de obras literarias y artísticas como música, baile, canciones, ceremonias, símbolos y diseños, narración y poesía;</w:t>
      </w:r>
      <w:r w:rsidR="00B834A4" w:rsidRPr="000D5434">
        <w:rPr>
          <w:szCs w:val="22"/>
          <w:lang w:val="es-ES"/>
        </w:rPr>
        <w:t xml:space="preserve"> </w:t>
      </w:r>
      <w:r w:rsidRPr="000D5434">
        <w:rPr>
          <w:szCs w:val="22"/>
          <w:lang w:val="es-ES"/>
        </w:rPr>
        <w:t>y todas las formas de documentación de los pueblos indígenas o sobre ellos;</w:t>
      </w:r>
      <w:r w:rsidR="00B834A4" w:rsidRPr="000D5434">
        <w:rPr>
          <w:szCs w:val="22"/>
          <w:lang w:val="es-ES"/>
        </w:rPr>
        <w:t xml:space="preserve"> </w:t>
      </w:r>
      <w:r w:rsidRPr="000D5434">
        <w:rPr>
          <w:szCs w:val="22"/>
          <w:lang w:val="es-ES"/>
        </w:rPr>
        <w:t>todo tipo de conocimientos científicos, agrícolas, técnicos y ecológicos, incluidas las innovaciones basadas en esos conocimientos, cultígenos, remedios, medicinas y el uso de la flora y de la fauna;</w:t>
      </w:r>
      <w:r w:rsidR="00B834A4" w:rsidRPr="000D5434">
        <w:rPr>
          <w:szCs w:val="22"/>
          <w:lang w:val="es-ES"/>
        </w:rPr>
        <w:t xml:space="preserve"> </w:t>
      </w:r>
      <w:r w:rsidRPr="000D5434">
        <w:rPr>
          <w:szCs w:val="22"/>
          <w:lang w:val="es-ES"/>
        </w:rPr>
        <w:t>restos humanos;</w:t>
      </w:r>
      <w:r w:rsidR="00B834A4" w:rsidRPr="000D5434">
        <w:rPr>
          <w:szCs w:val="22"/>
          <w:lang w:val="es-ES"/>
        </w:rPr>
        <w:t xml:space="preserve"> </w:t>
      </w:r>
      <w:r w:rsidRPr="000D5434">
        <w:rPr>
          <w:szCs w:val="22"/>
          <w:lang w:val="es-ES"/>
        </w:rPr>
        <w:t>bienes culturales inmuebles, como lugares sagrados, emplazamientos de valor cultural, natural e histórico y enterramientos”.</w:t>
      </w:r>
      <w:r w:rsidR="00B834A4" w:rsidRPr="000D5434">
        <w:rPr>
          <w:szCs w:val="22"/>
          <w:lang w:val="es-ES"/>
        </w:rPr>
        <w:t xml:space="preserve"> </w:t>
      </w:r>
      <w:r w:rsidRPr="000D5434">
        <w:rPr>
          <w:szCs w:val="22"/>
          <w:lang w:val="es-ES"/>
        </w:rPr>
        <w:t>Párrafo 14:</w:t>
      </w:r>
      <w:r w:rsidR="00B834A4" w:rsidRPr="000D5434">
        <w:rPr>
          <w:szCs w:val="22"/>
          <w:lang w:val="es-ES"/>
        </w:rPr>
        <w:t xml:space="preserve"> </w:t>
      </w:r>
      <w:r w:rsidRPr="000D5434">
        <w:rPr>
          <w:szCs w:val="22"/>
          <w:lang w:val="es-ES"/>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B834A4" w:rsidRPr="000D5434">
        <w:rPr>
          <w:szCs w:val="22"/>
          <w:lang w:val="es-ES"/>
        </w:rPr>
        <w:t xml:space="preserve"> </w:t>
      </w:r>
      <w:r w:rsidRPr="000D5434">
        <w:rPr>
          <w:szCs w:val="22"/>
          <w:lang w:val="es-ES"/>
        </w:rPr>
        <w:t>Se debe determinar quiénes son los propietarios del patrimonio con arreglo a las propias costumbres, leyes y prácticas de los pueblos indígenas”.</w:t>
      </w:r>
      <w:r w:rsidR="00B834A4" w:rsidRPr="000D5434">
        <w:rPr>
          <w:szCs w:val="22"/>
          <w:lang w:val="es-ES"/>
        </w:rPr>
        <w:t xml:space="preserve"> </w:t>
      </w:r>
      <w:r w:rsidRPr="000D5434">
        <w:rPr>
          <w:szCs w:val="22"/>
          <w:lang w:val="es-ES"/>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B834A4" w:rsidRPr="000D5434">
        <w:rPr>
          <w:szCs w:val="22"/>
          <w:lang w:val="es-ES"/>
        </w:rPr>
        <w:t xml:space="preserve"> </w:t>
      </w:r>
      <w:r w:rsidRPr="000D5434">
        <w:rPr>
          <w:szCs w:val="22"/>
          <w:lang w:val="es-ES"/>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B834A4" w:rsidRPr="000D5434">
        <w:rPr>
          <w:szCs w:val="22"/>
          <w:lang w:val="es-ES"/>
        </w:rPr>
        <w:t xml:space="preserve"> </w:t>
      </w:r>
      <w:r w:rsidRPr="000D5434">
        <w:rPr>
          <w:szCs w:val="22"/>
          <w:lang w:val="es-ES"/>
        </w:rPr>
        <w:t>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w:t>
      </w:r>
      <w:r w:rsidR="00B834A4" w:rsidRPr="000D5434">
        <w:rPr>
          <w:szCs w:val="22"/>
          <w:lang w:val="es-ES"/>
        </w:rPr>
        <w:t xml:space="preserve"> </w:t>
      </w:r>
      <w:r w:rsidRPr="000D5434">
        <w:rPr>
          <w:szCs w:val="22"/>
          <w:lang w:val="es-ES"/>
        </w:rPr>
        <w:t>Los pueblos indígenas recrean constantemente el patrimonio cultural, transmitido de una generación a otra, en función de los cambios de su entorno y su interacción con la naturaleza y su historia, que les da identidad y continuidad”.</w:t>
      </w:r>
      <w:r w:rsidRPr="000D5434">
        <w:rPr>
          <w:rStyle w:val="FootnoteReference"/>
          <w:szCs w:val="22"/>
          <w:lang w:val="es-ES"/>
        </w:rPr>
        <w:footnoteReference w:id="67"/>
      </w:r>
    </w:p>
    <w:p w:rsidR="00156388" w:rsidRPr="000D5434" w:rsidRDefault="00156388" w:rsidP="00B16297">
      <w:pPr>
        <w:pStyle w:val="ONUMFS"/>
        <w:keepNext/>
        <w:keepLines/>
        <w:numPr>
          <w:ilvl w:val="0"/>
          <w:numId w:val="0"/>
        </w:numPr>
        <w:rPr>
          <w:szCs w:val="22"/>
          <w:lang w:val="es-ES"/>
        </w:rPr>
      </w:pPr>
      <w:r w:rsidRPr="000D5434">
        <w:rPr>
          <w:b/>
          <w:szCs w:val="22"/>
          <w:lang w:val="es-ES"/>
        </w:rPr>
        <w:t>Poseedor</w:t>
      </w:r>
    </w:p>
    <w:p w:rsidR="00156388" w:rsidRPr="000D5434" w:rsidRDefault="00156388" w:rsidP="00103D66">
      <w:pPr>
        <w:pStyle w:val="ONUMFS"/>
        <w:numPr>
          <w:ilvl w:val="0"/>
          <w:numId w:val="0"/>
        </w:numPr>
        <w:rPr>
          <w:szCs w:val="22"/>
          <w:lang w:val="es-ES"/>
        </w:rPr>
      </w:pPr>
      <w:r w:rsidRPr="000D5434">
        <w:rPr>
          <w:szCs w:val="22"/>
          <w:lang w:val="es-ES"/>
        </w:rPr>
        <w:t>En el Diccionario Enciclopédico de Derecho Usual de Guillermo Cabanellas se define “poseedor” como “quien posee o tiene algo en su poder”.</w:t>
      </w:r>
      <w:r w:rsidR="00B834A4" w:rsidRPr="000D5434">
        <w:rPr>
          <w:szCs w:val="22"/>
          <w:lang w:val="es-ES"/>
        </w:rPr>
        <w:t xml:space="preserve"> </w:t>
      </w:r>
      <w:r w:rsidRPr="000D5434">
        <w:rPr>
          <w:szCs w:val="22"/>
          <w:lang w:val="es-ES"/>
        </w:rPr>
        <w:t>A su vez, en el Diccionario de la lengua española de la Real Academia Española se define “posesión” como una “[s]ituación de poder de hecho sobre las cosas o los derechos, a la que se otorga una protección jurídica provisional que no prejuzga la titularidad de los mismos”.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“holder” se define como una persona que tiene la posesión jurídica de un instrumento negociable que le otorga el derecho a recibir un pago por </w:t>
      </w:r>
      <w:r w:rsidR="00D4348B">
        <w:rPr>
          <w:szCs w:val="22"/>
          <w:lang w:val="es-ES"/>
        </w:rPr>
        <w:t>este</w:t>
      </w:r>
      <w:r w:rsidRPr="000D5434">
        <w:rPr>
          <w:szCs w:val="22"/>
          <w:lang w:val="es-ES"/>
        </w:rPr>
        <w:t>.</w:t>
      </w:r>
      <w:r w:rsidR="00B834A4" w:rsidRPr="000D5434">
        <w:rPr>
          <w:szCs w:val="22"/>
          <w:lang w:val="es-ES"/>
        </w:rPr>
        <w:t xml:space="preserve"> </w:t>
      </w:r>
      <w:r w:rsidRPr="000D5434">
        <w:rPr>
          <w:szCs w:val="22"/>
          <w:lang w:val="es-ES"/>
        </w:rPr>
        <w:t>La OMPI utiliza este término para referirse a cualquier persona que cree, genere, desarrolle y practique conocimientos tradicionales en un contexto y unas condiciones tradicionales.</w:t>
      </w:r>
      <w:r w:rsidR="00B834A4" w:rsidRPr="000D5434">
        <w:rPr>
          <w:szCs w:val="22"/>
          <w:lang w:val="es-ES"/>
        </w:rPr>
        <w:t xml:space="preserve"> </w:t>
      </w:r>
      <w:r w:rsidRPr="000D5434">
        <w:rPr>
          <w:szCs w:val="22"/>
          <w:lang w:val="es-ES"/>
        </w:rPr>
        <w:t>Las comunidades, pueblos y naciones indígenas son poseedores de conocimientos tradicionales, pero no todos los poseedores de conocimientos tradicionales son indígenas.</w:t>
      </w:r>
      <w:r w:rsidR="00F43586" w:rsidRPr="000D5434">
        <w:rPr>
          <w:rStyle w:val="FootnoteReference"/>
          <w:szCs w:val="22"/>
          <w:lang w:val="es-ES"/>
        </w:rPr>
        <w:footnoteReference w:id="68"/>
      </w:r>
      <w:r w:rsidR="00B834A4" w:rsidRPr="000D5434">
        <w:rPr>
          <w:szCs w:val="22"/>
          <w:lang w:val="es-ES"/>
        </w:rPr>
        <w:t xml:space="preserve"> </w:t>
      </w:r>
      <w:r w:rsidRPr="000D5434">
        <w:rPr>
          <w:szCs w:val="22"/>
          <w:lang w:val="es-ES"/>
        </w:rPr>
        <w:t>En este contexto, “conocimientos tradicionales” se refiere tanto a los conocimientos tradicionales propiamente dichos como a las expresiones culturales tradicionales.</w:t>
      </w:r>
    </w:p>
    <w:p w:rsidR="00156388" w:rsidRPr="000D5434" w:rsidRDefault="00156388" w:rsidP="00103D66">
      <w:pPr>
        <w:pStyle w:val="ONUMFS"/>
        <w:numPr>
          <w:ilvl w:val="0"/>
          <w:numId w:val="0"/>
        </w:numPr>
        <w:rPr>
          <w:szCs w:val="22"/>
          <w:lang w:val="es-ES"/>
        </w:rPr>
      </w:pPr>
      <w:r w:rsidRPr="000D5434">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w:t>
      </w:r>
      <w:r w:rsidR="00B834A4" w:rsidRPr="000D5434">
        <w:rPr>
          <w:szCs w:val="22"/>
          <w:lang w:val="es-ES"/>
        </w:rPr>
        <w:t xml:space="preserve"> </w:t>
      </w:r>
      <w:r w:rsidRPr="000D5434">
        <w:rPr>
          <w:szCs w:val="22"/>
          <w:lang w:val="es-ES"/>
        </w:rPr>
        <w:t>[…] Sin embargo, es posible que un determinado miembro de una comunidad, por ejemplo, un curandero tradicional o un agricultor, posea conocimientos específicos”.</w:t>
      </w:r>
      <w:r w:rsidR="00F43586" w:rsidRPr="000D5434">
        <w:rPr>
          <w:rStyle w:val="FootnoteReference"/>
          <w:szCs w:val="22"/>
          <w:lang w:val="es-ES"/>
        </w:rPr>
        <w:footnoteReference w:id="69"/>
      </w:r>
    </w:p>
    <w:p w:rsidR="00C0409B" w:rsidRPr="000D5434" w:rsidRDefault="00C0409B" w:rsidP="00103D66">
      <w:pPr>
        <w:pStyle w:val="ONUMFS"/>
        <w:numPr>
          <w:ilvl w:val="0"/>
          <w:numId w:val="0"/>
        </w:numPr>
        <w:rPr>
          <w:b/>
          <w:bCs/>
          <w:szCs w:val="22"/>
          <w:lang w:val="es-ES"/>
        </w:rPr>
      </w:pPr>
      <w:r w:rsidRPr="000D5434">
        <w:rPr>
          <w:b/>
          <w:bCs/>
          <w:szCs w:val="22"/>
          <w:lang w:val="es-ES"/>
        </w:rPr>
        <w:t>Comunidades indígenas y locales</w:t>
      </w:r>
    </w:p>
    <w:p w:rsidR="00C0409B" w:rsidRPr="000D5434" w:rsidRDefault="00C0409B" w:rsidP="00103D66">
      <w:pPr>
        <w:pStyle w:val="ONUMFS"/>
        <w:numPr>
          <w:ilvl w:val="0"/>
          <w:numId w:val="0"/>
        </w:numPr>
        <w:rPr>
          <w:szCs w:val="22"/>
          <w:lang w:val="es-ES"/>
        </w:rPr>
      </w:pPr>
      <w:r w:rsidRPr="000D5434">
        <w:rPr>
          <w:szCs w:val="22"/>
          <w:lang w:val="es-ES"/>
        </w:rPr>
        <w:t>El término “comunidades indígenas y locales” ha sido objeto de intenso examen y debate.</w:t>
      </w:r>
      <w:r w:rsidR="00B834A4" w:rsidRPr="000D5434">
        <w:rPr>
          <w:szCs w:val="22"/>
          <w:lang w:val="es-ES"/>
        </w:rPr>
        <w:t xml:space="preserve"> </w:t>
      </w:r>
      <w:r w:rsidRPr="000D5434">
        <w:rPr>
          <w:szCs w:val="22"/>
          <w:lang w:val="es-ES"/>
        </w:rPr>
        <w:t>No existe, a tal respecto, una definición universal y estándar.</w:t>
      </w:r>
      <w:r w:rsidR="00B834A4" w:rsidRPr="000D5434">
        <w:rPr>
          <w:szCs w:val="22"/>
          <w:lang w:val="es-ES"/>
        </w:rPr>
        <w:t xml:space="preserve"> </w:t>
      </w:r>
      <w:r w:rsidRPr="000D5434">
        <w:rPr>
          <w:szCs w:val="22"/>
          <w:lang w:val="es-ES"/>
        </w:rPr>
        <w:t xml:space="preserve">Dicho término figura en el </w:t>
      </w:r>
      <w:r w:rsidRPr="000D5434">
        <w:rPr>
          <w:i/>
          <w:szCs w:val="22"/>
          <w:lang w:val="es-ES"/>
        </w:rPr>
        <w:t>Convenio sobre la Diversidad Biológica</w:t>
      </w:r>
      <w:r w:rsidRPr="000D5434">
        <w:rPr>
          <w:szCs w:val="22"/>
          <w:lang w:val="es-ES"/>
        </w:rPr>
        <w:t xml:space="preserve"> (1992).</w:t>
      </w:r>
      <w:r w:rsidR="00B834A4" w:rsidRPr="000D5434">
        <w:rPr>
          <w:szCs w:val="22"/>
          <w:lang w:val="es-ES"/>
        </w:rPr>
        <w:t xml:space="preserve"> </w:t>
      </w:r>
      <w:r w:rsidRPr="000D5434">
        <w:rPr>
          <w:szCs w:val="22"/>
          <w:lang w:val="es-ES"/>
        </w:rPr>
        <w:t>Por ejemplo, en el artículo 8.j) se estipula que:</w:t>
      </w:r>
      <w:r w:rsidR="00B834A4" w:rsidRPr="000D5434">
        <w:rPr>
          <w:szCs w:val="22"/>
          <w:lang w:val="es-ES"/>
        </w:rPr>
        <w:t xml:space="preserve"> </w:t>
      </w:r>
      <w:r w:rsidRPr="000D5434">
        <w:rPr>
          <w:szCs w:val="22"/>
          <w:lang w:val="es-ES"/>
        </w:rPr>
        <w:t>“cada Parte Contratante, en la medida de lo posible y según proceda:</w:t>
      </w:r>
      <w:r w:rsidR="00B834A4" w:rsidRPr="000D5434">
        <w:rPr>
          <w:szCs w:val="22"/>
          <w:lang w:val="es-ES"/>
        </w:rPr>
        <w:t xml:space="preserve"> </w:t>
      </w:r>
      <w:r w:rsidRPr="000D5434">
        <w:rPr>
          <w:szCs w:val="22"/>
          <w:lang w:val="es-ES"/>
        </w:rPr>
        <w:t>[…]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r w:rsidR="00B834A4" w:rsidRPr="000D5434">
        <w:rPr>
          <w:szCs w:val="22"/>
          <w:lang w:val="es-ES"/>
        </w:rPr>
        <w:t xml:space="preserve"> </w:t>
      </w:r>
      <w:r w:rsidRPr="000D5434">
        <w:rPr>
          <w:szCs w:val="22"/>
          <w:lang w:val="es-ES"/>
        </w:rPr>
        <w:t>[…]”.</w:t>
      </w:r>
      <w:r w:rsidR="00B834A4" w:rsidRPr="000D5434">
        <w:rPr>
          <w:szCs w:val="22"/>
          <w:lang w:val="es-ES"/>
        </w:rPr>
        <w:t xml:space="preserve"> </w:t>
      </w:r>
      <w:r w:rsidRPr="000D5434">
        <w:rPr>
          <w:szCs w:val="22"/>
          <w:lang w:val="es-ES"/>
        </w:rPr>
        <w:t xml:space="preserve">Ese mismo término queda recogido en el </w:t>
      </w:r>
      <w:r w:rsidRPr="000D5434">
        <w:rPr>
          <w:i/>
          <w:szCs w:val="22"/>
          <w:lang w:val="es-ES"/>
        </w:rPr>
        <w:t xml:space="preserve">Protocolo de Nagoya sobre Acceso a los Recursos Genéticos y Participación Justa y Equitativa en los Beneficios que se Deriven de su Utilización al Convenio sobre la Diversidad Biológica </w:t>
      </w:r>
      <w:r w:rsidRPr="000D5434">
        <w:rPr>
          <w:szCs w:val="22"/>
          <w:lang w:val="es-ES"/>
        </w:rPr>
        <w:t>(2010).</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 xml:space="preserve">Convenio sobre la Diversidad Biológica </w:t>
      </w:r>
      <w:r w:rsidRPr="000D5434">
        <w:rPr>
          <w:szCs w:val="22"/>
          <w:lang w:val="es-ES"/>
        </w:rPr>
        <w:t>(1992) se utiliza el término “comunidades indígenas y locales” en referencia a comunidades que se identifican desde antaño con las tierras y las aguas en las que viven o que han utilizado</w:t>
      </w:r>
      <w:r w:rsidRPr="000D5434">
        <w:rPr>
          <w:rStyle w:val="FootnoteReference"/>
          <w:szCs w:val="22"/>
          <w:lang w:val="es-ES"/>
        </w:rPr>
        <w:footnoteReference w:id="70"/>
      </w:r>
      <w:r w:rsidRPr="000D5434">
        <w:rPr>
          <w:szCs w:val="22"/>
          <w:lang w:val="es-ES"/>
        </w:rPr>
        <w:t xml:space="preserve"> conforme a sus tradiciones.</w:t>
      </w:r>
      <w:r w:rsidR="00B834A4" w:rsidRPr="000D5434">
        <w:rPr>
          <w:szCs w:val="22"/>
          <w:lang w:val="es-ES"/>
        </w:rPr>
        <w:t xml:space="preserve"> </w:t>
      </w:r>
      <w:r w:rsidRPr="000D5434">
        <w:rPr>
          <w:szCs w:val="22"/>
          <w:lang w:val="es-ES"/>
        </w:rPr>
        <w:t>Por “comunidad local” se entiende “la población humana que vive en una zona que se distingue por características ecológicas propias y cuyo sustento está supeditado en todo o en parte directamente a los bienes y servicios que le brindan la biodiversidad y el ecosistema.</w:t>
      </w:r>
      <w:r w:rsidR="00B834A4" w:rsidRPr="000D5434">
        <w:rPr>
          <w:szCs w:val="22"/>
          <w:lang w:val="es-ES"/>
        </w:rPr>
        <w:t xml:space="preserve"> </w:t>
      </w:r>
      <w:r w:rsidRPr="000D5434">
        <w:rPr>
          <w:szCs w:val="22"/>
          <w:lang w:val="es-ES"/>
        </w:rPr>
        <w:t>Los conocimientos tradicionales que posee esa población proceden de la señalada relación de dependencia, y atañen a actividades como la agricultura, la pesca, el pastoreo, la caza y la recolección, para citar sólo algunas”.</w:t>
      </w:r>
      <w:r w:rsidRPr="000D5434">
        <w:rPr>
          <w:rStyle w:val="FootnoteReference"/>
          <w:szCs w:val="22"/>
          <w:lang w:val="es-ES"/>
        </w:rPr>
        <w:footnoteReference w:id="71"/>
      </w:r>
    </w:p>
    <w:p w:rsidR="00C0409B" w:rsidRPr="000D5434" w:rsidRDefault="00C0409B" w:rsidP="00103D66">
      <w:pPr>
        <w:pStyle w:val="ONUMFS"/>
        <w:numPr>
          <w:ilvl w:val="0"/>
          <w:numId w:val="0"/>
        </w:numPr>
        <w:rPr>
          <w:szCs w:val="22"/>
          <w:lang w:val="es-ES"/>
        </w:rPr>
      </w:pPr>
      <w:r w:rsidRPr="000D5434">
        <w:rPr>
          <w:szCs w:val="22"/>
          <w:lang w:val="es-ES"/>
        </w:rPr>
        <w:t xml:space="preserve">Ese término se utiliza también en el </w:t>
      </w:r>
      <w:r w:rsidRPr="000D5434">
        <w:rPr>
          <w:i/>
          <w:szCs w:val="22"/>
          <w:lang w:val="es-ES"/>
        </w:rPr>
        <w:t>Tratado Internacional sobre Recursos Fitogenéticos para la Alimentación y la Agricultura</w:t>
      </w:r>
      <w:r w:rsidR="00642D79" w:rsidRPr="000D5434">
        <w:rPr>
          <w:szCs w:val="22"/>
          <w:lang w:val="es-ES"/>
        </w:rPr>
        <w:t>, de la FAO.</w:t>
      </w:r>
      <w:r w:rsidR="00B834A4" w:rsidRPr="000D5434">
        <w:rPr>
          <w:szCs w:val="22"/>
          <w:lang w:val="es-ES"/>
        </w:rPr>
        <w:t xml:space="preserve"> </w:t>
      </w:r>
      <w:r w:rsidRPr="000D5434">
        <w:rPr>
          <w:szCs w:val="22"/>
          <w:lang w:val="es-ES"/>
        </w:rPr>
        <w:t>En el artículo 5.1 de dicho tratado se estipula que:</w:t>
      </w:r>
      <w:r w:rsidR="00B834A4" w:rsidRPr="000D5434">
        <w:rPr>
          <w:szCs w:val="22"/>
          <w:lang w:val="es-ES"/>
        </w:rPr>
        <w:t xml:space="preserve"> </w:t>
      </w:r>
      <w:r w:rsidRPr="000D5434">
        <w:rPr>
          <w:szCs w:val="22"/>
          <w:lang w:val="es-ES"/>
        </w:rPr>
        <w:t>“cada Parte Contratante […], en particular, según proceda:</w:t>
      </w:r>
      <w:r w:rsidR="00B834A4" w:rsidRPr="000D5434">
        <w:rPr>
          <w:szCs w:val="22"/>
          <w:lang w:val="es-ES"/>
        </w:rPr>
        <w:t xml:space="preserve"> </w:t>
      </w:r>
      <w:r w:rsidRPr="000D5434">
        <w:rPr>
          <w:szCs w:val="22"/>
          <w:lang w:val="es-ES"/>
        </w:rPr>
        <w:t xml:space="preserve">[…] d) promoverá la conservación </w:t>
      </w:r>
      <w:r w:rsidRPr="000D5434">
        <w:rPr>
          <w:i/>
          <w:szCs w:val="22"/>
          <w:lang w:val="es-ES"/>
        </w:rPr>
        <w:t>in situ</w:t>
      </w:r>
      <w:r w:rsidRPr="000D5434">
        <w:rPr>
          <w:szCs w:val="22"/>
          <w:lang w:val="es-ES"/>
        </w:rPr>
        <w:t xml:space="preserve"> de plantas silvestres afines de las cultivadas y las plantas silvestres para la producción de alimentos, incluso en zonas protegidas, apoyando, entre otras cosas, los esfuerzos de las comunidades indígenas y locales […]”.</w:t>
      </w:r>
      <w:r w:rsidR="00B834A4" w:rsidRPr="000D5434">
        <w:rPr>
          <w:szCs w:val="22"/>
          <w:lang w:val="es-ES"/>
        </w:rPr>
        <w:t xml:space="preserve"> </w:t>
      </w:r>
      <w:r w:rsidRPr="000D5434">
        <w:rPr>
          <w:szCs w:val="22"/>
          <w:lang w:val="es-ES"/>
        </w:rPr>
        <w:t>El artículo 9.1 dice que “[l]as Partes Contratantes reconocen la enorme contribución que han aportado y siguen aportando las comunidades locales e indígenas y los agricultores de todas las regiones del mundo, [...]”.</w:t>
      </w:r>
      <w:r w:rsidR="00B834A4" w:rsidRPr="000D5434">
        <w:rPr>
          <w:szCs w:val="22"/>
          <w:lang w:val="es-ES"/>
        </w:rPr>
        <w:t xml:space="preserve"> </w:t>
      </w:r>
      <w:r w:rsidRPr="000D5434">
        <w:rPr>
          <w:szCs w:val="22"/>
          <w:lang w:val="es-ES"/>
        </w:rPr>
        <w:t>En el artículo 5.1 se utiliza la expresión “comunidades locales”:</w:t>
      </w:r>
      <w:r w:rsidR="00B834A4" w:rsidRPr="000D5434">
        <w:rPr>
          <w:szCs w:val="22"/>
          <w:lang w:val="es-ES"/>
        </w:rPr>
        <w:t xml:space="preserve"> </w:t>
      </w:r>
      <w:r w:rsidRPr="000D5434">
        <w:rPr>
          <w:szCs w:val="22"/>
          <w:lang w:val="es-ES"/>
        </w:rPr>
        <w:t>“c</w:t>
      </w:r>
      <w:r w:rsidRPr="000D5434">
        <w:rPr>
          <w:iCs/>
          <w:szCs w:val="22"/>
          <w:lang w:val="es-ES"/>
        </w:rPr>
        <w:t>ada Parte Contratante […] en particular, según proceda:</w:t>
      </w:r>
      <w:r w:rsidR="00B834A4" w:rsidRPr="000D5434">
        <w:rPr>
          <w:iCs/>
          <w:szCs w:val="22"/>
          <w:lang w:val="es-ES"/>
        </w:rPr>
        <w:t xml:space="preserve"> </w:t>
      </w:r>
      <w:r w:rsidRPr="000D5434">
        <w:rPr>
          <w:iCs/>
          <w:szCs w:val="22"/>
          <w:lang w:val="es-ES"/>
        </w:rPr>
        <w:t>[…] c) promoverá o apoyará, cuando proceda, los esfuerzos de los agricultores y de las comunidades locales encaminados a la ordenación y conservación en las fincas de sus recursos fitogenéticos para la alimentación y la agricultura […]</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utiliza una terminología diferente:</w:t>
      </w:r>
      <w:r w:rsidR="00B834A4" w:rsidRPr="000D5434">
        <w:rPr>
          <w:szCs w:val="22"/>
          <w:lang w:val="es-ES"/>
        </w:rPr>
        <w:t xml:space="preserve"> </w:t>
      </w:r>
      <w:r w:rsidRPr="000D5434">
        <w:rPr>
          <w:szCs w:val="22"/>
          <w:lang w:val="es-ES"/>
        </w:rPr>
        <w:t xml:space="preserve">la expresión “comunidad local o tradicional” se utiliza en el </w:t>
      </w:r>
      <w:r w:rsidRPr="000D5434">
        <w:rPr>
          <w:i/>
          <w:szCs w:val="22"/>
          <w:lang w:val="es-ES"/>
        </w:rPr>
        <w:t>Protocolo de Swakopmund sobre la Protección de los Conocimientos Tradicionales y las Expresiones del Folclore</w:t>
      </w:r>
      <w:r w:rsidRPr="000D5434">
        <w:rPr>
          <w:szCs w:val="22"/>
          <w:lang w:val="es-ES"/>
        </w:rPr>
        <w:t>, de la ARIPO.</w:t>
      </w:r>
      <w:r w:rsidR="00B834A4" w:rsidRPr="000D5434">
        <w:rPr>
          <w:szCs w:val="22"/>
          <w:lang w:val="es-ES"/>
        </w:rPr>
        <w:t xml:space="preserve"> </w:t>
      </w:r>
      <w:r w:rsidRPr="000D5434">
        <w:rPr>
          <w:szCs w:val="22"/>
          <w:lang w:val="es-ES"/>
        </w:rPr>
        <w:t>En el artículo 2.1 de dicho Protocolo se estipula que, en la medida que lo permita el contexto, en el término “comunidad” quedarán comprendidas las comunidades locales o tradicionales.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se define “comunidad indígena, afroamericana o local” como “</w:t>
      </w:r>
      <w:r w:rsidRPr="000D5434">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0D5434">
        <w:rPr>
          <w:szCs w:val="22"/>
          <w:lang w:val="es-ES"/>
        </w:rPr>
        <w:t>”.</w:t>
      </w:r>
    </w:p>
    <w:p w:rsidR="00C0409B" w:rsidRPr="000D5434" w:rsidRDefault="00C0409B" w:rsidP="00B16297">
      <w:pPr>
        <w:pStyle w:val="ONUMFS"/>
        <w:numPr>
          <w:ilvl w:val="0"/>
          <w:numId w:val="0"/>
        </w:numPr>
        <w:rPr>
          <w:b/>
          <w:szCs w:val="22"/>
          <w:lang w:val="es-ES"/>
        </w:rPr>
      </w:pPr>
      <w:r w:rsidRPr="000D5434">
        <w:rPr>
          <w:szCs w:val="22"/>
          <w:lang w:val="es-ES"/>
        </w:rPr>
        <w:t>En el artículo 7.III de la Ley provisional del Brasil Nº 2, 186 16, con fecha 23 de agosto de 2001, se define “comunidad local” como ”</w:t>
      </w:r>
      <w:r w:rsidRPr="000D5434">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0D5434">
        <w:rPr>
          <w:szCs w:val="22"/>
          <w:lang w:val="es-ES"/>
        </w:rPr>
        <w:t>”.</w:t>
      </w:r>
    </w:p>
    <w:p w:rsidR="00C0409B" w:rsidRPr="000D5434" w:rsidRDefault="00C0409B" w:rsidP="00103D66">
      <w:pPr>
        <w:pStyle w:val="ONUMFS"/>
        <w:numPr>
          <w:ilvl w:val="0"/>
          <w:numId w:val="0"/>
        </w:numPr>
        <w:rPr>
          <w:b/>
          <w:bCs/>
          <w:szCs w:val="22"/>
          <w:lang w:val="es-ES"/>
        </w:rPr>
      </w:pPr>
      <w:r w:rsidRPr="000D5434">
        <w:rPr>
          <w:b/>
          <w:bCs/>
          <w:szCs w:val="22"/>
          <w:lang w:val="es-ES"/>
        </w:rPr>
        <w:t>Conocimientos indígenas</w:t>
      </w:r>
    </w:p>
    <w:p w:rsidR="00C0409B" w:rsidRPr="000D5434" w:rsidRDefault="00C0409B" w:rsidP="00103D66">
      <w:pPr>
        <w:pStyle w:val="ONUMFS"/>
        <w:numPr>
          <w:ilvl w:val="0"/>
          <w:numId w:val="0"/>
        </w:numPr>
        <w:rPr>
          <w:b/>
          <w:szCs w:val="22"/>
          <w:lang w:val="es-ES"/>
        </w:rPr>
      </w:pPr>
      <w:r w:rsidRPr="000D5434">
        <w:rPr>
          <w:szCs w:val="22"/>
          <w:lang w:val="es-ES"/>
        </w:rPr>
        <w:t>La expresión “conocimientos indígenas” se utiliza para describir “</w:t>
      </w:r>
      <w:r w:rsidRPr="000D5434">
        <w:rPr>
          <w:iCs/>
          <w:szCs w:val="22"/>
          <w:lang w:val="es-ES"/>
        </w:rPr>
        <w:t>los conocimientos que poseen y utilizan comunidades, pueblos y naciones indígenas</w:t>
      </w:r>
      <w:r w:rsidRPr="000D5434">
        <w:rPr>
          <w:szCs w:val="22"/>
          <w:lang w:val="es-ES"/>
        </w:rPr>
        <w:t>”.</w:t>
      </w:r>
      <w:r w:rsidR="00B834A4" w:rsidRPr="000D5434">
        <w:rPr>
          <w:szCs w:val="22"/>
          <w:lang w:val="es-ES"/>
        </w:rPr>
        <w:t xml:space="preserve"> </w:t>
      </w:r>
      <w:r w:rsidRPr="000D5434">
        <w:rPr>
          <w:szCs w:val="22"/>
          <w:lang w:val="es-ES"/>
        </w:rPr>
        <w:t>En ese sentido, los “conocimientos tradicionales” vendrían a ser los conocimientos tradicionales de los pueblos indígenas.</w:t>
      </w:r>
      <w:r w:rsidR="00B834A4" w:rsidRPr="000D5434">
        <w:rPr>
          <w:szCs w:val="22"/>
          <w:lang w:val="es-ES"/>
        </w:rPr>
        <w:t xml:space="preserve"> </w:t>
      </w:r>
      <w:r w:rsidRPr="000D5434">
        <w:rPr>
          <w:szCs w:val="22"/>
          <w:lang w:val="es-ES"/>
        </w:rPr>
        <w:t>Por consiguiente, los conocimientos indígenas entran en la categoría de conocimientos tradicionales, pero los conocimientos tradicionales no son forzosamente indígenas.</w:t>
      </w:r>
      <w:r w:rsidR="00B834A4" w:rsidRPr="000D5434">
        <w:rPr>
          <w:szCs w:val="22"/>
          <w:lang w:val="es-ES"/>
        </w:rPr>
        <w:t xml:space="preserve"> </w:t>
      </w:r>
      <w:r w:rsidRPr="000D5434">
        <w:rPr>
          <w:szCs w:val="22"/>
          <w:lang w:val="es-ES"/>
        </w:rPr>
        <w:t>No obstante, el término también se utiliza en referencia a los conocimientos que son intrínsecamente indígenas.</w:t>
      </w:r>
      <w:r w:rsidR="00B834A4" w:rsidRPr="000D5434">
        <w:rPr>
          <w:szCs w:val="22"/>
          <w:lang w:val="es-ES"/>
        </w:rPr>
        <w:t xml:space="preserve"> </w:t>
      </w:r>
      <w:r w:rsidRPr="000D5434">
        <w:rPr>
          <w:szCs w:val="22"/>
          <w:lang w:val="es-ES"/>
        </w:rPr>
        <w:t>En ese sentido, los términos “conocimientos tradicionales” y “conocimientos indígenas” podrían utilizarse indistintamente.</w:t>
      </w:r>
      <w:r w:rsidRPr="000D5434">
        <w:rPr>
          <w:rStyle w:val="FootnoteReference"/>
          <w:szCs w:val="22"/>
          <w:lang w:val="es-ES"/>
        </w:rPr>
        <w:footnoteReference w:id="72"/>
      </w:r>
    </w:p>
    <w:p w:rsidR="00C0409B" w:rsidRPr="000D5434" w:rsidRDefault="00C0409B" w:rsidP="00103D66">
      <w:pPr>
        <w:pStyle w:val="ONUMFS"/>
        <w:numPr>
          <w:ilvl w:val="0"/>
          <w:numId w:val="0"/>
        </w:numPr>
        <w:rPr>
          <w:b/>
          <w:bCs/>
          <w:szCs w:val="22"/>
          <w:lang w:val="es-ES"/>
        </w:rPr>
      </w:pPr>
      <w:r w:rsidRPr="000D5434">
        <w:rPr>
          <w:b/>
          <w:bCs/>
          <w:szCs w:val="22"/>
          <w:lang w:val="es-ES"/>
        </w:rPr>
        <w:t>Pueblos indígenas</w:t>
      </w:r>
    </w:p>
    <w:p w:rsidR="00C0409B" w:rsidRPr="000D5434" w:rsidRDefault="00C0409B" w:rsidP="00103D66">
      <w:pPr>
        <w:pStyle w:val="ONUMFS"/>
        <w:numPr>
          <w:ilvl w:val="0"/>
          <w:numId w:val="0"/>
        </w:numPr>
        <w:rPr>
          <w:szCs w:val="22"/>
          <w:lang w:val="es-ES"/>
        </w:rPr>
      </w:pPr>
      <w:r w:rsidRPr="000D5434">
        <w:rPr>
          <w:szCs w:val="22"/>
          <w:lang w:val="es-ES"/>
        </w:rPr>
        <w:t>La expresión “pueblos indígenas” ha sido objeto de considerable debate y estudio por cuanto no existe una definición universal estándar.</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Declaración de las Naciones Unidas sobre los Derechos de los Pueblos Indígenas</w:t>
      </w:r>
      <w:r w:rsidRPr="000D5434">
        <w:rPr>
          <w:szCs w:val="22"/>
          <w:lang w:val="es-ES"/>
        </w:rPr>
        <w:t xml:space="preserve"> se reconocen los derechos humanos de que gozan los pueblos indígenas contra la discriminación cultural y se fomenta el respeto mutuo y las relaciones armoniosas entre los pueblos indígenas y los Estados.</w:t>
      </w:r>
      <w:r w:rsidR="00B834A4" w:rsidRPr="000D5434">
        <w:rPr>
          <w:szCs w:val="22"/>
          <w:lang w:val="es-ES"/>
        </w:rPr>
        <w:t xml:space="preserve"> </w:t>
      </w:r>
      <w:r w:rsidRPr="000D5434">
        <w:rPr>
          <w:szCs w:val="22"/>
          <w:lang w:val="es-ES"/>
        </w:rPr>
        <w:t>No obstante, en ella no se establece definición alguna de “pueblos indígenas”.</w:t>
      </w:r>
    </w:p>
    <w:p w:rsidR="00C0409B" w:rsidRPr="000D5434" w:rsidRDefault="00C0409B" w:rsidP="00103D66">
      <w:pPr>
        <w:pStyle w:val="ONUMFS"/>
        <w:numPr>
          <w:ilvl w:val="0"/>
          <w:numId w:val="0"/>
        </w:numPr>
        <w:rPr>
          <w:szCs w:val="22"/>
          <w:lang w:val="es-ES"/>
        </w:rPr>
      </w:pPr>
      <w:r w:rsidRPr="000D5434">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B834A4" w:rsidRPr="000D5434">
        <w:rPr>
          <w:szCs w:val="22"/>
          <w:lang w:val="es-ES"/>
        </w:rPr>
        <w:t xml:space="preserve"> </w:t>
      </w:r>
      <w:r w:rsidRPr="000D5434">
        <w:rPr>
          <w:szCs w:val="22"/>
          <w:lang w:val="es-ES"/>
        </w:rPr>
        <w:t>En el estudio, por “comunidades indígenas” se entiende los pueblos y las naciones que “</w:t>
      </w:r>
      <w:r w:rsidRPr="000D5434">
        <w:rPr>
          <w:iCs/>
          <w:szCs w:val="22"/>
          <w:lang w:val="es-ES"/>
        </w:rPr>
        <w:t>teniendo una continuidad histórica con las sociedades anteriores a la invasión y precoloniales que se desarrollaron en sus territorios, se consideran distintos de otros sectores de las sociedades que ahora prevalecen en esos territorios, o en parte de ellos.</w:t>
      </w:r>
      <w:r w:rsidR="00B834A4" w:rsidRPr="000D5434">
        <w:rPr>
          <w:iCs/>
          <w:szCs w:val="22"/>
          <w:lang w:val="es-ES"/>
        </w:rPr>
        <w:t xml:space="preserve"> </w:t>
      </w:r>
      <w:r w:rsidRPr="000D5434">
        <w:rPr>
          <w:iCs/>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artículo 1 del Convenio de la OIT sobre pueblos indígenas y tribales en países independientes establece que dicho Convenio se aplicará:</w:t>
      </w:r>
    </w:p>
    <w:p w:rsidR="00C0409B" w:rsidRPr="000D5434" w:rsidRDefault="00C0409B" w:rsidP="00103D66">
      <w:pPr>
        <w:pStyle w:val="ONUMFS"/>
        <w:numPr>
          <w:ilvl w:val="0"/>
          <w:numId w:val="0"/>
        </w:numPr>
        <w:ind w:left="567"/>
        <w:rPr>
          <w:szCs w:val="22"/>
          <w:lang w:val="es-ES"/>
        </w:rPr>
      </w:pPr>
      <w:r w:rsidRPr="000D5434">
        <w:rPr>
          <w:szCs w:val="22"/>
          <w:lang w:val="es-ES"/>
        </w:rPr>
        <w:t>“a)</w:t>
      </w:r>
      <w:r w:rsidRPr="000D5434">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0D5434" w:rsidRDefault="00C0409B" w:rsidP="00103D66">
      <w:pPr>
        <w:pStyle w:val="ONUMFS"/>
        <w:numPr>
          <w:ilvl w:val="0"/>
          <w:numId w:val="0"/>
        </w:numPr>
        <w:ind w:left="567"/>
        <w:rPr>
          <w:szCs w:val="22"/>
          <w:lang w:val="es-ES"/>
        </w:rPr>
      </w:pPr>
      <w:r w:rsidRPr="000D5434">
        <w:rPr>
          <w:szCs w:val="22"/>
          <w:lang w:val="es-ES"/>
        </w:rPr>
        <w:t>b)</w:t>
      </w:r>
      <w:r w:rsidRPr="000D5434">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0D5434">
        <w:rPr>
          <w:rStyle w:val="FootnoteReference"/>
          <w:szCs w:val="22"/>
          <w:lang w:val="es-ES"/>
        </w:rPr>
        <w:footnoteReference w:id="73"/>
      </w:r>
    </w:p>
    <w:p w:rsidR="00C0409B" w:rsidRPr="000D5434" w:rsidRDefault="00C0409B" w:rsidP="00103D66">
      <w:pPr>
        <w:pStyle w:val="ONUMFS"/>
        <w:numPr>
          <w:ilvl w:val="0"/>
          <w:numId w:val="0"/>
        </w:numPr>
        <w:rPr>
          <w:szCs w:val="22"/>
          <w:lang w:val="es-ES"/>
        </w:rPr>
      </w:pPr>
      <w:r w:rsidRPr="000D5434">
        <w:rPr>
          <w:szCs w:val="22"/>
          <w:lang w:val="es-ES"/>
        </w:rPr>
        <w:t>En la Lista de acrónimos y glosario de términos del Programa de Naciones Unidas para el Medio Ambiente (PNUMA) se ofrece la siguiente definición de “pueblos indígenas”:</w:t>
      </w:r>
      <w:r w:rsidR="00B834A4" w:rsidRPr="000D5434">
        <w:rPr>
          <w:szCs w:val="22"/>
          <w:lang w:val="es-ES"/>
        </w:rPr>
        <w:t xml:space="preserve"> </w:t>
      </w:r>
      <w:r w:rsidR="00C274E9" w:rsidRPr="000D5434">
        <w:rPr>
          <w:szCs w:val="22"/>
          <w:lang w:val="es-ES"/>
        </w:rPr>
        <w:t>“</w:t>
      </w:r>
      <w:r w:rsidRPr="000D5434">
        <w:rPr>
          <w:szCs w:val="22"/>
          <w:lang w:val="es-ES"/>
        </w:rPr>
        <w:t>No existe una definición general ni estándar.</w:t>
      </w:r>
      <w:r w:rsidR="00B834A4" w:rsidRPr="000D5434">
        <w:rPr>
          <w:szCs w:val="22"/>
          <w:lang w:val="es-ES"/>
        </w:rPr>
        <w:t xml:space="preserve"> </w:t>
      </w:r>
      <w:r w:rsidRPr="000D5434">
        <w:rPr>
          <w:szCs w:val="22"/>
          <w:lang w:val="es-ES"/>
        </w:rPr>
        <w:t>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0D5434">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B834A4" w:rsidRPr="000D5434">
        <w:rPr>
          <w:szCs w:val="22"/>
          <w:lang w:val="es-ES"/>
        </w:rPr>
        <w:t xml:space="preserve"> </w:t>
      </w:r>
      <w:r w:rsidRPr="000D5434">
        <w:rPr>
          <w:szCs w:val="22"/>
          <w:lang w:val="es-ES"/>
        </w:rPr>
        <w:t>El término incluye asimismo a los pueblos que se identifican a sí mismos como indígenas y a aquellos que son reconocidos como tales por otros grupos”.</w:t>
      </w:r>
      <w:r w:rsidRPr="000D5434">
        <w:rPr>
          <w:rStyle w:val="FootnoteReference"/>
          <w:szCs w:val="22"/>
          <w:lang w:val="es-ES"/>
        </w:rPr>
        <w:footnoteReference w:id="74"/>
      </w:r>
    </w:p>
    <w:p w:rsidR="00C0409B" w:rsidRPr="000D5434" w:rsidRDefault="00C0409B" w:rsidP="00103D66">
      <w:pPr>
        <w:pStyle w:val="ONUMFS"/>
        <w:numPr>
          <w:ilvl w:val="0"/>
          <w:numId w:val="0"/>
        </w:numPr>
        <w:rPr>
          <w:szCs w:val="22"/>
          <w:lang w:val="es-ES"/>
        </w:rPr>
      </w:pPr>
      <w:r w:rsidRPr="000D5434">
        <w:rPr>
          <w:szCs w:val="22"/>
          <w:lang w:val="es-ES"/>
        </w:rPr>
        <w:t>El Banco Mundial emplea el término “pueblos indígenas” en sentido genérico y mediante el mismo se designa a diferentes grupos que presentan las siguientes características en mayor o menor proporción:</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“su propia identificación como miembros de un grupo determinado de cultura indígena y el reconocimiento de su identidad por otros;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un apego colectivo a hábitats geográficamente definidos o territorios ancestrales en la zona del proyecto y a los recursos naturales de esos hábitats o territorios;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instituciones consuetudinarias culturales, económicas, sociales o políticas distintas de las de la sociedad y cultura dominantes;</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iv)</w:t>
      </w:r>
      <w:r w:rsidRPr="000D5434">
        <w:rPr>
          <w:szCs w:val="22"/>
          <w:lang w:val="es-ES"/>
        </w:rPr>
        <w:tab/>
        <w:t>una lengua indígena, con frecuencia distinta de la lengua oficial del país o región”.</w:t>
      </w:r>
      <w:r w:rsidRPr="000D5434">
        <w:rPr>
          <w:rStyle w:val="FootnoteReference"/>
          <w:szCs w:val="22"/>
          <w:lang w:val="es-ES"/>
        </w:rPr>
        <w:footnoteReference w:id="75"/>
      </w:r>
    </w:p>
    <w:p w:rsidR="00C0409B" w:rsidRPr="000D5434" w:rsidRDefault="00C0409B" w:rsidP="00103D66">
      <w:pPr>
        <w:pStyle w:val="ONUMFS"/>
        <w:numPr>
          <w:ilvl w:val="0"/>
          <w:numId w:val="0"/>
        </w:numPr>
        <w:rPr>
          <w:szCs w:val="22"/>
          <w:lang w:val="es-ES"/>
        </w:rPr>
      </w:pPr>
      <w:r w:rsidRPr="000D5434">
        <w:rPr>
          <w:szCs w:val="22"/>
          <w:lang w:val="es-ES"/>
        </w:rPr>
        <w:t>La Política de actuación del Fondo Internacional de Desarrollo Agrícola (FIDA) en relación con los pueblos indígenas establece que “De conformidad con la práctica internacional,</w:t>
      </w:r>
      <w:r w:rsidRPr="000D5434">
        <w:rPr>
          <w:rStyle w:val="FootnoteReference"/>
          <w:szCs w:val="22"/>
          <w:lang w:val="es-ES"/>
        </w:rPr>
        <w:footnoteReference w:id="76"/>
      </w:r>
      <w:r w:rsidRPr="000D5434">
        <w:rPr>
          <w:szCs w:val="22"/>
          <w:lang w:val="es-ES"/>
        </w:rPr>
        <w:t xml:space="preserve"> y a los fines de la presente política, el </w:t>
      </w:r>
      <w:r w:rsidR="00814353" w:rsidRPr="000D5434">
        <w:rPr>
          <w:szCs w:val="22"/>
          <w:lang w:val="es-ES"/>
        </w:rPr>
        <w:t>FIDA</w:t>
      </w:r>
      <w:r w:rsidRPr="000D5434">
        <w:rPr>
          <w:szCs w:val="22"/>
          <w:lang w:val="es-ES"/>
        </w:rPr>
        <w:t xml:space="preserve"> utilizará una definición de “pueblos indígenas” basada en los siguiente criterios: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prioridad en el tiempo por lo que respecta a la ocupación y el uso de determinado territorio;</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conciencia de la propia identidad, así como su reconocimiento por otros grupos, o por las autoridades estatales, como una colectividad distinta;</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una experiencia de sometimiento, marginación, desposeimiento, exclusión o discriminación.”</w:t>
      </w:r>
      <w:r w:rsidRPr="000D5434">
        <w:rPr>
          <w:rStyle w:val="FootnoteReference"/>
          <w:szCs w:val="22"/>
          <w:lang w:val="es-ES"/>
        </w:rPr>
        <w:footnoteReference w:id="77"/>
      </w:r>
    </w:p>
    <w:p w:rsidR="00C0409B" w:rsidRPr="000D5434" w:rsidRDefault="00C0409B" w:rsidP="00103D66">
      <w:pPr>
        <w:pStyle w:val="ONUMFS"/>
        <w:numPr>
          <w:ilvl w:val="0"/>
          <w:numId w:val="0"/>
        </w:numPr>
        <w:rPr>
          <w:szCs w:val="22"/>
          <w:lang w:val="es-ES"/>
        </w:rPr>
      </w:pPr>
      <w:r w:rsidRPr="000D5434">
        <w:rPr>
          <w:szCs w:val="22"/>
          <w:lang w:val="es-ES"/>
        </w:rPr>
        <w:t>En el documento “El PNUD y los pueblos indígenas:</w:t>
      </w:r>
      <w:r w:rsidR="00B834A4" w:rsidRPr="000D5434">
        <w:rPr>
          <w:szCs w:val="22"/>
          <w:lang w:val="es-ES"/>
        </w:rPr>
        <w:t xml:space="preserve"> </w:t>
      </w:r>
      <w:r w:rsidRPr="000D5434">
        <w:rPr>
          <w:szCs w:val="22"/>
          <w:lang w:val="es-ES"/>
        </w:rPr>
        <w:t>Una política de compromiso”,</w:t>
      </w:r>
      <w:r w:rsidRPr="000D5434">
        <w:rPr>
          <w:rStyle w:val="FootnoteReference"/>
          <w:szCs w:val="22"/>
          <w:lang w:val="es-ES"/>
        </w:rPr>
        <w:footnoteReference w:id="78"/>
      </w:r>
      <w:r w:rsidRPr="000D5434">
        <w:rPr>
          <w:szCs w:val="22"/>
          <w:lang w:val="es-ES"/>
        </w:rPr>
        <w:t xml:space="preserve"> elaborado en el marco del Programa de las Naciones Unidas para el Desarrollo (PNUD), se establece que “[…] los pueblos indígenas:</w:t>
      </w:r>
      <w:r w:rsidR="00B834A4" w:rsidRPr="000D5434">
        <w:rPr>
          <w:szCs w:val="22"/>
          <w:lang w:val="es-ES"/>
        </w:rPr>
        <w:t xml:space="preserve"> </w:t>
      </w:r>
      <w:r w:rsidRPr="000D5434">
        <w:rPr>
          <w:szCs w:val="22"/>
          <w:lang w:val="es-ES"/>
        </w:rPr>
        <w:t>a) viven por lo usual en territorios ancestrales geográficamente bien definidos o mantienen vínculos con ellos;</w:t>
      </w:r>
      <w:r w:rsidR="00B834A4" w:rsidRPr="000D5434">
        <w:rPr>
          <w:szCs w:val="22"/>
          <w:lang w:val="es-ES"/>
        </w:rPr>
        <w:t xml:space="preserve"> </w:t>
      </w:r>
      <w:r w:rsidRPr="000D5434">
        <w:rPr>
          <w:szCs w:val="22"/>
          <w:lang w:val="es-ES"/>
        </w:rPr>
        <w:t>b) tienen tendencia a mantener instituciones sociales, económicas y políticas propias en sus territorios;</w:t>
      </w:r>
      <w:r w:rsidR="00B834A4" w:rsidRPr="000D5434">
        <w:rPr>
          <w:szCs w:val="22"/>
          <w:lang w:val="es-ES"/>
        </w:rPr>
        <w:t xml:space="preserve"> </w:t>
      </w:r>
      <w:r w:rsidRPr="000D5434">
        <w:rPr>
          <w:szCs w:val="22"/>
          <w:lang w:val="es-ES"/>
        </w:rPr>
        <w:t>c) aspiran por lo común a permanecer cultural, geográfica e institucionalmente distintos más que a asimilarse plenamente a la sociedad nacional;</w:t>
      </w:r>
      <w:r w:rsidR="00B834A4" w:rsidRPr="000D5434">
        <w:rPr>
          <w:szCs w:val="22"/>
          <w:lang w:val="es-ES"/>
        </w:rPr>
        <w:t xml:space="preserve"> </w:t>
      </w:r>
      <w:r w:rsidRPr="000D5434">
        <w:rPr>
          <w:szCs w:val="22"/>
          <w:lang w:val="es-ES"/>
        </w:rPr>
        <w:t>y d) se identifican a sí mismos como indígenas o tribales.</w:t>
      </w:r>
      <w:r w:rsidR="00B834A4" w:rsidRPr="000D5434">
        <w:rPr>
          <w:szCs w:val="22"/>
          <w:lang w:val="es-ES"/>
        </w:rPr>
        <w:t xml:space="preserve"> </w:t>
      </w:r>
      <w:r w:rsidRPr="000D5434">
        <w:rPr>
          <w:szCs w:val="22"/>
          <w:lang w:val="es-ES"/>
        </w:rPr>
        <w:t>A pesar de compartir características comunes, no existe una única definición aceptada de pueblos indígenas que exprese la diversidad de sus pueblos.</w:t>
      </w:r>
      <w:r w:rsidR="00B834A4" w:rsidRPr="000D5434">
        <w:rPr>
          <w:szCs w:val="22"/>
          <w:lang w:val="es-ES"/>
        </w:rPr>
        <w:t xml:space="preserve"> </w:t>
      </w:r>
      <w:r w:rsidRPr="000D5434">
        <w:rPr>
          <w:szCs w:val="22"/>
          <w:lang w:val="es-ES"/>
        </w:rPr>
        <w:t>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0D5434" w:rsidRDefault="00C0409B" w:rsidP="00103D66">
      <w:pPr>
        <w:pStyle w:val="ONUMFS"/>
        <w:numPr>
          <w:ilvl w:val="0"/>
          <w:numId w:val="0"/>
        </w:numPr>
        <w:rPr>
          <w:szCs w:val="22"/>
          <w:lang w:val="es-ES"/>
        </w:rPr>
      </w:pPr>
      <w:r w:rsidRPr="000D5434">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0D5434">
        <w:rPr>
          <w:iCs/>
          <w:szCs w:val="22"/>
          <w:lang w:val="es-ES"/>
        </w:rPr>
        <w:t>pueblos originarios que tienen derechos anteriores a la formación del Estado peruano, mantienen una cultura propia, un espacio territorial y se autorreconocen como tales.</w:t>
      </w:r>
      <w:r w:rsidR="00B834A4" w:rsidRPr="000D5434">
        <w:rPr>
          <w:iCs/>
          <w:szCs w:val="22"/>
          <w:lang w:val="es-ES"/>
        </w:rPr>
        <w:t xml:space="preserve"> </w:t>
      </w:r>
      <w:r w:rsidRPr="000D5434">
        <w:rPr>
          <w:iCs/>
          <w:szCs w:val="22"/>
          <w:lang w:val="es-ES"/>
        </w:rPr>
        <w:t xml:space="preserve">En </w:t>
      </w:r>
      <w:r w:rsidR="00D4348B">
        <w:rPr>
          <w:iCs/>
          <w:szCs w:val="22"/>
          <w:lang w:val="es-ES"/>
        </w:rPr>
        <w:t>estos</w:t>
      </w:r>
      <w:r w:rsidRPr="000D5434">
        <w:rPr>
          <w:iCs/>
          <w:szCs w:val="22"/>
          <w:lang w:val="es-ES"/>
        </w:rPr>
        <w:t xml:space="preserve"> se incluye a los pueblos en aislamiento voluntario o no contactados, así como a las comunidades campesinas y nativas.</w:t>
      </w:r>
      <w:r w:rsidR="00B834A4" w:rsidRPr="000D5434">
        <w:rPr>
          <w:iCs/>
          <w:szCs w:val="22"/>
          <w:lang w:val="es-ES"/>
        </w:rPr>
        <w:t xml:space="preserve"> </w:t>
      </w:r>
      <w:r w:rsidRPr="000D5434">
        <w:rPr>
          <w:iCs/>
          <w:szCs w:val="22"/>
          <w:lang w:val="es-ES"/>
        </w:rPr>
        <w:t>La denominación “indígenas” comprende y puede emplearse como sinónimo de “originarios”, “tradicionales”, “étnicos”, “ancestrales”, “nativos” u otros vocablos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término “aborigen” es un término conexo.</w:t>
      </w:r>
      <w:r w:rsidR="00B834A4" w:rsidRPr="000D5434">
        <w:rPr>
          <w:szCs w:val="22"/>
          <w:lang w:val="es-ES"/>
        </w:rPr>
        <w:t xml:space="preserve"> </w:t>
      </w:r>
      <w:r w:rsidRPr="000D5434">
        <w:rPr>
          <w:szCs w:val="22"/>
          <w:lang w:val="es-ES"/>
        </w:rPr>
        <w:t>En el Diccionario Enciclopédico de Derecho Usual de Guillermo Cabanellas se define la palabra “aborigen” como “originario de un territorio o primer poblador del mismo”.</w:t>
      </w:r>
      <w:r w:rsidR="00B834A4" w:rsidRPr="000D5434">
        <w:rPr>
          <w:szCs w:val="22"/>
          <w:lang w:val="es-ES"/>
        </w:rPr>
        <w:t xml:space="preserve"> </w:t>
      </w:r>
      <w:r w:rsidRPr="000D5434">
        <w:rPr>
          <w:szCs w:val="22"/>
          <w:lang w:val="es-ES"/>
        </w:rPr>
        <w:t xml:space="preserve">Aun admisible como equivalente de </w:t>
      </w:r>
      <w:r w:rsidRPr="000D5434">
        <w:rPr>
          <w:i/>
          <w:iCs/>
          <w:szCs w:val="22"/>
          <w:lang w:val="es-ES"/>
        </w:rPr>
        <w:t>indígena</w:t>
      </w:r>
      <w:r w:rsidRPr="000D5434">
        <w:rPr>
          <w:szCs w:val="22"/>
          <w:lang w:val="es-ES"/>
        </w:rPr>
        <w:t>, este último vocablo es el usual en las campañas coloniales para designar a la población nativa.</w:t>
      </w:r>
      <w:r w:rsidR="00B834A4" w:rsidRPr="000D5434">
        <w:rPr>
          <w:szCs w:val="22"/>
          <w:lang w:val="es-ES"/>
        </w:rPr>
        <w:t xml:space="preserve"> </w:t>
      </w:r>
      <w:r w:rsidRPr="000D5434">
        <w:rPr>
          <w:szCs w:val="22"/>
          <w:lang w:val="es-ES"/>
        </w:rPr>
        <w:t>La voz se emplea con preferencia en plural:</w:t>
      </w:r>
      <w:r w:rsidR="00B834A4" w:rsidRPr="000D5434">
        <w:rPr>
          <w:szCs w:val="22"/>
          <w:lang w:val="es-ES"/>
        </w:rPr>
        <w:t xml:space="preserve"> </w:t>
      </w:r>
      <w:r w:rsidRPr="000D5434">
        <w:rPr>
          <w:i/>
          <w:iCs/>
          <w:szCs w:val="22"/>
          <w:lang w:val="es-ES"/>
        </w:rPr>
        <w:t>aborígenes</w:t>
      </w:r>
      <w:r w:rsidRPr="000D5434">
        <w:rPr>
          <w:szCs w:val="22"/>
          <w:lang w:val="es-ES"/>
        </w:rPr>
        <w:t>.</w:t>
      </w:r>
      <w:r w:rsidR="00B834A4" w:rsidRPr="000D5434">
        <w:rPr>
          <w:szCs w:val="22"/>
          <w:lang w:val="es-ES"/>
        </w:rPr>
        <w:t xml:space="preserve"> </w:t>
      </w:r>
      <w:r w:rsidRPr="000D5434">
        <w:rPr>
          <w:szCs w:val="22"/>
          <w:lang w:val="es-ES"/>
        </w:rPr>
        <w:t>En el Diccionario Oxford se define dicho término también como pueblo que vivía u ocupaba un país antes de la llegada de los colonos europeos […] y también como nombre característico del pueblo indígena de Australia</w:t>
      </w:r>
      <w:r w:rsidR="005C4DF4" w:rsidRPr="000D5434">
        <w:rPr>
          <w:szCs w:val="22"/>
          <w:lang w:val="es-ES"/>
        </w:rPr>
        <w:t>;</w:t>
      </w:r>
      <w:r w:rsidR="00B834A4" w:rsidRPr="000D5434">
        <w:rPr>
          <w:szCs w:val="22"/>
          <w:lang w:val="es-ES"/>
        </w:rPr>
        <w:t xml:space="preserve"> </w:t>
      </w:r>
      <w:r w:rsidR="005C4DF4" w:rsidRPr="000D5434">
        <w:rPr>
          <w:szCs w:val="22"/>
          <w:lang w:val="es-ES"/>
        </w:rPr>
        <w:t>como adjetivo, se define como perteneciente o relacionado con los aborígenes o primeros habitantes conocidos de un territorio</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el artículo 35 de la Constitución del Canadá se estipula lo siguiente:</w:t>
      </w:r>
      <w:r w:rsidR="00B834A4" w:rsidRPr="000D5434">
        <w:rPr>
          <w:szCs w:val="22"/>
          <w:lang w:val="es-ES"/>
        </w:rPr>
        <w:t xml:space="preserve"> </w:t>
      </w:r>
      <w:r w:rsidRPr="000D5434">
        <w:rPr>
          <w:iCs/>
          <w:szCs w:val="22"/>
          <w:lang w:val="es-ES"/>
        </w:rPr>
        <w:t xml:space="preserve">[…] </w:t>
      </w:r>
      <w:r w:rsidRPr="000D5434">
        <w:rPr>
          <w:i/>
          <w:iCs/>
          <w:szCs w:val="22"/>
          <w:lang w:val="es-ES"/>
        </w:rPr>
        <w:t>el pueblo aborigen del Canadá incluye los pueblos indígena, inuit y mestizo del Canadá</w:t>
      </w:r>
      <w:r w:rsidRPr="000D5434">
        <w:rPr>
          <w:iCs/>
          <w:szCs w:val="22"/>
          <w:lang w:val="es-ES"/>
        </w:rPr>
        <w:t>.</w:t>
      </w:r>
      <w:r w:rsidR="00B834A4" w:rsidRPr="000D5434">
        <w:rPr>
          <w:szCs w:val="22"/>
          <w:lang w:val="es-ES"/>
        </w:rPr>
        <w:t xml:space="preserve"> </w:t>
      </w:r>
      <w:r w:rsidRPr="000D5434">
        <w:rPr>
          <w:szCs w:val="22"/>
          <w:lang w:val="es-ES"/>
        </w:rPr>
        <w:t>En 1996, la</w:t>
      </w:r>
      <w:r w:rsidRPr="000D5434">
        <w:rPr>
          <w:iCs/>
          <w:szCs w:val="22"/>
          <w:lang w:val="es-ES"/>
        </w:rPr>
        <w:t xml:space="preserve"> </w:t>
      </w:r>
      <w:r w:rsidRPr="000D5434">
        <w:rPr>
          <w:i/>
          <w:iCs/>
          <w:szCs w:val="22"/>
          <w:lang w:val="es-ES"/>
        </w:rPr>
        <w:t>Canadian Royal Commission on Aboriginal People</w:t>
      </w:r>
      <w:r w:rsidRPr="000D5434">
        <w:rPr>
          <w:szCs w:val="22"/>
          <w:lang w:val="es-ES"/>
        </w:rPr>
        <w:t xml:space="preserve"> definió a su grupo destinatario en tanto que:</w:t>
      </w:r>
      <w:r w:rsidR="00B834A4" w:rsidRPr="000D5434">
        <w:rPr>
          <w:szCs w:val="22"/>
          <w:lang w:val="es-ES"/>
        </w:rPr>
        <w:t xml:space="preserve"> </w:t>
      </w:r>
      <w:r w:rsidRPr="000D5434">
        <w:rPr>
          <w:szCs w:val="22"/>
          <w:lang w:val="es-ES"/>
        </w:rPr>
        <w:t xml:space="preserve">[…] </w:t>
      </w:r>
      <w:r w:rsidRPr="000D5434">
        <w:rPr>
          <w:i/>
          <w:iCs/>
          <w:szCs w:val="22"/>
          <w:lang w:val="es-ES"/>
        </w:rPr>
        <w:t>entidades políticas y culturales orgánicas que proceden del pueblo original de América del Norte</w:t>
      </w:r>
      <w:r w:rsidRPr="000D5434">
        <w:rPr>
          <w:szCs w:val="22"/>
          <w:lang w:val="es-ES"/>
        </w:rPr>
        <w:t xml:space="preserve"> […].</w:t>
      </w:r>
    </w:p>
    <w:p w:rsidR="00C0409B" w:rsidRPr="000D5434" w:rsidRDefault="00C0409B" w:rsidP="00103D66">
      <w:pPr>
        <w:pStyle w:val="ONUMFS"/>
        <w:numPr>
          <w:ilvl w:val="0"/>
          <w:numId w:val="0"/>
        </w:numPr>
        <w:rPr>
          <w:b/>
          <w:szCs w:val="22"/>
          <w:lang w:val="es-ES"/>
        </w:rPr>
      </w:pPr>
      <w:r w:rsidRPr="000D5434">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w:t>
      </w:r>
      <w:r w:rsidR="00B834A4" w:rsidRPr="000D5434">
        <w:rPr>
          <w:szCs w:val="22"/>
          <w:lang w:val="es-ES"/>
        </w:rPr>
        <w:t xml:space="preserve"> </w:t>
      </w:r>
      <w:r w:rsidRPr="000D5434">
        <w:rPr>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rStyle w:val="FootnoteReference"/>
          <w:szCs w:val="22"/>
          <w:lang w:val="es-ES"/>
        </w:rPr>
        <w:footnoteReference w:id="79"/>
      </w:r>
    </w:p>
    <w:p w:rsidR="00C0409B" w:rsidRPr="000D5434" w:rsidRDefault="00C0409B" w:rsidP="00B16297">
      <w:pPr>
        <w:pStyle w:val="ONUMFS"/>
        <w:numPr>
          <w:ilvl w:val="0"/>
          <w:numId w:val="0"/>
        </w:numPr>
        <w:rPr>
          <w:b/>
          <w:szCs w:val="22"/>
          <w:lang w:val="es-ES"/>
        </w:rPr>
      </w:pPr>
      <w:r w:rsidRPr="000D5434">
        <w:rPr>
          <w:b/>
          <w:bCs/>
          <w:szCs w:val="22"/>
          <w:lang w:val="es-ES"/>
        </w:rPr>
        <w:t>Infracción</w:t>
      </w:r>
    </w:p>
    <w:p w:rsidR="00C0409B" w:rsidRPr="000D5434" w:rsidRDefault="00C0409B" w:rsidP="00B16297">
      <w:pPr>
        <w:pStyle w:val="ONUMFS"/>
        <w:numPr>
          <w:ilvl w:val="0"/>
          <w:numId w:val="0"/>
        </w:numPr>
        <w:rPr>
          <w:b/>
          <w:szCs w:val="22"/>
          <w:lang w:val="es-ES"/>
        </w:rPr>
      </w:pPr>
      <w:r w:rsidRPr="000D5434">
        <w:rPr>
          <w:szCs w:val="22"/>
          <w:lang w:val="es-ES"/>
        </w:rPr>
        <w:t xml:space="preserve">Según el </w:t>
      </w:r>
      <w:r w:rsidRPr="000D5434">
        <w:rPr>
          <w:i/>
          <w:iCs/>
          <w:szCs w:val="22"/>
          <w:lang w:val="es-ES"/>
        </w:rPr>
        <w:t>Diccionario de la lengua española</w:t>
      </w:r>
      <w:r w:rsidRPr="000D5434">
        <w:rPr>
          <w:szCs w:val="22"/>
          <w:lang w:val="es-ES"/>
        </w:rPr>
        <w:t xml:space="preserve"> de la Real Academia Española, “infracción” es la “transgresión, quebrantamiento de una ley, pacto o tratado, o de una norma moral, lógica o doctrinal”.</w:t>
      </w:r>
      <w:r w:rsidR="00B834A4" w:rsidRPr="000D5434">
        <w:rPr>
          <w:szCs w:val="22"/>
          <w:lang w:val="es-ES"/>
        </w:rPr>
        <w:t xml:space="preserve"> </w:t>
      </w:r>
      <w:r w:rsidRPr="000D5434">
        <w:rPr>
          <w:szCs w:val="22"/>
          <w:lang w:val="es-ES"/>
        </w:rPr>
        <w:t>“En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w:t>
      </w:r>
      <w:r w:rsidR="00B834A4" w:rsidRPr="000D5434">
        <w:rPr>
          <w:szCs w:val="22"/>
          <w:lang w:val="es-ES"/>
        </w:rPr>
        <w:t xml:space="preserve"> </w:t>
      </w:r>
      <w:r w:rsidRPr="000D5434">
        <w:rPr>
          <w:szCs w:val="22"/>
          <w:lang w:val="es-ES"/>
        </w:rPr>
        <w:t>No sólo puede incurrirse en la responsabilidad de una actividad infractora por responsabilidad directa (por llevar a cabo un acto no autorizado propiamente dicho), sino también por ‘responsabilidad indirecta’ o ‘responsabilidad civil subsidiaria’”.</w:t>
      </w:r>
      <w:r w:rsidRPr="000D5434">
        <w:rPr>
          <w:rStyle w:val="FootnoteReference"/>
          <w:szCs w:val="22"/>
          <w:lang w:val="es-ES"/>
        </w:rPr>
        <w:footnoteReference w:id="80"/>
      </w:r>
    </w:p>
    <w:p w:rsidR="00C0409B" w:rsidRPr="000D5434" w:rsidRDefault="005C4DF4" w:rsidP="00103D66">
      <w:pPr>
        <w:pStyle w:val="ONUMFS"/>
        <w:numPr>
          <w:ilvl w:val="0"/>
          <w:numId w:val="0"/>
        </w:numPr>
        <w:rPr>
          <w:b/>
          <w:i/>
          <w:szCs w:val="22"/>
          <w:lang w:val="es-ES"/>
        </w:rPr>
      </w:pPr>
      <w:r w:rsidRPr="000D5434">
        <w:rPr>
          <w:b/>
          <w:szCs w:val="22"/>
          <w:lang w:val="es-ES"/>
        </w:rPr>
        <w:t xml:space="preserve">Condiciones </w:t>
      </w:r>
      <w:r w:rsidR="00C0409B" w:rsidRPr="000D5434">
        <w:rPr>
          <w:b/>
          <w:i/>
          <w:szCs w:val="22"/>
          <w:lang w:val="es-ES"/>
        </w:rPr>
        <w:t>In-situ</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
          <w:szCs w:val="22"/>
          <w:lang w:val="es-ES"/>
        </w:rPr>
        <w:t xml:space="preserve">Convenio sobre la Diversidad Biológica </w:t>
      </w:r>
      <w:r w:rsidRPr="000D5434">
        <w:rPr>
          <w:szCs w:val="22"/>
          <w:lang w:val="es-ES"/>
        </w:rPr>
        <w:t xml:space="preserve">(1992), por “condiciones </w:t>
      </w:r>
      <w:r w:rsidRPr="000D5434">
        <w:rPr>
          <w:i/>
          <w:szCs w:val="22"/>
          <w:lang w:val="es-ES"/>
        </w:rPr>
        <w:t>in-situ</w:t>
      </w:r>
      <w:r w:rsidRPr="000D5434">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0D5434" w:rsidRDefault="00C0409B" w:rsidP="00103D66">
      <w:pPr>
        <w:pStyle w:val="ONUMFS"/>
        <w:numPr>
          <w:ilvl w:val="0"/>
          <w:numId w:val="0"/>
        </w:numPr>
        <w:rPr>
          <w:b/>
          <w:bCs/>
          <w:szCs w:val="22"/>
          <w:lang w:val="es-ES"/>
        </w:rPr>
      </w:pPr>
      <w:r w:rsidRPr="000D5434">
        <w:rPr>
          <w:b/>
          <w:bCs/>
          <w:szCs w:val="22"/>
          <w:lang w:val="es-ES"/>
        </w:rPr>
        <w:t>Patrimonio cultural inmaterial</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“inmaterial” significa “no material”;</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repite la definición y remite a “Incorpóreo, infigurable, ingrávido.</w:t>
      </w:r>
      <w:r w:rsidR="00B834A4" w:rsidRPr="000D5434">
        <w:rPr>
          <w:szCs w:val="22"/>
          <w:lang w:val="es-ES"/>
        </w:rPr>
        <w:t xml:space="preserve"> </w:t>
      </w:r>
      <w:r w:rsidRPr="000D5434">
        <w:rPr>
          <w:szCs w:val="22"/>
          <w:lang w:val="es-ES"/>
        </w:rPr>
        <w:t>Espiritual.</w:t>
      </w:r>
      <w:r w:rsidR="00B834A4" w:rsidRPr="000D5434">
        <w:rPr>
          <w:szCs w:val="22"/>
          <w:lang w:val="es-ES"/>
        </w:rPr>
        <w:t xml:space="preserve"> </w:t>
      </w:r>
      <w:r w:rsidRPr="000D5434">
        <w:rPr>
          <w:szCs w:val="22"/>
          <w:lang w:val="es-ES"/>
        </w:rPr>
        <w:t>Moral” y dice también que es sinónimo de “impalpable”:</w:t>
      </w:r>
      <w:r w:rsidR="00B834A4" w:rsidRPr="000D5434">
        <w:rPr>
          <w:szCs w:val="22"/>
          <w:lang w:val="es-ES"/>
        </w:rPr>
        <w:t xml:space="preserve"> </w:t>
      </w:r>
      <w:r w:rsidRPr="000D5434">
        <w:rPr>
          <w:szCs w:val="22"/>
          <w:lang w:val="es-ES"/>
        </w:rPr>
        <w:t>“aplicable a las cosas no perceptibles por el tacto”.</w:t>
      </w:r>
      <w:r w:rsidR="00B834A4" w:rsidRPr="000D5434">
        <w:rPr>
          <w:szCs w:val="22"/>
          <w:lang w:val="es-ES"/>
        </w:rPr>
        <w:t xml:space="preserve"> </w:t>
      </w:r>
      <w:r w:rsidRPr="000D5434">
        <w:rPr>
          <w:szCs w:val="22"/>
          <w:lang w:val="es-ES"/>
        </w:rPr>
        <w:t xml:space="preserve">A su vez, de “incorpóreo” el </w:t>
      </w:r>
      <w:r w:rsidRPr="000D5434">
        <w:rPr>
          <w:iCs/>
          <w:szCs w:val="22"/>
          <w:lang w:val="es-ES"/>
        </w:rPr>
        <w:t>Diccionario Espasa de la lengua española</w:t>
      </w:r>
      <w:r w:rsidRPr="000D5434">
        <w:rPr>
          <w:szCs w:val="22"/>
          <w:lang w:val="es-ES"/>
        </w:rPr>
        <w:t xml:space="preserve"> dice:</w:t>
      </w:r>
      <w:r w:rsidR="00B834A4" w:rsidRPr="000D5434">
        <w:rPr>
          <w:szCs w:val="22"/>
          <w:lang w:val="es-ES"/>
        </w:rPr>
        <w:t xml:space="preserve"> </w:t>
      </w:r>
      <w:r w:rsidRPr="000D5434">
        <w:rPr>
          <w:szCs w:val="22"/>
          <w:lang w:val="es-ES"/>
        </w:rPr>
        <w:t>“Que no tiene cuerpo o que no existe físicamente”.</w:t>
      </w:r>
      <w:r w:rsidR="00B834A4" w:rsidRPr="000D5434">
        <w:rPr>
          <w:szCs w:val="22"/>
          <w:lang w:val="es-ES"/>
        </w:rPr>
        <w:t xml:space="preserve"> </w:t>
      </w:r>
      <w:r w:rsidRPr="000D5434">
        <w:rPr>
          <w:szCs w:val="22"/>
          <w:lang w:val="es-ES"/>
        </w:rPr>
        <w:t>Por el contrario, según la RAE, “material” es aquello “perteneciente o relativo a la materia” y “opuesto a lo espiritual”.</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9568D" w:rsidRPr="000D5434">
        <w:rPr>
          <w:szCs w:val="22"/>
          <w:lang w:val="es-ES"/>
        </w:rPr>
        <w:t>, de la UNESCO,</w:t>
      </w:r>
      <w:r w:rsidRPr="000D5434">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B834A4" w:rsidRPr="000D5434">
        <w:rPr>
          <w:szCs w:val="22"/>
          <w:lang w:val="es-ES"/>
        </w:rPr>
        <w:t xml:space="preserve"> </w:t>
      </w:r>
      <w:r w:rsidRPr="000D5434">
        <w:rPr>
          <w:szCs w:val="22"/>
          <w:lang w:val="es-ES"/>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B834A4" w:rsidRPr="000D5434">
        <w:rPr>
          <w:szCs w:val="22"/>
          <w:lang w:val="es-ES"/>
        </w:rPr>
        <w:t xml:space="preserve"> </w:t>
      </w:r>
      <w:r w:rsidRPr="000D5434">
        <w:rPr>
          <w:szCs w:val="22"/>
          <w:lang w:val="es-ES"/>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0D5434" w:rsidRDefault="00C0409B" w:rsidP="00103D66">
      <w:pPr>
        <w:pStyle w:val="ONUMFS"/>
        <w:numPr>
          <w:ilvl w:val="0"/>
          <w:numId w:val="0"/>
        </w:numPr>
        <w:rPr>
          <w:szCs w:val="22"/>
          <w:lang w:val="es-ES"/>
        </w:rPr>
      </w:pPr>
      <w:r w:rsidRPr="000D5434">
        <w:rPr>
          <w:szCs w:val="22"/>
          <w:lang w:val="es-ES"/>
        </w:rPr>
        <w:t>La Convención dispone asimismo que el “patrimonio cultural inmaterial” “se manifiesta en particular en los ámbitos siguientes:</w:t>
      </w:r>
      <w:r w:rsidR="00B834A4" w:rsidRPr="000D5434">
        <w:rPr>
          <w:szCs w:val="22"/>
          <w:lang w:val="es-ES"/>
        </w:rPr>
        <w:t xml:space="preserve"> </w:t>
      </w:r>
      <w:r w:rsidRPr="000D5434">
        <w:rPr>
          <w:szCs w:val="22"/>
          <w:lang w:val="es-ES"/>
        </w:rPr>
        <w:t>a) tradiciones y expresiones orales, incluido el idioma como vehículo del patrimonio cultural inmaterial;</w:t>
      </w:r>
      <w:r w:rsidR="00B834A4" w:rsidRPr="000D5434">
        <w:rPr>
          <w:szCs w:val="22"/>
          <w:lang w:val="es-ES"/>
        </w:rPr>
        <w:t xml:space="preserve"> </w:t>
      </w:r>
      <w:r w:rsidRPr="000D5434">
        <w:rPr>
          <w:szCs w:val="22"/>
          <w:lang w:val="es-ES"/>
        </w:rPr>
        <w:t>b) artes del espectáculo;</w:t>
      </w:r>
      <w:r w:rsidR="00B834A4" w:rsidRPr="000D5434">
        <w:rPr>
          <w:szCs w:val="22"/>
          <w:lang w:val="es-ES"/>
        </w:rPr>
        <w:t xml:space="preserve"> </w:t>
      </w:r>
      <w:r w:rsidRPr="000D5434">
        <w:rPr>
          <w:szCs w:val="22"/>
          <w:lang w:val="es-ES"/>
        </w:rPr>
        <w:t>c) usos sociales, rituales y actos festivos;</w:t>
      </w:r>
      <w:r w:rsidR="00B834A4" w:rsidRPr="000D5434">
        <w:rPr>
          <w:szCs w:val="22"/>
          <w:lang w:val="es-ES"/>
        </w:rPr>
        <w:t xml:space="preserve"> </w:t>
      </w:r>
      <w:r w:rsidRPr="000D5434">
        <w:rPr>
          <w:szCs w:val="22"/>
          <w:lang w:val="es-ES"/>
        </w:rPr>
        <w:t>d) conocimientos y usos relacionados con la naturaleza y el universo;</w:t>
      </w:r>
      <w:r w:rsidR="00B834A4" w:rsidRPr="000D5434">
        <w:rPr>
          <w:szCs w:val="22"/>
          <w:lang w:val="es-ES"/>
        </w:rPr>
        <w:t xml:space="preserve"> </w:t>
      </w:r>
      <w:r w:rsidRPr="000D5434">
        <w:rPr>
          <w:szCs w:val="22"/>
          <w:lang w:val="es-ES"/>
        </w:rPr>
        <w:t>e) técnicas artesanales tradicionales”.</w:t>
      </w:r>
    </w:p>
    <w:p w:rsidR="00C0409B" w:rsidRPr="000D5434" w:rsidRDefault="00C0409B" w:rsidP="00103D66">
      <w:pPr>
        <w:pStyle w:val="ONUMFS"/>
        <w:numPr>
          <w:ilvl w:val="0"/>
          <w:numId w:val="0"/>
        </w:numPr>
        <w:rPr>
          <w:b/>
          <w:szCs w:val="22"/>
          <w:lang w:val="es-ES"/>
        </w:rPr>
      </w:pPr>
      <w:r w:rsidRPr="000D5434">
        <w:rPr>
          <w:b/>
          <w:bCs/>
          <w:szCs w:val="22"/>
          <w:lang w:val="es-ES"/>
        </w:rPr>
        <w:t>Integridad [derecho de] [de la obra]</w:t>
      </w:r>
    </w:p>
    <w:p w:rsidR="00C0409B" w:rsidRPr="000D5434" w:rsidRDefault="00C0409B" w:rsidP="00103D66">
      <w:pPr>
        <w:pStyle w:val="ONUMFS"/>
        <w:numPr>
          <w:ilvl w:val="0"/>
          <w:numId w:val="0"/>
        </w:numPr>
        <w:rPr>
          <w:b/>
          <w:szCs w:val="22"/>
          <w:lang w:val="es-ES"/>
        </w:rPr>
      </w:pPr>
      <w:r w:rsidRPr="000D5434">
        <w:rPr>
          <w:szCs w:val="22"/>
          <w:lang w:val="es-ES"/>
        </w:rPr>
        <w:t>Gracias al derecho de integridad, el autor puede oponerse a los actos de modificación o alteración de la obra que carezcan de su consentimiento.</w:t>
      </w:r>
      <w:r w:rsidRPr="000D5434">
        <w:rPr>
          <w:rStyle w:val="FootnoteReference"/>
          <w:szCs w:val="22"/>
          <w:lang w:val="es-ES"/>
        </w:rPr>
        <w:footnoteReference w:id="81"/>
      </w:r>
      <w:r w:rsidR="00B834A4" w:rsidRPr="000D5434">
        <w:rPr>
          <w:szCs w:val="22"/>
          <w:lang w:val="es-ES"/>
        </w:rPr>
        <w:t xml:space="preserve"> </w:t>
      </w:r>
      <w:r w:rsidRPr="000D5434">
        <w:rPr>
          <w:szCs w:val="22"/>
          <w:lang w:val="es-ES"/>
        </w:rPr>
        <w:t xml:space="preserve">En la revisión de Bruselas </w:t>
      </w:r>
      <w:r w:rsidR="00B16297" w:rsidRPr="000D5434">
        <w:rPr>
          <w:szCs w:val="22"/>
          <w:lang w:val="es-ES"/>
        </w:rPr>
        <w:t>de </w:t>
      </w:r>
      <w:r w:rsidR="0059568D" w:rsidRPr="000D5434">
        <w:rPr>
          <w:szCs w:val="22"/>
          <w:lang w:val="es-ES"/>
        </w:rPr>
        <w:t xml:space="preserve">1949 </w:t>
      </w:r>
      <w:r w:rsidRPr="000D5434">
        <w:rPr>
          <w:szCs w:val="22"/>
          <w:lang w:val="es-ES"/>
        </w:rPr>
        <w:t xml:space="preserve">del </w:t>
      </w:r>
      <w:r w:rsidRPr="000D5434">
        <w:rPr>
          <w:i/>
          <w:szCs w:val="22"/>
          <w:lang w:val="es-ES"/>
        </w:rPr>
        <w:t>Convenio de Berna</w:t>
      </w:r>
      <w:r w:rsidR="0059568D" w:rsidRPr="000D5434">
        <w:rPr>
          <w:i/>
          <w:szCs w:val="22"/>
          <w:lang w:val="es-ES"/>
        </w:rPr>
        <w:t xml:space="preserve"> para la Protección de las Obras Literarias y Artísticas</w:t>
      </w:r>
      <w:r w:rsidRPr="000D5434">
        <w:rPr>
          <w:szCs w:val="22"/>
          <w:lang w:val="es-ES"/>
        </w:rPr>
        <w:t xml:space="preserve"> (19</w:t>
      </w:r>
      <w:r w:rsidR="0059568D" w:rsidRPr="000D5434">
        <w:rPr>
          <w:szCs w:val="22"/>
          <w:lang w:val="es-ES"/>
        </w:rPr>
        <w:t>71</w:t>
      </w:r>
      <w:r w:rsidRPr="000D5434">
        <w:rPr>
          <w:szCs w:val="22"/>
          <w:lang w:val="es-ES"/>
        </w:rPr>
        <w:t>), se acordó prohibir “cualquier atentado a la misma [la obra] que cause perjuicio a su honor o a su reputación [del autor] (artículo 6</w:t>
      </w:r>
      <w:r w:rsidRPr="000D5434">
        <w:rPr>
          <w:i/>
          <w:szCs w:val="22"/>
          <w:lang w:val="es-ES"/>
        </w:rPr>
        <w:t>bis</w:t>
      </w:r>
      <w:r w:rsidRPr="000D5434">
        <w:rPr>
          <w:szCs w:val="22"/>
          <w:lang w:val="es-ES"/>
        </w:rPr>
        <w:t>).</w:t>
      </w:r>
    </w:p>
    <w:p w:rsidR="00C0409B" w:rsidRPr="000D5434" w:rsidRDefault="00C0409B" w:rsidP="00103D66">
      <w:pPr>
        <w:pStyle w:val="ONUMFS"/>
        <w:numPr>
          <w:ilvl w:val="0"/>
          <w:numId w:val="0"/>
        </w:numPr>
        <w:rPr>
          <w:b/>
          <w:szCs w:val="22"/>
          <w:lang w:val="es-ES"/>
        </w:rPr>
      </w:pPr>
      <w:r w:rsidRPr="000D5434">
        <w:rPr>
          <w:b/>
          <w:bCs/>
          <w:szCs w:val="22"/>
          <w:lang w:val="es-ES"/>
        </w:rPr>
        <w:t>Directrices de propiedad intelectual sobre acceso y participación en los beneficios</w:t>
      </w:r>
    </w:p>
    <w:p w:rsidR="002F5651" w:rsidRDefault="00C0409B" w:rsidP="00103D66">
      <w:pPr>
        <w:pStyle w:val="ONUMFS"/>
        <w:numPr>
          <w:ilvl w:val="0"/>
          <w:numId w:val="0"/>
        </w:numPr>
        <w:rPr>
          <w:szCs w:val="22"/>
          <w:lang w:val="es-ES"/>
        </w:rPr>
      </w:pPr>
      <w:r w:rsidRPr="000D5434">
        <w:rPr>
          <w:szCs w:val="22"/>
          <w:lang w:val="es-ES"/>
        </w:rPr>
        <w:t>Desde su primera sesión, el CIG respaldó una tarea que concluiría en la elaboración, por parte de la OMPI, de directrices de propiedad intelectual sobre acceso y participación en los beneficios.</w:t>
      </w:r>
      <w:r w:rsidR="00B834A4" w:rsidRPr="000D5434">
        <w:rPr>
          <w:szCs w:val="22"/>
          <w:lang w:val="es-ES"/>
        </w:rPr>
        <w:t xml:space="preserve"> </w:t>
      </w:r>
      <w:r w:rsidRPr="000D5434">
        <w:rPr>
          <w:szCs w:val="22"/>
          <w:lang w:val="es-ES"/>
        </w:rPr>
        <w:t>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0D5434">
        <w:rPr>
          <w:rStyle w:val="FootnoteReference"/>
          <w:szCs w:val="22"/>
          <w:lang w:val="es-ES"/>
        </w:rPr>
        <w:footnoteReference w:id="82"/>
      </w:r>
      <w:bookmarkEnd w:id="12"/>
    </w:p>
    <w:p w:rsidR="002F5651" w:rsidRDefault="00C0409B" w:rsidP="00103D66">
      <w:pPr>
        <w:pStyle w:val="ONUMFS"/>
        <w:numPr>
          <w:ilvl w:val="0"/>
          <w:numId w:val="0"/>
        </w:numPr>
        <w:rPr>
          <w:szCs w:val="22"/>
          <w:lang w:val="es-ES"/>
        </w:rPr>
      </w:pPr>
      <w:r w:rsidRPr="000D5434">
        <w:rPr>
          <w:szCs w:val="22"/>
          <w:lang w:val="es-ES"/>
        </w:rPr>
        <w:t>Se preparó un primer borrador</w:t>
      </w:r>
      <w:r w:rsidRPr="000D5434">
        <w:rPr>
          <w:rStyle w:val="FootnoteReference"/>
          <w:szCs w:val="22"/>
          <w:lang w:val="es-ES"/>
        </w:rPr>
        <w:footnoteReference w:id="83"/>
      </w:r>
      <w:r w:rsidRPr="000D5434">
        <w:rPr>
          <w:szCs w:val="22"/>
          <w:lang w:val="es-ES"/>
        </w:rPr>
        <w:t xml:space="preserve"> teniendo en cuenta los principios operativos señalados por el CIG con respecto a la elaboración de tales directrices.</w:t>
      </w:r>
      <w:r w:rsidRPr="000D5434">
        <w:rPr>
          <w:rStyle w:val="FootnoteReference"/>
          <w:szCs w:val="22"/>
          <w:lang w:val="es-ES"/>
        </w:rPr>
        <w:footnoteReference w:id="84"/>
      </w:r>
      <w:r w:rsidR="00B834A4" w:rsidRPr="000D5434">
        <w:rPr>
          <w:szCs w:val="22"/>
          <w:lang w:val="es-ES"/>
        </w:rPr>
        <w:t xml:space="preserve"> </w:t>
      </w:r>
      <w:r w:rsidRPr="000D5434">
        <w:rPr>
          <w:szCs w:val="22"/>
          <w:lang w:val="es-ES"/>
        </w:rPr>
        <w:t>Posteriormente, dicho borrador fue actualizado con motivo de la decimoséptima sesión del CIG.</w:t>
      </w:r>
      <w:r w:rsidRPr="000D5434">
        <w:rPr>
          <w:rStyle w:val="FootnoteReference"/>
          <w:szCs w:val="22"/>
          <w:lang w:val="es-ES"/>
        </w:rPr>
        <w:footnoteReference w:id="85"/>
      </w:r>
    </w:p>
    <w:p w:rsidR="00C0409B" w:rsidRPr="000D5434" w:rsidRDefault="00C0409B" w:rsidP="00103D66">
      <w:pPr>
        <w:pStyle w:val="ONUMFS"/>
        <w:numPr>
          <w:ilvl w:val="0"/>
          <w:numId w:val="0"/>
        </w:numPr>
        <w:rPr>
          <w:szCs w:val="22"/>
          <w:lang w:val="es-ES"/>
        </w:rPr>
      </w:pPr>
      <w:r w:rsidRPr="000D5434">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B834A4" w:rsidRPr="000D5434">
        <w:rPr>
          <w:szCs w:val="22"/>
          <w:lang w:val="es-ES"/>
        </w:rPr>
        <w:t xml:space="preserve"> </w:t>
      </w:r>
      <w:r w:rsidRPr="000D5434">
        <w:rPr>
          <w:szCs w:val="22"/>
          <w:lang w:val="es-ES"/>
        </w:rPr>
        <w:t>Su objetivo es además ilustrar las principales cuestiones de P.I. que puedan planteárseles a los proveedores y beneficiarios de los recursos al negociar un acuerdo, un contrato o una licencia.</w:t>
      </w:r>
      <w:r w:rsidR="00B834A4" w:rsidRPr="000D5434">
        <w:rPr>
          <w:szCs w:val="22"/>
          <w:lang w:val="es-ES"/>
        </w:rPr>
        <w:t xml:space="preserve"> </w:t>
      </w:r>
      <w:r w:rsidRPr="000D5434">
        <w:rPr>
          <w:szCs w:val="22"/>
          <w:lang w:val="es-ES"/>
        </w:rPr>
        <w:t>La diversidad de legislaciones nacionales y de intereses concretos de los proveedores y los beneficiaros puede dar lugar a una gran cantidad de opciones a la hora de negociar y de redactar las disposiciones propiamente dichas.</w:t>
      </w:r>
      <w:r w:rsidR="00B834A4" w:rsidRPr="000D5434">
        <w:rPr>
          <w:szCs w:val="22"/>
          <w:lang w:val="es-ES"/>
        </w:rPr>
        <w:t xml:space="preserve"> </w:t>
      </w:r>
      <w:r w:rsidRPr="000D5434">
        <w:rPr>
          <w:szCs w:val="22"/>
          <w:lang w:val="es-ES"/>
        </w:rPr>
        <w:t>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2F5651" w:rsidRDefault="00C0409B" w:rsidP="00103D66">
      <w:pPr>
        <w:pStyle w:val="ONUMFS"/>
        <w:numPr>
          <w:ilvl w:val="0"/>
          <w:numId w:val="0"/>
        </w:numPr>
        <w:rPr>
          <w:szCs w:val="22"/>
          <w:lang w:val="es-ES"/>
        </w:rPr>
      </w:pPr>
      <w:r w:rsidRPr="000D5434">
        <w:rPr>
          <w:szCs w:val="22"/>
          <w:lang w:val="es-ES"/>
        </w:rPr>
        <w:t>Por otra parte, ninguno de los contenidos de las directrices afecta a los derechos soberanos de los Estados sobre sus recursos naturales, incluido su derecho a establecer condiciones para el acceso y la participación en los beneficios.</w:t>
      </w:r>
      <w:r w:rsidR="00B834A4" w:rsidRPr="000D5434">
        <w:rPr>
          <w:szCs w:val="22"/>
          <w:lang w:val="es-ES"/>
        </w:rPr>
        <w:t xml:space="preserve"> </w:t>
      </w:r>
      <w:r w:rsidRPr="000D5434">
        <w:rPr>
          <w:szCs w:val="22"/>
          <w:lang w:val="es-ES"/>
        </w:rPr>
        <w:t>Las directrices tendrán únicamente carácter voluntario e ilustrativo, y no sustituirán a la legislación internacional, regional o nacional correspondiente.</w:t>
      </w:r>
      <w:r w:rsidRPr="000D5434">
        <w:rPr>
          <w:rStyle w:val="FootnoteReference"/>
          <w:szCs w:val="22"/>
          <w:lang w:val="es-ES"/>
        </w:rPr>
        <w:footnoteReference w:id="86"/>
      </w:r>
    </w:p>
    <w:p w:rsidR="00C0409B" w:rsidRPr="000D5434" w:rsidRDefault="00C0409B" w:rsidP="00103D66">
      <w:pPr>
        <w:pStyle w:val="ONUMFS"/>
        <w:numPr>
          <w:ilvl w:val="0"/>
          <w:numId w:val="0"/>
        </w:numPr>
        <w:rPr>
          <w:b/>
          <w:szCs w:val="22"/>
          <w:lang w:val="es-ES"/>
        </w:rPr>
      </w:pPr>
      <w:r w:rsidRPr="000D5434">
        <w:rPr>
          <w:szCs w:val="22"/>
          <w:lang w:val="es-ES"/>
        </w:rPr>
        <w:t>Los conocimientos tradicionales se asocian a menudo con los recursos genéticos, y esto puede aportar valiosas ind</w:t>
      </w:r>
      <w:r w:rsidR="00D4348B">
        <w:rPr>
          <w:szCs w:val="22"/>
          <w:lang w:val="es-ES"/>
        </w:rPr>
        <w:t>icaciones sobre el modo en que e</w:t>
      </w:r>
      <w:r w:rsidRPr="000D5434">
        <w:rPr>
          <w:szCs w:val="22"/>
          <w:lang w:val="es-ES"/>
        </w:rPr>
        <w:t>stos últimos pueden preservarse, conservarse, y utilizarse en beneficio de la humanidad.</w:t>
      </w:r>
      <w:r w:rsidRPr="000D5434">
        <w:rPr>
          <w:rStyle w:val="FootnoteReference"/>
          <w:szCs w:val="22"/>
          <w:lang w:val="es-ES"/>
        </w:rPr>
        <w:footnoteReference w:id="87"/>
      </w:r>
      <w:r w:rsidR="00B834A4" w:rsidRPr="000D5434">
        <w:rPr>
          <w:szCs w:val="22"/>
          <w:lang w:val="es-ES"/>
        </w:rPr>
        <w:t xml:space="preserve"> </w:t>
      </w:r>
      <w:r w:rsidRPr="000D5434">
        <w:rPr>
          <w:szCs w:val="22"/>
          <w:lang w:val="es-ES"/>
        </w:rPr>
        <w:t>Las directrices se aplican también a los conocimientos tradicionales relacionados con los recursos genéticos.</w:t>
      </w:r>
      <w:r w:rsidRPr="000D5434">
        <w:rPr>
          <w:rStyle w:val="FootnoteReference"/>
          <w:szCs w:val="22"/>
          <w:lang w:val="es-ES"/>
        </w:rPr>
        <w:footnoteReference w:id="88"/>
      </w:r>
    </w:p>
    <w:p w:rsidR="00C0409B" w:rsidRPr="000D5434" w:rsidRDefault="00C0409B" w:rsidP="00103D66">
      <w:pPr>
        <w:pStyle w:val="ONUMFS"/>
        <w:numPr>
          <w:ilvl w:val="0"/>
          <w:numId w:val="0"/>
        </w:numPr>
        <w:rPr>
          <w:b/>
          <w:szCs w:val="22"/>
          <w:lang w:val="es-ES"/>
        </w:rPr>
      </w:pPr>
      <w:r w:rsidRPr="000D5434">
        <w:rPr>
          <w:b/>
          <w:szCs w:val="22"/>
          <w:lang w:val="es-ES"/>
        </w:rPr>
        <w:t>Clasificación Internacional de Patentes (CIP)</w:t>
      </w:r>
    </w:p>
    <w:p w:rsidR="00C0409B" w:rsidRPr="000D5434" w:rsidRDefault="00C0409B" w:rsidP="00103D66">
      <w:pPr>
        <w:pStyle w:val="ONUMFS"/>
        <w:numPr>
          <w:ilvl w:val="0"/>
          <w:numId w:val="0"/>
        </w:numPr>
        <w:rPr>
          <w:szCs w:val="22"/>
          <w:lang w:val="es-ES"/>
        </w:rPr>
      </w:pPr>
      <w:r w:rsidRPr="000D5434">
        <w:rPr>
          <w:szCs w:val="22"/>
          <w:lang w:val="es-ES"/>
        </w:rPr>
        <w:t>La Clasificación Internacional de Patentes (CIP) es “</w:t>
      </w:r>
      <w:r w:rsidRPr="000D5434">
        <w:rPr>
          <w:iCs/>
          <w:szCs w:val="22"/>
          <w:lang w:val="es-ES"/>
        </w:rPr>
        <w:t>un sistema jerárquico donde el ámbito de la tecnología se divide en una serie de secciones, clases, subclases y grupos.</w:t>
      </w:r>
      <w:r w:rsidR="00B834A4" w:rsidRPr="000D5434">
        <w:rPr>
          <w:iCs/>
          <w:szCs w:val="22"/>
          <w:lang w:val="es-ES"/>
        </w:rPr>
        <w:t xml:space="preserve"> </w:t>
      </w:r>
      <w:r w:rsidRPr="000D5434">
        <w:rPr>
          <w:iCs/>
          <w:szCs w:val="22"/>
          <w:lang w:val="es-ES"/>
        </w:rPr>
        <w:t xml:space="preserve">La Clasificación constituye una herramienta que no depende de idioma alguno y que es indispensable para la obtención de documentos de patente en las búsquedas que se realizan en el </w:t>
      </w:r>
      <w:r w:rsidRPr="000D5434">
        <w:rPr>
          <w:i/>
          <w:iCs/>
          <w:szCs w:val="22"/>
          <w:lang w:val="es-ES"/>
        </w:rPr>
        <w:t>estado de la técnica</w:t>
      </w:r>
      <w:r w:rsidRPr="000D5434">
        <w:rPr>
          <w:szCs w:val="22"/>
          <w:lang w:val="es-ES"/>
        </w:rPr>
        <w:t>”.</w:t>
      </w:r>
      <w:r w:rsidRPr="000D5434">
        <w:rPr>
          <w:rStyle w:val="FootnoteReference"/>
          <w:szCs w:val="22"/>
          <w:lang w:val="es-ES"/>
        </w:rPr>
        <w:footnoteReference w:id="89"/>
      </w:r>
    </w:p>
    <w:p w:rsidR="00C0409B" w:rsidRPr="000D5434" w:rsidRDefault="00C0409B" w:rsidP="00103D66">
      <w:pPr>
        <w:pStyle w:val="ONUMFS"/>
        <w:numPr>
          <w:ilvl w:val="0"/>
          <w:numId w:val="0"/>
        </w:numPr>
        <w:rPr>
          <w:szCs w:val="22"/>
          <w:lang w:val="es-ES"/>
        </w:rPr>
      </w:pPr>
      <w:r w:rsidRPr="000D5434">
        <w:rPr>
          <w:szCs w:val="22"/>
          <w:lang w:val="es-ES"/>
        </w:rPr>
        <w:t xml:space="preserve">La CIP fue establecida a raíz de la adopción, en 1971, del </w:t>
      </w:r>
      <w:r w:rsidRPr="000D5434">
        <w:rPr>
          <w:i/>
          <w:szCs w:val="22"/>
          <w:lang w:val="es-ES"/>
        </w:rPr>
        <w:t>Arreglo de Estrasburgo relativo a la Clasificación Internacional de Patentes</w:t>
      </w:r>
      <w:r w:rsidRPr="000D5434">
        <w:rPr>
          <w:szCs w:val="22"/>
          <w:lang w:val="es-ES"/>
        </w:rPr>
        <w:t>.</w:t>
      </w:r>
      <w:r w:rsidR="00B834A4" w:rsidRPr="000D5434">
        <w:rPr>
          <w:szCs w:val="22"/>
          <w:lang w:val="es-ES"/>
        </w:rPr>
        <w:t xml:space="preserve"> </w:t>
      </w:r>
      <w:r w:rsidRPr="000D5434">
        <w:rPr>
          <w:szCs w:val="22"/>
          <w:lang w:val="es-ES"/>
        </w:rPr>
        <w:t>En el artículo 2.1)a) de dicho Arreglo se estipula lo siguiente:</w:t>
      </w:r>
      <w:r w:rsidR="00B834A4" w:rsidRPr="000D5434">
        <w:rPr>
          <w:szCs w:val="22"/>
          <w:lang w:val="es-ES"/>
        </w:rPr>
        <w:t xml:space="preserve"> </w:t>
      </w:r>
      <w:r w:rsidRPr="000D5434">
        <w:rPr>
          <w:szCs w:val="22"/>
          <w:lang w:val="es-ES"/>
        </w:rPr>
        <w:t>“</w:t>
      </w:r>
      <w:r w:rsidRPr="000D5434">
        <w:rPr>
          <w:iCs/>
          <w:szCs w:val="22"/>
          <w:lang w:val="es-ES"/>
        </w:rPr>
        <w:t>la Clasificación estará constituida por:</w:t>
      </w:r>
      <w:r w:rsidR="00B834A4" w:rsidRPr="000D5434">
        <w:rPr>
          <w:iCs/>
          <w:szCs w:val="22"/>
          <w:lang w:val="es-ES"/>
        </w:rPr>
        <w:t xml:space="preserve"> </w:t>
      </w:r>
      <w:r w:rsidRPr="000D5434">
        <w:rPr>
          <w:iCs/>
          <w:szCs w:val="22"/>
          <w:lang w:val="es-ES"/>
        </w:rPr>
        <w:t>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w:t>
      </w:r>
      <w:r w:rsidR="00B834A4" w:rsidRPr="000D5434">
        <w:rPr>
          <w:iCs/>
          <w:szCs w:val="22"/>
          <w:lang w:val="es-ES"/>
        </w:rPr>
        <w:t xml:space="preserve"> </w:t>
      </w:r>
      <w:r w:rsidRPr="000D5434">
        <w:rPr>
          <w:iCs/>
          <w:szCs w:val="22"/>
          <w:lang w:val="es-ES"/>
        </w:rPr>
        <w:t>ii) las modificaciones que han entrado en vigor en virtud del Artículo 2.2 del Convenio Europeo antes de la entrada en vigor del presente Arreglo;</w:t>
      </w:r>
      <w:r w:rsidR="00B834A4" w:rsidRPr="000D5434">
        <w:rPr>
          <w:iCs/>
          <w:szCs w:val="22"/>
          <w:lang w:val="es-ES"/>
        </w:rPr>
        <w:t xml:space="preserve"> </w:t>
      </w:r>
      <w:r w:rsidRPr="000D5434">
        <w:rPr>
          <w:iCs/>
          <w:szCs w:val="22"/>
          <w:lang w:val="es-ES"/>
        </w:rPr>
        <w:t>iii) las modificaciones introducidas posteriormente, en virtud del Artículo 5 y que entren en vigor de conformidad con el Artículo 6</w:t>
      </w:r>
      <w:r w:rsidRPr="000D5434">
        <w:rPr>
          <w:szCs w:val="22"/>
          <w:lang w:val="es-ES"/>
        </w:rPr>
        <w:t>”.</w:t>
      </w:r>
    </w:p>
    <w:p w:rsidR="006F3206" w:rsidRPr="000D5434" w:rsidRDefault="006F3206" w:rsidP="00103D66">
      <w:pPr>
        <w:spacing w:line="260" w:lineRule="atLeast"/>
        <w:rPr>
          <w:rFonts w:eastAsia="Times New Roman"/>
          <w:b/>
          <w:szCs w:val="22"/>
          <w:lang w:val="es-ES" w:eastAsia="en-US"/>
        </w:rPr>
      </w:pPr>
      <w:r w:rsidRPr="000D5434">
        <w:rPr>
          <w:rFonts w:eastAsia="Times New Roman"/>
          <w:b/>
          <w:szCs w:val="22"/>
          <w:lang w:val="es-ES" w:eastAsia="en-US"/>
        </w:rPr>
        <w:t>Tratado Internacional sobre los Recursos Fitogenéticos para la Alimentación y la Agricultura</w:t>
      </w:r>
    </w:p>
    <w:p w:rsidR="005C4DF4" w:rsidRPr="000D5434" w:rsidRDefault="006F3206" w:rsidP="00B16297">
      <w:pPr>
        <w:pStyle w:val="ONUMFS"/>
        <w:numPr>
          <w:ilvl w:val="0"/>
          <w:numId w:val="0"/>
        </w:numPr>
        <w:spacing w:before="200"/>
        <w:rPr>
          <w:b/>
          <w:szCs w:val="22"/>
          <w:lang w:val="es-ES"/>
        </w:rPr>
      </w:pPr>
      <w:r w:rsidRPr="000D5434">
        <w:rPr>
          <w:rFonts w:eastAsia="Times New Roman"/>
          <w:lang w:val="es-ES" w:eastAsia="en-US"/>
        </w:rPr>
        <w:t>El Tratado Internacional sobre los Recursos Fitogenéticos para la Alimentación y la Agricultura</w:t>
      </w:r>
      <w:r w:rsidRPr="000D5434">
        <w:rPr>
          <w:rFonts w:eastAsia="Times New Roman"/>
          <w:szCs w:val="22"/>
          <w:lang w:val="es-ES" w:eastAsia="en-US"/>
        </w:rPr>
        <w:t xml:space="preserve"> (ITPGRFA) fue adoptado el 3 de noviembre de 2001 en el trigésimo primer período de sesiones de la Conferencia de la Organización de las Naciones Unidas para la Alimentación y la Agricultura, y entró en vigor en 2004.</w:t>
      </w:r>
      <w:r w:rsidR="00B834A4" w:rsidRPr="000D5434">
        <w:rPr>
          <w:rFonts w:eastAsia="Times New Roman"/>
          <w:szCs w:val="22"/>
          <w:lang w:val="es-ES" w:eastAsia="en-US"/>
        </w:rPr>
        <w:t xml:space="preserve"> </w:t>
      </w:r>
      <w:r w:rsidRPr="000D5434">
        <w:rPr>
          <w:rFonts w:eastAsia="Times New Roman"/>
          <w:szCs w:val="22"/>
          <w:lang w:val="es-ES" w:eastAsia="en-US"/>
        </w:rPr>
        <w:t>Los objetivos del Tratado son:</w:t>
      </w:r>
      <w:r w:rsidR="00B834A4" w:rsidRPr="000D5434">
        <w:rPr>
          <w:rFonts w:eastAsia="Times New Roman"/>
          <w:szCs w:val="22"/>
          <w:lang w:val="es-ES" w:eastAsia="en-US"/>
        </w:rPr>
        <w:t xml:space="preserve"> </w:t>
      </w:r>
      <w:r w:rsidRPr="000D5434">
        <w:rPr>
          <w:rFonts w:eastAsia="Times New Roman"/>
          <w:szCs w:val="22"/>
          <w:lang w:val="es-ES" w:eastAsia="en-US"/>
        </w:rPr>
        <w:t>1)reconocer la enorme contribución de los agricultores a la diversidad de los cultivos que alimentan al mundo;</w:t>
      </w:r>
      <w:r w:rsidR="00B834A4" w:rsidRPr="000D5434">
        <w:rPr>
          <w:rFonts w:eastAsia="Times New Roman"/>
          <w:szCs w:val="22"/>
          <w:lang w:val="es-ES" w:eastAsia="en-US"/>
        </w:rPr>
        <w:t xml:space="preserve"> </w:t>
      </w:r>
      <w:r w:rsidRPr="000D5434">
        <w:rPr>
          <w:rFonts w:eastAsia="Times New Roman"/>
          <w:szCs w:val="22"/>
          <w:lang w:val="es-ES" w:eastAsia="en-US"/>
        </w:rPr>
        <w:t>2) establecer un sistema mundial para proporcionar a los agricultores, fitomejoradores y científicos acceso al material fitogenético;</w:t>
      </w:r>
      <w:r w:rsidR="00B834A4" w:rsidRPr="000D5434">
        <w:rPr>
          <w:rFonts w:eastAsia="Times New Roman"/>
          <w:szCs w:val="22"/>
          <w:lang w:val="es-ES" w:eastAsia="en-US"/>
        </w:rPr>
        <w:t xml:space="preserve"> </w:t>
      </w:r>
      <w:r w:rsidRPr="000D5434">
        <w:rPr>
          <w:rFonts w:eastAsia="Times New Roman"/>
          <w:szCs w:val="22"/>
          <w:lang w:val="es-ES" w:eastAsia="en-US"/>
        </w:rPr>
        <w:t>y 3) garantizar que los usuarios compartan los beneficios que obtienen de ese material genético con los países de donde son originarios.</w:t>
      </w:r>
      <w:r w:rsidRPr="000D5434">
        <w:rPr>
          <w:rFonts w:eastAsia="Times New Roman"/>
          <w:szCs w:val="22"/>
          <w:vertAlign w:val="superscript"/>
          <w:lang w:val="es-ES" w:eastAsia="en-US"/>
        </w:rPr>
        <w:footnoteReference w:id="90"/>
      </w:r>
    </w:p>
    <w:p w:rsidR="00C0409B" w:rsidRPr="000D5434" w:rsidRDefault="00C0409B" w:rsidP="00103D66">
      <w:pPr>
        <w:pStyle w:val="ONUMFS"/>
        <w:numPr>
          <w:ilvl w:val="0"/>
          <w:numId w:val="0"/>
        </w:numPr>
        <w:rPr>
          <w:b/>
          <w:szCs w:val="22"/>
          <w:lang w:val="es-ES"/>
        </w:rPr>
      </w:pPr>
      <w:r w:rsidRPr="000D5434">
        <w:rPr>
          <w:b/>
          <w:szCs w:val="22"/>
          <w:lang w:val="es-ES"/>
        </w:rPr>
        <w:t>Actividad inventiva</w:t>
      </w:r>
    </w:p>
    <w:p w:rsidR="00C0409B" w:rsidRPr="000D5434" w:rsidRDefault="00C0409B" w:rsidP="00103D66">
      <w:pPr>
        <w:pStyle w:val="ONUMFS"/>
        <w:numPr>
          <w:ilvl w:val="0"/>
          <w:numId w:val="0"/>
        </w:numPr>
        <w:rPr>
          <w:szCs w:val="22"/>
          <w:lang w:val="es-ES"/>
        </w:rPr>
      </w:pPr>
      <w:r w:rsidRPr="000D5434">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0D5434">
        <w:rPr>
          <w:rStyle w:val="FootnoteReference"/>
          <w:szCs w:val="22"/>
          <w:lang w:val="es-ES"/>
        </w:rPr>
        <w:footnoteReference w:id="91"/>
      </w:r>
    </w:p>
    <w:p w:rsidR="00C0409B" w:rsidRPr="000D5434" w:rsidRDefault="00C0409B" w:rsidP="00103D66">
      <w:pPr>
        <w:pStyle w:val="ONUMFS"/>
        <w:numPr>
          <w:ilvl w:val="0"/>
          <w:numId w:val="0"/>
        </w:numPr>
        <w:rPr>
          <w:szCs w:val="22"/>
          <w:lang w:val="es-ES"/>
        </w:rPr>
      </w:pPr>
      <w:r w:rsidRPr="000D5434">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56 del </w:t>
      </w:r>
      <w:r w:rsidRPr="000D5434">
        <w:rPr>
          <w:i/>
          <w:szCs w:val="22"/>
          <w:lang w:val="es-ES"/>
        </w:rPr>
        <w:t>Convenio de la Patente Europea</w:t>
      </w:r>
      <w:r w:rsidRPr="000D5434">
        <w:rPr>
          <w:szCs w:val="22"/>
          <w:lang w:val="es-ES"/>
        </w:rPr>
        <w:t xml:space="preserve"> y en el artículo 103 del Título 35 del Código de los Estados Unidos figuran definiciones similares.</w:t>
      </w:r>
      <w:r w:rsidR="00B834A4" w:rsidRPr="000D5434">
        <w:rPr>
          <w:szCs w:val="22"/>
          <w:lang w:val="es-ES"/>
        </w:rPr>
        <w:t xml:space="preserve"> </w:t>
      </w:r>
      <w:r w:rsidRPr="000D5434">
        <w:rPr>
          <w:szCs w:val="22"/>
          <w:lang w:val="es-ES"/>
        </w:rPr>
        <w:t>En el artículo 103 del Título 35 del Código de los Estados Unidos se utiliza el término equivalente “materia no evidente”.</w:t>
      </w:r>
      <w:r w:rsidR="006F3206" w:rsidRPr="000D5434">
        <w:rPr>
          <w:szCs w:val="22"/>
          <w:lang w:val="es-ES" w:eastAsia="en-US" w:bidi="th-TH"/>
        </w:rPr>
        <w:t xml:space="preserve"> </w:t>
      </w:r>
      <w:r w:rsidR="006F3206" w:rsidRPr="000D5434">
        <w:rPr>
          <w:szCs w:val="22"/>
          <w:vertAlign w:val="superscript"/>
          <w:lang w:val="es-ES" w:eastAsia="en-US" w:bidi="th-TH"/>
        </w:rPr>
        <w:footnoteReference w:id="92"/>
      </w:r>
    </w:p>
    <w:p w:rsidR="00C0409B" w:rsidRPr="000D5434" w:rsidRDefault="00C0409B" w:rsidP="00103D66">
      <w:pPr>
        <w:pStyle w:val="ONUMFS"/>
        <w:numPr>
          <w:ilvl w:val="0"/>
          <w:numId w:val="0"/>
        </w:numPr>
        <w:rPr>
          <w:b/>
          <w:szCs w:val="22"/>
          <w:lang w:val="es-ES"/>
        </w:rPr>
      </w:pPr>
      <w:r w:rsidRPr="000D5434">
        <w:rPr>
          <w:b/>
          <w:szCs w:val="22"/>
          <w:lang w:val="es-ES"/>
        </w:rPr>
        <w:t>Acuerdos de licencia</w:t>
      </w:r>
    </w:p>
    <w:p w:rsidR="00C0409B" w:rsidRPr="000D5434" w:rsidRDefault="00C0409B" w:rsidP="00103D66">
      <w:pPr>
        <w:pStyle w:val="ONUMFS"/>
        <w:numPr>
          <w:ilvl w:val="0"/>
          <w:numId w:val="0"/>
        </w:numPr>
        <w:rPr>
          <w:b/>
          <w:szCs w:val="22"/>
          <w:lang w:val="es-ES"/>
        </w:rPr>
      </w:pPr>
      <w:r w:rsidRPr="000D5434">
        <w:rPr>
          <w:szCs w:val="22"/>
          <w:lang w:val="es-ES"/>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0D5434">
        <w:rPr>
          <w:rStyle w:val="FootnoteReference"/>
          <w:szCs w:val="22"/>
          <w:lang w:val="es-ES"/>
        </w:rPr>
        <w:footnoteReference w:id="93"/>
      </w:r>
    </w:p>
    <w:p w:rsidR="00C0409B" w:rsidRPr="000D5434" w:rsidRDefault="00C0409B" w:rsidP="00103D66">
      <w:pPr>
        <w:pStyle w:val="ONUMFS"/>
        <w:numPr>
          <w:ilvl w:val="0"/>
          <w:numId w:val="0"/>
        </w:numPr>
        <w:rPr>
          <w:b/>
          <w:szCs w:val="22"/>
          <w:lang w:val="es-ES"/>
        </w:rPr>
      </w:pPr>
      <w:r w:rsidRPr="000D5434">
        <w:rPr>
          <w:b/>
          <w:szCs w:val="22"/>
          <w:lang w:val="es-ES"/>
        </w:rPr>
        <w:t>Limitación</w:t>
      </w:r>
    </w:p>
    <w:p w:rsidR="00C0409B" w:rsidRPr="000D5434" w:rsidRDefault="00C0409B" w:rsidP="00103D66">
      <w:pPr>
        <w:pStyle w:val="ONUMFS"/>
        <w:numPr>
          <w:ilvl w:val="0"/>
          <w:numId w:val="0"/>
        </w:numPr>
        <w:rPr>
          <w:szCs w:val="22"/>
          <w:lang w:val="es-ES"/>
        </w:rPr>
      </w:pPr>
      <w:r w:rsidRPr="000D5434">
        <w:rPr>
          <w:szCs w:val="22"/>
          <w:lang w:val="es-ES"/>
        </w:rPr>
        <w:t>La Real Academia Española explica</w:t>
      </w:r>
      <w:r w:rsidR="0059568D" w:rsidRPr="000D5434">
        <w:rPr>
          <w:szCs w:val="22"/>
          <w:lang w:val="es-ES"/>
        </w:rPr>
        <w:t xml:space="preserve"> en su diccionario</w:t>
      </w:r>
      <w:r w:rsidRPr="000D5434">
        <w:rPr>
          <w:szCs w:val="22"/>
          <w:lang w:val="es-ES"/>
        </w:rPr>
        <w:t xml:space="preserve"> que “limitación” es la “acción y efecto de limitar o limitarse”:</w:t>
      </w:r>
      <w:r w:rsidR="00B834A4" w:rsidRPr="000D5434">
        <w:rPr>
          <w:szCs w:val="22"/>
          <w:lang w:val="es-ES"/>
        </w:rPr>
        <w:t xml:space="preserve"> </w:t>
      </w:r>
      <w:r w:rsidRPr="000D5434">
        <w:rPr>
          <w:szCs w:val="22"/>
          <w:lang w:val="es-ES"/>
        </w:rPr>
        <w:t>“límite” es “fin, término” y “limitar” significa “poner límites a algo”, “acortar, ceñir” y, también, “fijar la extensión que pueden tener la autoridad o los derechos y facultades de alguien”.</w:t>
      </w:r>
      <w:r w:rsidR="00B834A4" w:rsidRPr="000D5434">
        <w:rPr>
          <w:szCs w:val="22"/>
          <w:lang w:val="es-ES"/>
        </w:rPr>
        <w:t xml:space="preserve"> </w:t>
      </w:r>
      <w:r w:rsidRPr="000D5434">
        <w:rPr>
          <w:szCs w:val="22"/>
          <w:lang w:val="es-ES"/>
        </w:rPr>
        <w:t>En efecto, “se puede entender la palabra “límites” ya sea como “fronteras” o “restricciones” o como “excepciones””.</w:t>
      </w:r>
      <w:r w:rsidRPr="000D5434">
        <w:rPr>
          <w:rStyle w:val="FootnoteReference"/>
          <w:szCs w:val="22"/>
          <w:lang w:val="es-ES"/>
        </w:rPr>
        <w:footnoteReference w:id="94"/>
      </w:r>
      <w:r w:rsidR="00B834A4" w:rsidRPr="000D5434">
        <w:rPr>
          <w:szCs w:val="22"/>
          <w:lang w:val="es-ES"/>
        </w:rPr>
        <w:t xml:space="preserve"> </w:t>
      </w:r>
      <w:r w:rsidRPr="000D5434">
        <w:rPr>
          <w:szCs w:val="22"/>
          <w:lang w:val="es-ES"/>
        </w:rPr>
        <w:t>“Con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0D5434">
        <w:rPr>
          <w:rStyle w:val="FootnoteReference"/>
          <w:szCs w:val="22"/>
          <w:lang w:val="es-ES"/>
        </w:rPr>
        <w:footnoteReference w:id="95"/>
      </w:r>
    </w:p>
    <w:p w:rsidR="00C0409B" w:rsidRPr="000D5434" w:rsidRDefault="00C0409B" w:rsidP="00103D66">
      <w:pPr>
        <w:pStyle w:val="ONUMFS"/>
        <w:numPr>
          <w:ilvl w:val="0"/>
          <w:numId w:val="0"/>
        </w:numPr>
        <w:rPr>
          <w:b/>
          <w:szCs w:val="22"/>
          <w:lang w:val="es-ES"/>
        </w:rPr>
      </w:pP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fijan los supuestos en que quedan limitados los derechos del autor y, en consecuencia, es posible hacer uso libremente de la obra.</w:t>
      </w:r>
      <w:r w:rsidRPr="000D5434">
        <w:rPr>
          <w:rStyle w:val="FootnoteReference"/>
          <w:szCs w:val="22"/>
          <w:lang w:val="es-ES"/>
        </w:rPr>
        <w:footnoteReference w:id="96"/>
      </w:r>
      <w:r w:rsidR="00B834A4" w:rsidRPr="000D5434">
        <w:rPr>
          <w:szCs w:val="22"/>
          <w:lang w:val="es-ES"/>
        </w:rPr>
        <w:t xml:space="preserve"> </w:t>
      </w:r>
      <w:r w:rsidRPr="000D5434">
        <w:rPr>
          <w:szCs w:val="22"/>
          <w:lang w:val="es-ES"/>
        </w:rPr>
        <w:t>La prueba del criterio triple establece las condiciones que ponen límites a los derechos del autor.</w:t>
      </w:r>
      <w:r w:rsidRPr="000D5434">
        <w:rPr>
          <w:rStyle w:val="FootnoteReference"/>
          <w:szCs w:val="22"/>
          <w:lang w:val="es-ES"/>
        </w:rPr>
        <w:footnoteReference w:id="97"/>
      </w:r>
      <w:r w:rsidR="00B834A4" w:rsidRPr="000D5434">
        <w:rPr>
          <w:szCs w:val="22"/>
          <w:lang w:val="es-ES"/>
        </w:rPr>
        <w:t xml:space="preserve"> </w:t>
      </w:r>
      <w:r w:rsidRPr="000D5434">
        <w:rPr>
          <w:szCs w:val="22"/>
          <w:lang w:val="es-ES"/>
        </w:rPr>
        <w:t xml:space="preserve">“Fue ampliada en virtud del Artículo 13 del </w:t>
      </w:r>
      <w:r w:rsidRPr="000D5434">
        <w:rPr>
          <w:i/>
          <w:szCs w:val="22"/>
          <w:lang w:val="es-ES"/>
        </w:rPr>
        <w:t>Acuerdo sobre los ADPIC</w:t>
      </w:r>
      <w:r w:rsidRPr="000D5434">
        <w:rPr>
          <w:szCs w:val="22"/>
          <w:lang w:val="es-ES"/>
        </w:rPr>
        <w:t xml:space="preserve">, </w:t>
      </w:r>
      <w:r w:rsidR="0059568D" w:rsidRPr="000D5434">
        <w:rPr>
          <w:szCs w:val="22"/>
          <w:lang w:val="es-ES"/>
        </w:rPr>
        <w:t xml:space="preserve">de la OMC, </w:t>
      </w:r>
      <w:r w:rsidRPr="000D5434">
        <w:rPr>
          <w:szCs w:val="22"/>
          <w:lang w:val="es-ES"/>
        </w:rPr>
        <w:t xml:space="preserve">y posteriormente también mediante el Artículo 10 del </w:t>
      </w:r>
      <w:r w:rsidRPr="000D5434">
        <w:rPr>
          <w:i/>
          <w:szCs w:val="22"/>
          <w:lang w:val="es-ES"/>
        </w:rPr>
        <w:t>WCT</w:t>
      </w:r>
      <w:r w:rsidRPr="000D5434">
        <w:rPr>
          <w:szCs w:val="22"/>
          <w:lang w:val="es-ES"/>
        </w:rPr>
        <w:t>, como prueba para las excepciones y limitaciones a cualquier derecho patrimonial previsto en virtud del derecho de autor.</w:t>
      </w:r>
      <w:r w:rsidR="00B834A4" w:rsidRPr="000D5434">
        <w:rPr>
          <w:szCs w:val="22"/>
          <w:lang w:val="es-ES"/>
        </w:rPr>
        <w:t xml:space="preserve"> </w:t>
      </w:r>
      <w:r w:rsidRPr="000D5434">
        <w:rPr>
          <w:szCs w:val="22"/>
          <w:lang w:val="es-ES"/>
        </w:rPr>
        <w:t xml:space="preserve">Por último, el Artículo 16 del </w:t>
      </w:r>
      <w:r w:rsidRPr="000D5434">
        <w:rPr>
          <w:i/>
          <w:szCs w:val="22"/>
          <w:lang w:val="es-ES"/>
        </w:rPr>
        <w:t>WPPT</w:t>
      </w:r>
      <w:r w:rsidRPr="000D5434">
        <w:rPr>
          <w:szCs w:val="22"/>
          <w:lang w:val="es-ES"/>
        </w:rPr>
        <w:t xml:space="preserve"> la ha ampliado a los derechos de los artistas intérpretes o ejecutantes y los productores de fonogramas recogidos en dicho Tratado”.</w:t>
      </w:r>
      <w:r w:rsidRPr="000D5434">
        <w:rPr>
          <w:rStyle w:val="FootnoteReference"/>
          <w:szCs w:val="22"/>
          <w:lang w:val="es-ES"/>
        </w:rPr>
        <w:footnoteReference w:id="98"/>
      </w:r>
    </w:p>
    <w:p w:rsidR="00C0409B" w:rsidRPr="000D5434" w:rsidRDefault="00C0409B" w:rsidP="00B16297">
      <w:pPr>
        <w:pStyle w:val="ONUMFS"/>
        <w:numPr>
          <w:ilvl w:val="0"/>
          <w:numId w:val="0"/>
        </w:numPr>
        <w:rPr>
          <w:b/>
          <w:szCs w:val="22"/>
          <w:lang w:val="es-ES"/>
        </w:rPr>
      </w:pPr>
      <w:r w:rsidRPr="000D5434">
        <w:rPr>
          <w:b/>
          <w:szCs w:val="22"/>
          <w:lang w:val="es-ES"/>
        </w:rPr>
        <w:t>Acuerdos de transferencia de material</w:t>
      </w:r>
    </w:p>
    <w:p w:rsidR="00C0409B" w:rsidRPr="000D5434" w:rsidRDefault="00C0409B" w:rsidP="00B16297">
      <w:pPr>
        <w:pStyle w:val="ONUMFS"/>
        <w:numPr>
          <w:ilvl w:val="0"/>
          <w:numId w:val="0"/>
        </w:numPr>
        <w:rPr>
          <w:b/>
          <w:szCs w:val="22"/>
          <w:lang w:val="es-ES"/>
        </w:rPr>
      </w:pPr>
      <w:r w:rsidRPr="000D5434">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0D5434">
        <w:rPr>
          <w:i/>
          <w:iCs/>
          <w:szCs w:val="22"/>
          <w:lang w:val="es-ES"/>
        </w:rPr>
        <w:t>in situ.</w:t>
      </w:r>
      <w:r w:rsidRPr="000D5434">
        <w:rPr>
          <w:rStyle w:val="FootnoteReference"/>
          <w:iCs/>
          <w:szCs w:val="22"/>
          <w:lang w:val="es-ES"/>
        </w:rPr>
        <w:footnoteReference w:id="99"/>
      </w:r>
      <w:r w:rsidR="00B834A4" w:rsidRPr="000D5434">
        <w:rPr>
          <w:szCs w:val="22"/>
          <w:lang w:val="es-ES"/>
        </w:rPr>
        <w:t xml:space="preserve"> </w:t>
      </w:r>
      <w:r w:rsidRPr="000D5434">
        <w:rPr>
          <w:szCs w:val="22"/>
          <w:lang w:val="es-ES"/>
        </w:rPr>
        <w:t>La OMPI ha creado una base de datos de los acuerdos de acceso y participación en los beneficios relacionados con la biodiversidad que contiene cláusulas contractuales relacionadas con la transferencia y utilización de recursos genéticos.</w:t>
      </w:r>
      <w:r w:rsidRPr="000D5434">
        <w:rPr>
          <w:rStyle w:val="FootnoteReference"/>
          <w:szCs w:val="22"/>
          <w:lang w:val="es-ES"/>
        </w:rPr>
        <w:footnoteReference w:id="100"/>
      </w:r>
      <w:r w:rsidR="00B834A4" w:rsidRPr="000D5434">
        <w:rPr>
          <w:szCs w:val="22"/>
          <w:vertAlign w:val="superscript"/>
          <w:lang w:val="es-ES"/>
        </w:rPr>
        <w:t xml:space="preserve"> </w:t>
      </w:r>
      <w:r w:rsidRPr="000D5434">
        <w:rPr>
          <w:szCs w:val="22"/>
          <w:lang w:val="es-ES"/>
        </w:rPr>
        <w:t>En 2006, la FAO constituyó y aprobó el Acuerdo de Transferencia de Material Normalizado, relativo a la aplicación del Tratado Internacional sobre los Recursos Fitogenéticos para la Alimentación y la Agricultura.</w:t>
      </w:r>
      <w:r w:rsidRPr="000D5434">
        <w:rPr>
          <w:rStyle w:val="FootnoteReference"/>
          <w:szCs w:val="22"/>
          <w:lang w:val="es-ES"/>
        </w:rPr>
        <w:footnoteReference w:id="101"/>
      </w:r>
      <w:r w:rsidR="00B834A4" w:rsidRPr="000D5434">
        <w:rPr>
          <w:szCs w:val="22"/>
          <w:lang w:val="es-ES"/>
        </w:rPr>
        <w:t xml:space="preserve"> </w:t>
      </w:r>
      <w:r w:rsidRPr="000D5434">
        <w:rPr>
          <w:szCs w:val="22"/>
          <w:lang w:val="es-ES"/>
        </w:rPr>
        <w:t>En el Apéndice I de las Directrices de Bonn se hacen sugerencias con respecto a los acuerdos de transferencia de materiales.</w:t>
      </w:r>
    </w:p>
    <w:p w:rsidR="00C0409B" w:rsidRPr="000D5434" w:rsidRDefault="00C0409B" w:rsidP="00103D66">
      <w:pPr>
        <w:pStyle w:val="ONUMFS"/>
        <w:numPr>
          <w:ilvl w:val="0"/>
          <w:numId w:val="0"/>
        </w:numPr>
        <w:rPr>
          <w:b/>
          <w:szCs w:val="22"/>
          <w:lang w:val="es-ES"/>
        </w:rPr>
      </w:pPr>
      <w:r w:rsidRPr="000D5434">
        <w:rPr>
          <w:b/>
          <w:szCs w:val="22"/>
          <w:lang w:val="es-ES"/>
        </w:rPr>
        <w:t>Documentación mínima del PCT</w:t>
      </w:r>
    </w:p>
    <w:p w:rsidR="00C0409B" w:rsidRPr="000D5434" w:rsidRDefault="00C0409B" w:rsidP="00103D66">
      <w:pPr>
        <w:pStyle w:val="ONUMFS"/>
        <w:numPr>
          <w:ilvl w:val="0"/>
          <w:numId w:val="0"/>
        </w:numPr>
        <w:rPr>
          <w:szCs w:val="22"/>
          <w:lang w:val="es-ES"/>
        </w:rPr>
      </w:pPr>
      <w:r w:rsidRPr="000D5434">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0D5434">
        <w:rPr>
          <w:i/>
          <w:iCs/>
          <w:szCs w:val="22"/>
          <w:lang w:val="es-ES"/>
        </w:rPr>
        <w:t>.</w:t>
      </w:r>
      <w:r w:rsidR="00B834A4" w:rsidRPr="000D5434">
        <w:rPr>
          <w:szCs w:val="22"/>
          <w:lang w:val="es-ES"/>
        </w:rPr>
        <w:t xml:space="preserve"> </w:t>
      </w:r>
      <w:r w:rsidRPr="000D5434">
        <w:rPr>
          <w:szCs w:val="22"/>
          <w:lang w:val="es-ES"/>
        </w:rPr>
        <w:t>Esto se aplica, asimismo, a la Administración encargada del examen preliminar internacional con respecto de su labor de examen.</w:t>
      </w:r>
      <w:r w:rsidR="00B834A4" w:rsidRPr="000D5434">
        <w:rPr>
          <w:szCs w:val="22"/>
          <w:lang w:val="es-ES"/>
        </w:rPr>
        <w:t xml:space="preserve"> </w:t>
      </w:r>
      <w:r w:rsidRPr="000D5434">
        <w:rPr>
          <w:szCs w:val="22"/>
          <w:lang w:val="es-ES"/>
        </w:rPr>
        <w:t>La documentación comprende algunos documentos publicados relativos a patentes y de otra índole contenidos en una lista publicada por la Oficina Internacional.</w:t>
      </w:r>
      <w:r w:rsidR="00B834A4" w:rsidRPr="000D5434">
        <w:rPr>
          <w:szCs w:val="22"/>
          <w:lang w:val="es-ES"/>
        </w:rPr>
        <w:t xml:space="preserve"> </w:t>
      </w:r>
      <w:r w:rsidRPr="000D5434">
        <w:rPr>
          <w:szCs w:val="22"/>
          <w:lang w:val="es-ES"/>
        </w:rPr>
        <w:t>La documentación mínima se establece en la regla 34 del Reglamento del PCT”.</w:t>
      </w:r>
      <w:r w:rsidRPr="000D5434">
        <w:rPr>
          <w:rStyle w:val="FootnoteReference"/>
          <w:szCs w:val="22"/>
          <w:lang w:val="es-ES"/>
        </w:rPr>
        <w:footnoteReference w:id="102"/>
      </w:r>
    </w:p>
    <w:p w:rsidR="00C0409B" w:rsidRPr="000D5434" w:rsidRDefault="00C0409B" w:rsidP="00103D66">
      <w:pPr>
        <w:pStyle w:val="ONUMFS"/>
        <w:numPr>
          <w:ilvl w:val="0"/>
          <w:numId w:val="0"/>
        </w:numPr>
        <w:rPr>
          <w:szCs w:val="22"/>
          <w:lang w:val="es-ES"/>
        </w:rPr>
      </w:pPr>
      <w:r w:rsidRPr="000D5434">
        <w:rPr>
          <w:szCs w:val="22"/>
          <w:lang w:val="es-ES"/>
        </w:rPr>
        <w:t>En las Directrices de búsqueda internacional del PCT, la documentación internacional mínima de búsqueda se define como “una</w:t>
      </w:r>
      <w:r w:rsidRPr="000D5434">
        <w:rPr>
          <w:i/>
          <w:iCs/>
          <w:szCs w:val="22"/>
          <w:lang w:val="es-ES"/>
        </w:rPr>
        <w:t xml:space="preserve"> </w:t>
      </w:r>
      <w:r w:rsidRPr="000D5434">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0D5434">
        <w:rPr>
          <w:rStyle w:val="FootnoteReference"/>
          <w:szCs w:val="22"/>
          <w:lang w:val="es-ES"/>
        </w:rPr>
        <w:footnoteReference w:id="103"/>
      </w:r>
    </w:p>
    <w:p w:rsidR="00C0409B" w:rsidRPr="000D5434" w:rsidRDefault="00C0409B" w:rsidP="00103D66">
      <w:pPr>
        <w:pStyle w:val="ONUMFS"/>
        <w:numPr>
          <w:ilvl w:val="0"/>
          <w:numId w:val="0"/>
        </w:numPr>
        <w:rPr>
          <w:b/>
          <w:szCs w:val="22"/>
          <w:lang w:val="es-ES"/>
        </w:rPr>
      </w:pPr>
      <w:r w:rsidRPr="000D5434">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0D5434">
        <w:rPr>
          <w:rStyle w:val="FootnoteReference"/>
          <w:szCs w:val="22"/>
          <w:lang w:val="es-ES"/>
        </w:rPr>
        <w:footnoteReference w:id="104"/>
      </w:r>
      <w:r w:rsidR="00B834A4" w:rsidRPr="000D5434">
        <w:rPr>
          <w:szCs w:val="22"/>
          <w:lang w:val="es-ES"/>
        </w:rPr>
        <w:t xml:space="preserve"> </w:t>
      </w:r>
      <w:r w:rsidRPr="000D5434">
        <w:rPr>
          <w:szCs w:val="22"/>
          <w:lang w:val="es-ES"/>
        </w:rPr>
        <w:t xml:space="preserve">Por ejemplo, el </w:t>
      </w:r>
      <w:r w:rsidRPr="000D5434">
        <w:rPr>
          <w:i/>
          <w:iCs/>
          <w:szCs w:val="22"/>
          <w:lang w:val="es-ES"/>
        </w:rPr>
        <w:t xml:space="preserve">Indian Journal of Traditional Knowledge </w:t>
      </w:r>
      <w:r w:rsidRPr="000D5434">
        <w:rPr>
          <w:szCs w:val="22"/>
          <w:lang w:val="es-ES"/>
        </w:rPr>
        <w:t xml:space="preserve">y el </w:t>
      </w:r>
      <w:r w:rsidRPr="000D5434">
        <w:rPr>
          <w:i/>
          <w:iCs/>
          <w:szCs w:val="22"/>
          <w:lang w:val="es-ES"/>
        </w:rPr>
        <w:t>Korean Journal of Traditional Knowledge</w:t>
      </w:r>
      <w:r w:rsidRPr="000D5434">
        <w:rPr>
          <w:szCs w:val="22"/>
          <w:lang w:val="es-ES"/>
        </w:rPr>
        <w:t xml:space="preserve"> se consideran literatura distinta de la de patentes en “Documentación Mínima del PCT – Lista de publicaciones periódicas:</w:t>
      </w:r>
      <w:r w:rsidR="00B834A4" w:rsidRPr="000D5434">
        <w:rPr>
          <w:szCs w:val="22"/>
          <w:lang w:val="es-ES"/>
        </w:rPr>
        <w:t xml:space="preserve"> </w:t>
      </w:r>
      <w:r w:rsidRPr="000D5434">
        <w:rPr>
          <w:szCs w:val="22"/>
          <w:lang w:val="es-ES"/>
        </w:rPr>
        <w:t>Publicaciones periódicas que deben emplearse en la búsqueda y el examen”.</w:t>
      </w:r>
    </w:p>
    <w:p w:rsidR="00C0409B" w:rsidRPr="000D5434" w:rsidRDefault="00C0409B" w:rsidP="00103D66">
      <w:pPr>
        <w:pStyle w:val="ONUMFS"/>
        <w:numPr>
          <w:ilvl w:val="0"/>
          <w:numId w:val="0"/>
        </w:numPr>
        <w:rPr>
          <w:b/>
          <w:szCs w:val="22"/>
          <w:lang w:val="es-ES"/>
        </w:rPr>
      </w:pPr>
      <w:r w:rsidRPr="000D5434">
        <w:rPr>
          <w:b/>
          <w:szCs w:val="22"/>
          <w:lang w:val="es-ES"/>
        </w:rPr>
        <w:t>Minoría</w:t>
      </w:r>
    </w:p>
    <w:p w:rsidR="00C0409B" w:rsidRPr="000D5434" w:rsidRDefault="00C0409B" w:rsidP="00103D66">
      <w:pPr>
        <w:pStyle w:val="ONUMFS"/>
        <w:numPr>
          <w:ilvl w:val="0"/>
          <w:numId w:val="0"/>
        </w:numPr>
        <w:rPr>
          <w:szCs w:val="22"/>
          <w:lang w:val="es-ES"/>
        </w:rPr>
      </w:pPr>
      <w:r w:rsidRPr="000D5434">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r w:rsidR="00B834A4" w:rsidRPr="000D5434">
        <w:rPr>
          <w:szCs w:val="22"/>
          <w:lang w:val="es-ES"/>
        </w:rPr>
        <w:t xml:space="preserve"> </w:t>
      </w:r>
      <w:r w:rsidRPr="000D5434">
        <w:rPr>
          <w:szCs w:val="22"/>
          <w:lang w:val="es-ES"/>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0D5434">
        <w:rPr>
          <w:rStyle w:val="FootnoteReference"/>
          <w:szCs w:val="22"/>
          <w:lang w:val="es-ES"/>
        </w:rPr>
        <w:footnoteReference w:id="105"/>
      </w:r>
    </w:p>
    <w:p w:rsidR="00C0409B" w:rsidRPr="000D5434" w:rsidRDefault="00C0409B" w:rsidP="00B16297">
      <w:pPr>
        <w:pStyle w:val="ONUMFS"/>
        <w:numPr>
          <w:ilvl w:val="0"/>
          <w:numId w:val="0"/>
        </w:numPr>
        <w:rPr>
          <w:szCs w:val="22"/>
          <w:lang w:val="es-ES"/>
        </w:rPr>
      </w:pPr>
      <w:r w:rsidRPr="000D5434">
        <w:rPr>
          <w:szCs w:val="22"/>
          <w:lang w:val="es-ES"/>
        </w:rPr>
        <w:t xml:space="preserve">La </w:t>
      </w:r>
      <w:r w:rsidRPr="000D5434">
        <w:rPr>
          <w:i/>
          <w:szCs w:val="22"/>
          <w:lang w:val="es-ES"/>
        </w:rPr>
        <w:t>Declaración sobre los derechos de las personas pertenecientes a minorías nacionales o étnicas, religiosas y lingüísticas</w:t>
      </w:r>
      <w:r w:rsidRPr="000D5434">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0D5434">
        <w:rPr>
          <w:rStyle w:val="FootnoteReference"/>
          <w:szCs w:val="22"/>
          <w:lang w:val="es-ES"/>
        </w:rPr>
        <w:footnoteReference w:id="106"/>
      </w:r>
      <w:r w:rsidR="00B834A4" w:rsidRPr="000D5434">
        <w:rPr>
          <w:szCs w:val="22"/>
          <w:lang w:val="es-ES"/>
        </w:rPr>
        <w:t xml:space="preserve"> </w:t>
      </w:r>
      <w:r w:rsidRPr="000D5434">
        <w:rPr>
          <w:szCs w:val="22"/>
          <w:lang w:val="es-ES"/>
        </w:rPr>
        <w:t>“Los Estados protegerán la existencia y la identidad nacional o étnica, cultural, religiosa y lingüística de las minorías dentro de sus territorios respectivos y fomentarán las condiciones para la promoción de esa identidad”.</w:t>
      </w:r>
      <w:r w:rsidRPr="000D5434">
        <w:rPr>
          <w:rStyle w:val="FootnoteReference"/>
          <w:szCs w:val="22"/>
          <w:lang w:val="es-ES"/>
        </w:rPr>
        <w:footnoteReference w:id="107"/>
      </w:r>
    </w:p>
    <w:p w:rsidR="00C0409B" w:rsidRPr="000D5434" w:rsidRDefault="00C0409B" w:rsidP="00103D66">
      <w:pPr>
        <w:pStyle w:val="ONUMFS"/>
        <w:numPr>
          <w:ilvl w:val="0"/>
          <w:numId w:val="0"/>
        </w:numPr>
        <w:rPr>
          <w:b/>
          <w:szCs w:val="22"/>
          <w:lang w:val="es-ES"/>
        </w:rPr>
      </w:pPr>
      <w:r w:rsidRPr="000D5434">
        <w:rPr>
          <w:szCs w:val="22"/>
          <w:lang w:val="es-ES"/>
        </w:rPr>
        <w:t xml:space="preserve">El </w:t>
      </w:r>
      <w:r w:rsidRPr="000D5434">
        <w:rPr>
          <w:i/>
          <w:szCs w:val="22"/>
          <w:lang w:val="es-ES"/>
        </w:rPr>
        <w:t>Pacto Internacional de Derechos Civiles y Políticos</w:t>
      </w:r>
      <w:r w:rsidRPr="000D5434">
        <w:rPr>
          <w:szCs w:val="22"/>
          <w:lang w:val="es-ES"/>
        </w:rPr>
        <w:t xml:space="preserve"> </w:t>
      </w:r>
      <w:r w:rsidR="0059568D" w:rsidRPr="000D5434">
        <w:rPr>
          <w:szCs w:val="22"/>
          <w:lang w:val="es-ES"/>
        </w:rPr>
        <w:t xml:space="preserve">(1966) </w:t>
      </w:r>
      <w:r w:rsidRPr="000D5434">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0D5434">
        <w:rPr>
          <w:rStyle w:val="FootnoteReference"/>
          <w:szCs w:val="22"/>
          <w:lang w:val="es-ES"/>
        </w:rPr>
        <w:t xml:space="preserve"> </w:t>
      </w:r>
      <w:r w:rsidR="0059568D" w:rsidRPr="000D5434">
        <w:rPr>
          <w:rStyle w:val="FootnoteReference"/>
          <w:szCs w:val="22"/>
          <w:lang w:val="es-ES"/>
        </w:rPr>
        <w:footnoteReference w:id="108"/>
      </w:r>
    </w:p>
    <w:p w:rsidR="00C0409B" w:rsidRPr="000D5434" w:rsidRDefault="00C0409B" w:rsidP="00103D66">
      <w:pPr>
        <w:pStyle w:val="ONUMFS"/>
        <w:numPr>
          <w:ilvl w:val="0"/>
          <w:numId w:val="0"/>
        </w:numPr>
        <w:rPr>
          <w:b/>
          <w:szCs w:val="22"/>
          <w:lang w:val="es-ES"/>
        </w:rPr>
      </w:pPr>
      <w:r w:rsidRPr="000D5434">
        <w:rPr>
          <w:b/>
          <w:szCs w:val="22"/>
          <w:lang w:val="es-ES"/>
        </w:rPr>
        <w:t>Apropiación indebida</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la apropiación indebida como “incorporación, por acto espontáneo, de una cosa a nuestro patrimonio, cuando se carece de derecho para ello”.</w:t>
      </w:r>
      <w:r w:rsidR="00B834A4" w:rsidRPr="000D5434">
        <w:rPr>
          <w:szCs w:val="22"/>
          <w:lang w:val="es-ES"/>
        </w:rPr>
        <w:t xml:space="preserve"> </w:t>
      </w:r>
      <w:r w:rsidRPr="000D5434">
        <w:rPr>
          <w:szCs w:val="22"/>
          <w:lang w:val="es-ES"/>
        </w:rPr>
        <w:t>En ese sentido, constituye, por consiguiente, un atentado al derecho de propiedad.</w:t>
      </w:r>
      <w:r w:rsidR="00B834A4" w:rsidRPr="000D5434">
        <w:rPr>
          <w:szCs w:val="22"/>
          <w:lang w:val="es-ES"/>
        </w:rPr>
        <w:t xml:space="preserve"> </w:t>
      </w:r>
      <w:r w:rsidRPr="000D5434">
        <w:rPr>
          <w:szCs w:val="22"/>
          <w:lang w:val="es-ES"/>
        </w:rPr>
        <w:t xml:space="preserve">En lo que respecta a la propiedad intelectual, en el diccionario jurídico de Black se define “apropiación indebida” como ilícito civil en el </w:t>
      </w:r>
      <w:r w:rsidRPr="000D5434">
        <w:rPr>
          <w:i/>
          <w:iCs/>
          <w:szCs w:val="22"/>
          <w:lang w:val="es-ES"/>
        </w:rPr>
        <w:t>common law</w:t>
      </w:r>
      <w:r w:rsidRPr="000D5434">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w:t>
      </w:r>
      <w:r w:rsidR="00B834A4" w:rsidRPr="000D5434">
        <w:rPr>
          <w:szCs w:val="22"/>
          <w:lang w:val="es-ES"/>
        </w:rPr>
        <w:t xml:space="preserve"> </w:t>
      </w:r>
      <w:r w:rsidRPr="000D5434">
        <w:rPr>
          <w:szCs w:val="22"/>
          <w:lang w:val="es-ES"/>
        </w:rPr>
        <w:t>[…] Los elementos para determinar si ha habido apropiación indebida son:</w:t>
      </w:r>
      <w:r w:rsidR="00B834A4" w:rsidRPr="000D5434">
        <w:rPr>
          <w:szCs w:val="22"/>
          <w:lang w:val="es-ES"/>
        </w:rPr>
        <w:t xml:space="preserve"> </w:t>
      </w:r>
      <w:r w:rsidRPr="000D5434">
        <w:rPr>
          <w:szCs w:val="22"/>
          <w:lang w:val="es-ES"/>
        </w:rPr>
        <w:t>1) el demandante debe haber invertido tiempo, dinero y esfuerzos para obtener la información;</w:t>
      </w:r>
      <w:r w:rsidR="00B834A4" w:rsidRPr="000D5434">
        <w:rPr>
          <w:szCs w:val="22"/>
          <w:lang w:val="es-ES"/>
        </w:rPr>
        <w:t xml:space="preserve"> </w:t>
      </w:r>
      <w:r w:rsidRPr="000D5434">
        <w:rPr>
          <w:szCs w:val="22"/>
          <w:lang w:val="es-ES"/>
        </w:rPr>
        <w:t>2) el demandado debe haberse procurado la información sin haber realizado una inversión similar;</w:t>
      </w:r>
      <w:r w:rsidR="00B834A4" w:rsidRPr="000D5434">
        <w:rPr>
          <w:szCs w:val="22"/>
          <w:lang w:val="es-ES"/>
        </w:rPr>
        <w:t xml:space="preserve"> </w:t>
      </w:r>
      <w:r w:rsidRPr="000D5434">
        <w:rPr>
          <w:szCs w:val="22"/>
          <w:lang w:val="es-ES"/>
        </w:rPr>
        <w:t>y 3) el demandante tiene que haber sufrido un perjuicio de competencia en razón de la actuación del demandado”.</w:t>
      </w:r>
    </w:p>
    <w:p w:rsidR="00C0409B" w:rsidRPr="000D5434" w:rsidRDefault="00C0409B" w:rsidP="00103D66">
      <w:pPr>
        <w:pStyle w:val="ONUMFS"/>
        <w:numPr>
          <w:ilvl w:val="0"/>
          <w:numId w:val="0"/>
        </w:numPr>
        <w:rPr>
          <w:szCs w:val="22"/>
          <w:lang w:val="es-ES"/>
        </w:rPr>
      </w:pPr>
      <w:r w:rsidRPr="000D5434">
        <w:rPr>
          <w:szCs w:val="22"/>
          <w:lang w:val="es-ES"/>
        </w:rPr>
        <w:t xml:space="preserve">En el sistema del </w:t>
      </w:r>
      <w:r w:rsidRPr="000D5434">
        <w:rPr>
          <w:i/>
          <w:iCs/>
          <w:szCs w:val="22"/>
          <w:lang w:val="es-ES"/>
        </w:rPr>
        <w:t>common law</w:t>
      </w:r>
      <w:r w:rsidRPr="000D5434">
        <w:rPr>
          <w:szCs w:val="22"/>
          <w:lang w:val="es-ES"/>
        </w:rPr>
        <w:t>, el delito civil de apropiación indebida se contempla en la legislación sobre competencia desleal.</w:t>
      </w:r>
      <w:r w:rsidR="00B834A4" w:rsidRPr="000D5434">
        <w:rPr>
          <w:szCs w:val="22"/>
          <w:lang w:val="es-ES"/>
        </w:rPr>
        <w:t xml:space="preserve"> </w:t>
      </w:r>
      <w:r w:rsidRPr="000D5434">
        <w:rPr>
          <w:szCs w:val="22"/>
          <w:lang w:val="es-ES"/>
        </w:rPr>
        <w:t>Por consiguiente, la apropiación indebida entraña la utilización ilegal o ilícita de la propiedad de terceros y suele ser el fundamento para incoar un juicio en los casos en los que no ha habido infracción de derechos de propiedad propiamente dichos.</w:t>
      </w:r>
      <w:r w:rsidR="00B834A4" w:rsidRPr="000D5434">
        <w:rPr>
          <w:szCs w:val="22"/>
          <w:lang w:val="es-ES"/>
        </w:rPr>
        <w:t xml:space="preserve"> </w:t>
      </w:r>
      <w:r w:rsidRPr="000D5434">
        <w:rPr>
          <w:szCs w:val="22"/>
          <w:lang w:val="es-ES"/>
        </w:rPr>
        <w:t>La apropiación indebida puede significar el hecho de contraer un préstamo de forma ilícita o de apropiarse de forma fraudulenta de fondos o de propiedades encomendados a una persona que sean propiedad de terceros.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3 del proyecto de ley </w:t>
      </w:r>
      <w:r w:rsidRPr="000D5434">
        <w:rPr>
          <w:i/>
          <w:szCs w:val="22"/>
          <w:lang w:val="es-ES"/>
        </w:rPr>
        <w:t>Marco jurídico de protección de los conocimientos tradicionales en Sri Lanka</w:t>
      </w:r>
      <w:r w:rsidRPr="000D5434">
        <w:rPr>
          <w:szCs w:val="22"/>
          <w:lang w:val="es-ES"/>
        </w:rPr>
        <w:t>, de 2009, se define la apropiación indebida en tanto que: ‘i) adquisición, apropiación o utilización de conocimientos tradicionales en contravención de lo dispuesto en la presente Ley;</w:t>
      </w:r>
      <w:r w:rsidR="00B834A4" w:rsidRPr="000D5434">
        <w:rPr>
          <w:szCs w:val="22"/>
          <w:lang w:val="es-ES"/>
        </w:rPr>
        <w:t xml:space="preserve"> </w:t>
      </w:r>
      <w:r w:rsidRPr="000D5434">
        <w:rPr>
          <w:szCs w:val="22"/>
          <w:lang w:val="es-ES"/>
        </w:rPr>
        <w:t>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w:t>
      </w:r>
      <w:r w:rsidR="00B834A4" w:rsidRPr="000D5434">
        <w:rPr>
          <w:szCs w:val="22"/>
          <w:lang w:val="es-ES"/>
        </w:rPr>
        <w:t xml:space="preserve"> </w:t>
      </w:r>
      <w:r w:rsidRPr="000D5434">
        <w:rPr>
          <w:szCs w:val="22"/>
          <w:lang w:val="es-ES"/>
        </w:rPr>
        <w:t>y iii) toda actividad comercial contraria a las prácticas leales que dé lugar a beneficios ilegítimos e injustos a partir de conocimientos tradicionales”.</w:t>
      </w:r>
      <w:r w:rsidRPr="000D5434">
        <w:rPr>
          <w:rStyle w:val="FootnoteReference"/>
          <w:szCs w:val="22"/>
          <w:lang w:val="es-ES"/>
        </w:rPr>
        <w:footnoteReference w:id="109"/>
      </w:r>
    </w:p>
    <w:p w:rsidR="00C0409B" w:rsidRPr="000D5434" w:rsidRDefault="00C0409B" w:rsidP="00B16297">
      <w:pPr>
        <w:pStyle w:val="ONUMFS"/>
        <w:numPr>
          <w:ilvl w:val="0"/>
          <w:numId w:val="0"/>
        </w:numPr>
        <w:rPr>
          <w:b/>
          <w:szCs w:val="22"/>
          <w:lang w:val="es-ES"/>
        </w:rPr>
      </w:pPr>
      <w:r w:rsidRPr="000D5434">
        <w:rPr>
          <w:b/>
          <w:szCs w:val="22"/>
          <w:lang w:val="es-ES"/>
        </w:rPr>
        <w:t>Utilización indebida</w:t>
      </w:r>
      <w:r w:rsidRPr="000D5434">
        <w:rPr>
          <w:rStyle w:val="FootnoteReference"/>
          <w:b/>
          <w:bCs/>
          <w:szCs w:val="22"/>
          <w:lang w:val="es-ES"/>
        </w:rPr>
        <w:footnoteReference w:id="110"/>
      </w:r>
    </w:p>
    <w:p w:rsidR="00C0409B" w:rsidRPr="000D5434" w:rsidRDefault="00C0409B" w:rsidP="00B16297">
      <w:pPr>
        <w:pStyle w:val="ONUMFS"/>
        <w:numPr>
          <w:ilvl w:val="0"/>
          <w:numId w:val="0"/>
        </w:numPr>
        <w:rPr>
          <w:b/>
          <w:szCs w:val="22"/>
          <w:lang w:val="es-ES"/>
        </w:rPr>
      </w:pPr>
      <w:r w:rsidRPr="000D5434">
        <w:rPr>
          <w:szCs w:val="22"/>
          <w:lang w:val="es-ES"/>
        </w:rPr>
        <w:t>En el ámbito de las patentes, en el diccionario jurídico de Black se define la expresión “utilización indebida” en tanto que “</w:t>
      </w:r>
      <w:r w:rsidRPr="000D5434">
        <w:rPr>
          <w:iCs/>
          <w:szCs w:val="22"/>
          <w:lang w:val="es-ES"/>
        </w:rPr>
        <w:t>utilización de una patente para ampliar indebidamente el monopolio concedido para dar cabida a productos no patentados o para infringir leyes antimonopolio</w:t>
      </w:r>
      <w:r w:rsidRPr="000D5434">
        <w:rPr>
          <w:szCs w:val="22"/>
          <w:lang w:val="es-ES"/>
        </w:rPr>
        <w:t>”</w:t>
      </w:r>
      <w:r w:rsidRPr="000D5434">
        <w:rPr>
          <w:i/>
          <w:iCs/>
          <w:szCs w:val="22"/>
          <w:lang w:val="es-ES"/>
        </w:rPr>
        <w:t>.</w:t>
      </w:r>
      <w:r w:rsidR="00B834A4" w:rsidRPr="000D5434">
        <w:rPr>
          <w:szCs w:val="22"/>
          <w:lang w:val="es-ES"/>
        </w:rPr>
        <w:t xml:space="preserve"> </w:t>
      </w:r>
      <w:r w:rsidRPr="000D5434">
        <w:rPr>
          <w:szCs w:val="22"/>
          <w:lang w:val="es-ES"/>
        </w:rPr>
        <w:t>En los diccionarios en general se define dicha expresión como utilización errónea, incorrecta o indebida o como aplicación incorrecta.</w:t>
      </w:r>
      <w:r w:rsidR="00B834A4" w:rsidRPr="000D5434">
        <w:rPr>
          <w:szCs w:val="22"/>
          <w:lang w:val="es-ES"/>
        </w:rPr>
        <w:t xml:space="preserve"> </w:t>
      </w:r>
      <w:r w:rsidRPr="000D5434">
        <w:rPr>
          <w:szCs w:val="22"/>
          <w:lang w:val="es-ES"/>
        </w:rPr>
        <w:t>Por utilización indebida también puede entenderse una utilización indebida o excesiva o todo acto que modifique la finalidad o función inherente de algo.</w:t>
      </w:r>
    </w:p>
    <w:p w:rsidR="00C0409B" w:rsidRPr="000D5434" w:rsidRDefault="00C0409B" w:rsidP="00103D66">
      <w:pPr>
        <w:pStyle w:val="ONUMFS"/>
        <w:numPr>
          <w:ilvl w:val="0"/>
          <w:numId w:val="0"/>
        </w:numPr>
        <w:rPr>
          <w:b/>
          <w:szCs w:val="22"/>
          <w:lang w:val="es-ES"/>
        </w:rPr>
      </w:pPr>
      <w:r w:rsidRPr="000D5434">
        <w:rPr>
          <w:b/>
          <w:szCs w:val="22"/>
          <w:lang w:val="es-ES"/>
        </w:rPr>
        <w:t>Modificación</w:t>
      </w:r>
    </w:p>
    <w:p w:rsidR="00C0409B" w:rsidRPr="000D5434" w:rsidRDefault="00C0409B" w:rsidP="00103D66">
      <w:pPr>
        <w:pStyle w:val="ONUMFS"/>
        <w:numPr>
          <w:ilvl w:val="0"/>
          <w:numId w:val="0"/>
        </w:numPr>
        <w:rPr>
          <w:b/>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“modificar” significa “transformar o cambiar algo mudando alguno de sus accidentes” y es sinónimo de “alterar”, que quiere decir “cambiar la esencia o forma de algo”.</w:t>
      </w:r>
      <w:r w:rsidR="00B834A4" w:rsidRPr="000D5434">
        <w:rPr>
          <w:szCs w:val="22"/>
          <w:lang w:val="es-ES"/>
        </w:rPr>
        <w:t xml:space="preserve"> </w:t>
      </w:r>
      <w:r w:rsidRPr="000D5434">
        <w:rPr>
          <w:szCs w:val="22"/>
          <w:lang w:val="es-ES"/>
        </w:rPr>
        <w:t>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0D5434" w:rsidRDefault="00C0409B" w:rsidP="00103D66">
      <w:pPr>
        <w:pStyle w:val="ONUMFS"/>
        <w:numPr>
          <w:ilvl w:val="0"/>
          <w:numId w:val="0"/>
        </w:numPr>
        <w:rPr>
          <w:b/>
          <w:szCs w:val="22"/>
          <w:lang w:val="es-ES"/>
        </w:rPr>
      </w:pPr>
      <w:r w:rsidRPr="000D5434">
        <w:rPr>
          <w:b/>
          <w:szCs w:val="22"/>
          <w:lang w:val="es-ES"/>
        </w:rPr>
        <w:t>Mutilación</w:t>
      </w:r>
    </w:p>
    <w:p w:rsidR="00C0409B" w:rsidRPr="000D5434" w:rsidRDefault="00C0409B" w:rsidP="00103D66">
      <w:pPr>
        <w:pStyle w:val="ONUMFS"/>
        <w:numPr>
          <w:ilvl w:val="0"/>
          <w:numId w:val="0"/>
        </w:numPr>
        <w:rPr>
          <w:b/>
          <w:szCs w:val="22"/>
          <w:lang w:val="es-ES"/>
        </w:rPr>
      </w:pPr>
      <w:r w:rsidRPr="000D5434">
        <w:rPr>
          <w:szCs w:val="22"/>
          <w:lang w:val="es-ES"/>
        </w:rPr>
        <w:t>“Mutilar” es “cortar o quitar una parte o porción de algo que de suyo debiera tenerlo” (Real Academia Española), y en el campo del derecho de autor designa el acto de suprimir o modificar parte de la obra o alterar su sentido.</w:t>
      </w:r>
      <w:r w:rsidR="00B834A4" w:rsidRPr="000D5434">
        <w:rPr>
          <w:szCs w:val="22"/>
          <w:lang w:val="es-ES"/>
        </w:rPr>
        <w:t xml:space="preserve"> </w:t>
      </w:r>
      <w:r w:rsidRPr="000D5434">
        <w:rPr>
          <w:szCs w:val="22"/>
          <w:lang w:val="es-ES"/>
        </w:rPr>
        <w:t>La protección contra la mutilación de la obra constituye uno de los atributos de los derechos morales del autor (artículo 6</w:t>
      </w:r>
      <w:r w:rsidRPr="000D5434">
        <w:rPr>
          <w:i/>
          <w:iCs/>
          <w:szCs w:val="22"/>
          <w:lang w:val="es-ES"/>
        </w:rPr>
        <w:t>bis</w:t>
      </w:r>
      <w:r w:rsidRPr="000D5434">
        <w:rPr>
          <w:szCs w:val="22"/>
          <w:lang w:val="es-ES"/>
        </w:rPr>
        <w:t xml:space="preserve"> del </w:t>
      </w:r>
      <w:r w:rsidRPr="000D5434">
        <w:rPr>
          <w:i/>
          <w:szCs w:val="22"/>
          <w:lang w:val="es-ES"/>
        </w:rPr>
        <w:t>Convenio de Berna</w:t>
      </w:r>
      <w:r w:rsidRPr="000D5434">
        <w:rPr>
          <w:szCs w:val="22"/>
          <w:lang w:val="es-ES"/>
        </w:rPr>
        <w:t>).</w:t>
      </w:r>
    </w:p>
    <w:p w:rsidR="00C0409B" w:rsidRPr="000D5434" w:rsidRDefault="00C0409B" w:rsidP="00103D66">
      <w:pPr>
        <w:pStyle w:val="ONUMFS"/>
        <w:numPr>
          <w:ilvl w:val="0"/>
          <w:numId w:val="0"/>
        </w:numPr>
        <w:rPr>
          <w:b/>
          <w:bCs/>
          <w:szCs w:val="22"/>
          <w:lang w:val="es-ES"/>
        </w:rPr>
      </w:pPr>
      <w:r w:rsidRPr="000D5434">
        <w:rPr>
          <w:b/>
          <w:bCs/>
          <w:szCs w:val="22"/>
          <w:lang w:val="es-ES"/>
        </w:rPr>
        <w:t>Respeto mutuo</w:t>
      </w:r>
    </w:p>
    <w:p w:rsidR="00C0409B" w:rsidRPr="000D5434" w:rsidRDefault="00C0409B" w:rsidP="00103D66">
      <w:pPr>
        <w:pStyle w:val="ONUMFS"/>
        <w:numPr>
          <w:ilvl w:val="0"/>
          <w:numId w:val="0"/>
        </w:numPr>
        <w:rPr>
          <w:b/>
          <w:szCs w:val="22"/>
          <w:lang w:val="es-ES"/>
        </w:rPr>
      </w:pPr>
      <w:r w:rsidRPr="000D5434">
        <w:rPr>
          <w:szCs w:val="22"/>
          <w:lang w:val="es-ES"/>
        </w:rPr>
        <w:t xml:space="preserve">En el preámbulo de la </w:t>
      </w:r>
      <w:r w:rsidRPr="000D5434">
        <w:rPr>
          <w:i/>
          <w:szCs w:val="22"/>
          <w:lang w:val="es-ES"/>
        </w:rPr>
        <w:t>Declaración de las Naciones Unidas sobre los Derechos de los Pueblos Indígenas</w:t>
      </w:r>
      <w:r w:rsidRPr="000D5434">
        <w:rPr>
          <w:szCs w:val="22"/>
          <w:lang w:val="es-ES"/>
        </w:rPr>
        <w:t xml:space="preserve"> se afirma que es el “ideal común que debe perseguirse en un espíritu de solidaridad y respeto mutuo”.</w:t>
      </w:r>
      <w:r w:rsidRPr="000D5434">
        <w:rPr>
          <w:szCs w:val="22"/>
          <w:vertAlign w:val="superscript"/>
          <w:lang w:val="es-ES"/>
        </w:rPr>
        <w:t>.</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0D5434" w:rsidRDefault="00C0409B" w:rsidP="00103D66">
      <w:pPr>
        <w:pStyle w:val="ONUMFS"/>
        <w:numPr>
          <w:ilvl w:val="0"/>
          <w:numId w:val="0"/>
        </w:numPr>
        <w:rPr>
          <w:b/>
          <w:bCs/>
          <w:szCs w:val="22"/>
          <w:lang w:val="es-ES"/>
        </w:rPr>
      </w:pPr>
      <w:r w:rsidRPr="000D5434">
        <w:rPr>
          <w:b/>
          <w:bCs/>
          <w:szCs w:val="22"/>
          <w:lang w:val="es-ES"/>
        </w:rPr>
        <w:t>Condiciones mutuamente convenidas</w:t>
      </w:r>
    </w:p>
    <w:p w:rsidR="00C0409B" w:rsidRPr="000D5434" w:rsidRDefault="00C0409B" w:rsidP="00103D66">
      <w:pPr>
        <w:pStyle w:val="ONUMFS"/>
        <w:numPr>
          <w:ilvl w:val="0"/>
          <w:numId w:val="0"/>
        </w:numPr>
        <w:rPr>
          <w:szCs w:val="22"/>
          <w:lang w:val="es-ES"/>
        </w:rPr>
      </w:pPr>
      <w:r w:rsidRPr="000D5434">
        <w:rPr>
          <w:szCs w:val="22"/>
          <w:lang w:val="es-ES"/>
        </w:rPr>
        <w:t xml:space="preserve">Además de reconocer la soberanía de los gobiernos nacionales para determinar el acceso a los recursos genéticos, en el artículo 15.4 del </w:t>
      </w:r>
      <w:r w:rsidRPr="000D5434">
        <w:rPr>
          <w:i/>
          <w:szCs w:val="22"/>
          <w:lang w:val="es-ES"/>
        </w:rPr>
        <w:t xml:space="preserve">Convenio sobre la Diversidad Biológica </w:t>
      </w:r>
      <w:r w:rsidRPr="000D5434">
        <w:rPr>
          <w:szCs w:val="22"/>
          <w:lang w:val="es-ES"/>
        </w:rPr>
        <w:t>(1992) se establece que “cuando se conceda acceso, este será en condiciones mutuamente convenidas y estará sometido a lo dispuesto en el presente artículo”.</w:t>
      </w:r>
      <w:r w:rsidR="00B834A4" w:rsidRPr="000D5434">
        <w:rPr>
          <w:szCs w:val="22"/>
          <w:lang w:val="es-ES"/>
        </w:rPr>
        <w:t xml:space="preserve"> </w:t>
      </w:r>
      <w:r w:rsidRPr="000D5434">
        <w:rPr>
          <w:szCs w:val="22"/>
          <w:lang w:val="es-ES"/>
        </w:rPr>
        <w:t>El Secretario Ejecutivo del CDB ha señalado que “los contratos son el modo más común de establecer los términos mutuamente convenidos”.</w:t>
      </w:r>
      <w:r w:rsidRPr="000D5434">
        <w:rPr>
          <w:rStyle w:val="FootnoteReference"/>
          <w:szCs w:val="22"/>
          <w:lang w:val="es-ES"/>
        </w:rPr>
        <w:footnoteReference w:id="111"/>
      </w:r>
      <w:r w:rsidR="00B834A4" w:rsidRPr="000D5434">
        <w:rPr>
          <w:szCs w:val="22"/>
          <w:lang w:val="es-ES"/>
        </w:rPr>
        <w:t xml:space="preserve"> </w:t>
      </w:r>
      <w:r w:rsidRPr="000D5434">
        <w:rPr>
          <w:szCs w:val="22"/>
          <w:lang w:val="es-ES"/>
        </w:rPr>
        <w:t xml:space="preserve">En los artículos 41 a 44 de las </w:t>
      </w:r>
      <w:r w:rsidRPr="000D5434">
        <w:rPr>
          <w:i/>
          <w:szCs w:val="22"/>
          <w:lang w:val="es-ES"/>
        </w:rPr>
        <w:t>Directrices de Bonn</w:t>
      </w:r>
      <w:r w:rsidRPr="000D5434">
        <w:rPr>
          <w:szCs w:val="22"/>
          <w:lang w:val="es-ES"/>
        </w:rPr>
        <w:t xml:space="preserve"> se señalan algunos requisitos básicos de las condiciones mutuamente convenidas.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18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aborda específicamente el cumplimiento de las condiciones mutuamente acordadas o convenidas, a saber:</w:t>
      </w:r>
      <w:r w:rsidR="00B834A4" w:rsidRPr="000D5434">
        <w:rPr>
          <w:szCs w:val="22"/>
          <w:lang w:val="es-ES"/>
        </w:rPr>
        <w:t xml:space="preserve"> </w:t>
      </w:r>
      <w:r w:rsidRPr="000D5434">
        <w:rPr>
          <w:szCs w:val="22"/>
          <w:lang w:val="es-ES"/>
        </w:rPr>
        <w:t>“</w:t>
      </w:r>
      <w:r w:rsidRPr="000D5434">
        <w:rPr>
          <w:iCs/>
          <w:szCs w:val="22"/>
          <w:lang w:val="es-ES"/>
        </w:rPr>
        <w:t>1.</w:t>
      </w:r>
      <w:r w:rsidR="00B834A4" w:rsidRPr="000D5434">
        <w:rPr>
          <w:szCs w:val="22"/>
          <w:lang w:val="es-ES"/>
        </w:rPr>
        <w:t xml:space="preserve"> </w:t>
      </w:r>
      <w:r w:rsidRPr="000D5434">
        <w:rPr>
          <w:iCs/>
          <w:szCs w:val="22"/>
          <w:lang w:val="es-ES"/>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B834A4" w:rsidRPr="000D5434">
        <w:rPr>
          <w:iCs/>
          <w:szCs w:val="22"/>
          <w:lang w:val="es-ES"/>
        </w:rPr>
        <w:t xml:space="preserve"> </w:t>
      </w:r>
      <w:r w:rsidRPr="000D5434">
        <w:rPr>
          <w:iCs/>
          <w:szCs w:val="22"/>
          <w:lang w:val="es-ES"/>
        </w:rPr>
        <w:t>a) la jurisdicción a la que se someterán todos los procesos de resolución de controversias;</w:t>
      </w:r>
      <w:r w:rsidR="00B834A4" w:rsidRPr="000D5434">
        <w:rPr>
          <w:iCs/>
          <w:szCs w:val="22"/>
          <w:lang w:val="es-ES"/>
        </w:rPr>
        <w:t xml:space="preserve"> </w:t>
      </w:r>
      <w:r w:rsidRPr="000D5434">
        <w:rPr>
          <w:iCs/>
          <w:szCs w:val="22"/>
          <w:lang w:val="es-ES"/>
        </w:rPr>
        <w:t>b) la ley aplicable;</w:t>
      </w:r>
      <w:r w:rsidR="00B834A4" w:rsidRPr="000D5434">
        <w:rPr>
          <w:iCs/>
          <w:szCs w:val="22"/>
          <w:lang w:val="es-ES"/>
        </w:rPr>
        <w:t xml:space="preserve"> </w:t>
      </w:r>
      <w:r w:rsidRPr="000D5434">
        <w:rPr>
          <w:iCs/>
          <w:szCs w:val="22"/>
          <w:lang w:val="es-ES"/>
        </w:rPr>
        <w:t>y/o c) opciones para la resolución de controversias alternativa, tales como mediación o arbitraje. 2.</w:t>
      </w:r>
      <w:r w:rsidR="00B834A4" w:rsidRPr="000D5434">
        <w:rPr>
          <w:iCs/>
          <w:szCs w:val="22"/>
          <w:lang w:val="es-ES"/>
        </w:rPr>
        <w:t xml:space="preserve"> </w:t>
      </w:r>
      <w:r w:rsidRPr="000D5434">
        <w:rPr>
          <w:iCs/>
          <w:szCs w:val="22"/>
          <w:lang w:val="es-ES"/>
        </w:rPr>
        <w:t>Cada parte se asegurará de que sus sistemas jurídicos ofrezcan la posibilidad de presentar recursos, de conformidad con los requisitos jurisdiccionales correspondientes en casos de controversias dimanantes de las condiciones mutuamente acordadas. 3.</w:t>
      </w:r>
      <w:r w:rsidR="00B834A4" w:rsidRPr="000D5434">
        <w:rPr>
          <w:iCs/>
          <w:szCs w:val="22"/>
          <w:lang w:val="es-ES"/>
        </w:rPr>
        <w:t xml:space="preserve"> </w:t>
      </w:r>
      <w:r w:rsidRPr="000D5434">
        <w:rPr>
          <w:iCs/>
          <w:szCs w:val="22"/>
          <w:lang w:val="es-ES"/>
        </w:rPr>
        <w:t>Cada Parte adoptará medidas efectivas, según proceda, respecto a:</w:t>
      </w:r>
      <w:r w:rsidR="00B834A4" w:rsidRPr="000D5434">
        <w:rPr>
          <w:iCs/>
          <w:szCs w:val="22"/>
          <w:lang w:val="es-ES"/>
        </w:rPr>
        <w:t xml:space="preserve"> </w:t>
      </w:r>
      <w:r w:rsidRPr="000D5434">
        <w:rPr>
          <w:iCs/>
          <w:szCs w:val="22"/>
          <w:lang w:val="es-ES"/>
        </w:rPr>
        <w:t>a) acceso a la justicia;</w:t>
      </w:r>
      <w:r w:rsidR="00B834A4" w:rsidRPr="000D5434">
        <w:rPr>
          <w:iCs/>
          <w:szCs w:val="22"/>
          <w:lang w:val="es-ES"/>
        </w:rPr>
        <w:t xml:space="preserve"> </w:t>
      </w:r>
      <w:r w:rsidRPr="000D5434">
        <w:rPr>
          <w:iCs/>
          <w:szCs w:val="22"/>
          <w:lang w:val="es-ES"/>
        </w:rPr>
        <w:t>y b) la utilización de mecanismos respecto al reconocimiento mutuo y la aplicación de sentencias extranjeras y laudos arbitrales. 4.</w:t>
      </w:r>
      <w:r w:rsidR="00B834A4" w:rsidRPr="000D5434">
        <w:rPr>
          <w:iCs/>
          <w:szCs w:val="22"/>
          <w:lang w:val="es-ES"/>
        </w:rPr>
        <w:t xml:space="preserve"> </w:t>
      </w:r>
      <w:r w:rsidRPr="000D5434">
        <w:rPr>
          <w:iCs/>
          <w:szCs w:val="22"/>
          <w:lang w:val="es-ES"/>
        </w:rPr>
        <w:t>La Conferencia de las Partes que actúa como reunión de las Partes en el presente Protocolo examinará la eficacia de este artículo conforme al Artículo 31 del presente Protocolo</w:t>
      </w:r>
      <w:r w:rsidRPr="000D5434">
        <w:rPr>
          <w:szCs w:val="22"/>
          <w:lang w:val="es-ES"/>
        </w:rPr>
        <w:t>”.</w:t>
      </w:r>
    </w:p>
    <w:p w:rsidR="00C0409B" w:rsidRPr="000D5434" w:rsidRDefault="00C0409B" w:rsidP="00B16297">
      <w:pPr>
        <w:pStyle w:val="ONUMFS"/>
        <w:keepNext/>
        <w:keepLines/>
        <w:numPr>
          <w:ilvl w:val="0"/>
          <w:numId w:val="0"/>
        </w:numPr>
        <w:rPr>
          <w:b/>
          <w:szCs w:val="22"/>
          <w:lang w:val="es-ES"/>
        </w:rPr>
      </w:pPr>
      <w:r w:rsidRPr="000D5434">
        <w:rPr>
          <w:b/>
          <w:szCs w:val="22"/>
          <w:lang w:val="es-ES"/>
        </w:rPr>
        <w:t>Protocolo de Nagoya sobre Acceso a los Recursos Genéticos y Participación Justa y Equitativa en los Beneficios que se Deriven de su Utilización al Convenio sobre la Diversidad Biológica (2010)</w:t>
      </w:r>
    </w:p>
    <w:p w:rsidR="00C0409B" w:rsidRPr="000D5434" w:rsidRDefault="00C0409B" w:rsidP="00103D66">
      <w:pPr>
        <w:pStyle w:val="ONUMFS"/>
        <w:numPr>
          <w:ilvl w:val="0"/>
          <w:numId w:val="0"/>
        </w:numPr>
        <w:rPr>
          <w:szCs w:val="22"/>
          <w:lang w:val="es-ES"/>
        </w:rPr>
      </w:pPr>
      <w:r w:rsidRPr="000D5434">
        <w:rPr>
          <w:szCs w:val="22"/>
          <w:lang w:val="es-ES"/>
        </w:rPr>
        <w:t>Durante la décima reunión de la Conferencia de las Partes (COP 10), celebrada en Nagoya (Japón) en octubre de 2010, se adoptó un protocolo.</w:t>
      </w:r>
      <w:r w:rsidR="00B834A4" w:rsidRPr="000D5434">
        <w:rPr>
          <w:szCs w:val="22"/>
          <w:lang w:val="es-ES"/>
        </w:rPr>
        <w:t xml:space="preserve"> </w:t>
      </w:r>
      <w:r w:rsidRPr="000D5434">
        <w:rPr>
          <w:szCs w:val="22"/>
          <w:lang w:val="es-ES"/>
        </w:rPr>
        <w:t>Con arreglo al artículo 1, el objetivo del Protocolo es “</w:t>
      </w:r>
      <w:r w:rsidRPr="000D5434">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0D5434">
        <w:rPr>
          <w:szCs w:val="22"/>
          <w:lang w:val="es-ES"/>
        </w:rPr>
        <w:t>”.</w:t>
      </w:r>
      <w:r w:rsidR="00B834A4" w:rsidRPr="000D5434">
        <w:rPr>
          <w:szCs w:val="22"/>
          <w:lang w:val="es-ES"/>
        </w:rPr>
        <w:t xml:space="preserve"> </w:t>
      </w:r>
      <w:r w:rsidRPr="000D5434">
        <w:rPr>
          <w:szCs w:val="22"/>
          <w:lang w:val="es-ES"/>
        </w:rPr>
        <w:t>El Secretario General de las Naciones Unidas será el depositario del Protocolo y lo abrirá a la firma en la Sede de las Naciones Unidas de Nueva York del 2 de febrero de 2011 al 1 de febrero de 2012.</w:t>
      </w:r>
    </w:p>
    <w:p w:rsidR="00C0409B" w:rsidRPr="000D5434" w:rsidRDefault="00C0409B" w:rsidP="00103D66">
      <w:pPr>
        <w:pStyle w:val="ONUMFS"/>
        <w:numPr>
          <w:ilvl w:val="0"/>
          <w:numId w:val="0"/>
        </w:numPr>
        <w:rPr>
          <w:b/>
          <w:szCs w:val="22"/>
          <w:lang w:val="es-ES"/>
        </w:rPr>
      </w:pPr>
      <w:r w:rsidRPr="000D5434">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0D5434" w:rsidRDefault="00C0409B" w:rsidP="00103D66">
      <w:pPr>
        <w:pStyle w:val="ONUMFS"/>
        <w:numPr>
          <w:ilvl w:val="0"/>
          <w:numId w:val="0"/>
        </w:numPr>
        <w:rPr>
          <w:b/>
          <w:bCs/>
          <w:szCs w:val="22"/>
          <w:lang w:val="es-ES"/>
        </w:rPr>
      </w:pPr>
      <w:r w:rsidRPr="000D5434">
        <w:rPr>
          <w:b/>
          <w:bCs/>
          <w:szCs w:val="22"/>
          <w:lang w:val="es-ES"/>
        </w:rPr>
        <w:t>Nación</w:t>
      </w:r>
    </w:p>
    <w:p w:rsidR="00C0409B" w:rsidRPr="000D5434" w:rsidRDefault="00C0409B" w:rsidP="00103D66">
      <w:pPr>
        <w:pStyle w:val="ONUMFS"/>
        <w:numPr>
          <w:ilvl w:val="0"/>
          <w:numId w:val="0"/>
        </w:numPr>
        <w:rPr>
          <w:b/>
          <w:szCs w:val="22"/>
          <w:lang w:val="es-ES"/>
        </w:rPr>
      </w:pPr>
      <w:bookmarkStart w:id="13" w:name="_Ref289681765"/>
      <w:bookmarkEnd w:id="13"/>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w:t>
      </w:r>
      <w:r w:rsidR="00B834A4" w:rsidRPr="000D5434">
        <w:rPr>
          <w:szCs w:val="22"/>
          <w:lang w:val="es-ES"/>
        </w:rPr>
        <w:t xml:space="preserve"> </w:t>
      </w:r>
      <w:r w:rsidRPr="000D5434">
        <w:rPr>
          <w:szCs w:val="22"/>
          <w:lang w:val="es-ES"/>
        </w:rPr>
        <w:t xml:space="preserve">En el </w:t>
      </w:r>
      <w:r w:rsidRPr="000D5434">
        <w:rPr>
          <w:i/>
          <w:szCs w:val="22"/>
          <w:lang w:val="es-ES"/>
        </w:rPr>
        <w:t>Acuerdo sobre los ADPIC</w:t>
      </w:r>
      <w:r w:rsidRPr="000D5434">
        <w:rPr>
          <w:szCs w:val="22"/>
          <w:lang w:val="es-ES"/>
        </w:rPr>
        <w:t>, por “nacionales” se entiende “las personas físicas o jurídicas que tengan domicilio o un establecimiento industrial o comercial, real y efectivo, en ese territorio aduanero”.</w:t>
      </w:r>
      <w:r w:rsidRPr="000D5434">
        <w:rPr>
          <w:rStyle w:val="FootnoteReference"/>
          <w:szCs w:val="22"/>
          <w:lang w:val="es-ES"/>
        </w:rPr>
        <w:footnoteReference w:id="112"/>
      </w:r>
      <w:r w:rsidR="00B834A4" w:rsidRPr="000D5434">
        <w:rPr>
          <w:szCs w:val="22"/>
          <w:lang w:val="es-ES"/>
        </w:rPr>
        <w:t xml:space="preserve"> </w:t>
      </w:r>
      <w:r w:rsidRPr="000D5434">
        <w:rPr>
          <w:szCs w:val="22"/>
          <w:lang w:val="es-ES"/>
        </w:rPr>
        <w:t>La voz “nación” suele connotar que la comunidad está forjada por un mismo origen, cultura e historia, a lo cual se suma no pocas veces una lengua que es común.</w:t>
      </w:r>
      <w:r w:rsidRPr="000D5434">
        <w:rPr>
          <w:rStyle w:val="FootnoteReference"/>
          <w:szCs w:val="22"/>
          <w:lang w:val="es-ES"/>
        </w:rPr>
        <w:footnoteReference w:id="113"/>
      </w:r>
      <w:r w:rsidR="00B834A4" w:rsidRPr="000D5434">
        <w:rPr>
          <w:szCs w:val="22"/>
          <w:lang w:val="es-ES"/>
        </w:rPr>
        <w:t xml:space="preserve"> </w:t>
      </w:r>
      <w:r w:rsidRPr="000D5434">
        <w:rPr>
          <w:szCs w:val="22"/>
          <w:lang w:val="es-ES"/>
        </w:rPr>
        <w:t>“El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w:t>
      </w:r>
      <w:r w:rsidR="00B834A4" w:rsidRPr="000D5434">
        <w:rPr>
          <w:szCs w:val="22"/>
          <w:lang w:val="es-ES"/>
        </w:rPr>
        <w:t xml:space="preserve"> </w:t>
      </w:r>
      <w:r w:rsidRPr="000D5434">
        <w:rPr>
          <w:szCs w:val="22"/>
          <w:lang w:val="es-ES"/>
        </w:rPr>
        <w:t>Esto complementa la práctica y concuerda con ella en otras esferas políticas”.</w:t>
      </w:r>
      <w:r w:rsidRPr="000D5434">
        <w:rPr>
          <w:rStyle w:val="FootnoteReference"/>
          <w:szCs w:val="22"/>
          <w:lang w:val="es-ES"/>
        </w:rPr>
        <w:footnoteReference w:id="114"/>
      </w:r>
    </w:p>
    <w:p w:rsidR="00C0409B" w:rsidRPr="000D5434" w:rsidRDefault="00C0409B" w:rsidP="00B16297">
      <w:pPr>
        <w:pStyle w:val="ONUMFS"/>
        <w:numPr>
          <w:ilvl w:val="0"/>
          <w:numId w:val="0"/>
        </w:numPr>
        <w:rPr>
          <w:b/>
          <w:bCs/>
          <w:szCs w:val="22"/>
          <w:lang w:val="es-ES"/>
        </w:rPr>
      </w:pPr>
      <w:r w:rsidRPr="000D5434">
        <w:rPr>
          <w:b/>
          <w:bCs/>
          <w:szCs w:val="22"/>
          <w:lang w:val="es-ES"/>
        </w:rPr>
        <w:t>Novedad</w:t>
      </w:r>
    </w:p>
    <w:p w:rsidR="00C0409B" w:rsidRPr="000D5434" w:rsidRDefault="00C0409B" w:rsidP="00B16297">
      <w:pPr>
        <w:pStyle w:val="ONUMFS"/>
        <w:numPr>
          <w:ilvl w:val="0"/>
          <w:numId w:val="0"/>
        </w:numPr>
        <w:rPr>
          <w:szCs w:val="22"/>
          <w:lang w:val="es-ES"/>
        </w:rPr>
      </w:pPr>
      <w:r w:rsidRPr="000D5434">
        <w:rPr>
          <w:szCs w:val="22"/>
          <w:lang w:val="es-ES"/>
        </w:rPr>
        <w:t>La novedad es uno de los criterios que se aplican en todo examen de patentes para determinar si se concede una patente.</w:t>
      </w:r>
      <w:r w:rsidR="00B834A4" w:rsidRPr="000D5434">
        <w:rPr>
          <w:szCs w:val="22"/>
          <w:lang w:val="es-ES"/>
        </w:rPr>
        <w:t xml:space="preserve"> </w:t>
      </w:r>
      <w:r w:rsidRPr="000D5434">
        <w:rPr>
          <w:szCs w:val="22"/>
          <w:lang w:val="es-ES"/>
        </w:rPr>
        <w:t>Una invención es nueva si no existe en el estado de la técnica.</w:t>
      </w:r>
      <w:r w:rsidRPr="000D5434">
        <w:rPr>
          <w:rStyle w:val="FootnoteReference"/>
          <w:szCs w:val="22"/>
          <w:lang w:val="es-ES"/>
        </w:rPr>
        <w:footnoteReference w:id="115"/>
      </w:r>
    </w:p>
    <w:p w:rsidR="00C0409B" w:rsidRPr="000D5434" w:rsidRDefault="00C0409B" w:rsidP="00103D66">
      <w:pPr>
        <w:pStyle w:val="ONUMFS"/>
        <w:numPr>
          <w:ilvl w:val="0"/>
          <w:numId w:val="0"/>
        </w:numPr>
        <w:rPr>
          <w:szCs w:val="22"/>
          <w:lang w:val="es-ES"/>
        </w:rPr>
      </w:pPr>
      <w:r w:rsidRPr="000D5434">
        <w:rPr>
          <w:szCs w:val="22"/>
          <w:lang w:val="es-ES"/>
        </w:rPr>
        <w:t xml:space="preserve">En el artículo 33 del </w:t>
      </w:r>
      <w:r w:rsidR="005C21FD" w:rsidRPr="000D5434">
        <w:rPr>
          <w:i/>
          <w:szCs w:val="22"/>
          <w:lang w:val="es-ES"/>
        </w:rPr>
        <w:t>Tratado de Cooperación en materia de Patentes</w:t>
      </w:r>
      <w:r w:rsidRPr="000D5434">
        <w:rPr>
          <w:szCs w:val="22"/>
          <w:lang w:val="es-ES"/>
        </w:rPr>
        <w:t xml:space="preserve"> </w:t>
      </w:r>
      <w:r w:rsidR="005C21FD" w:rsidRPr="000D5434">
        <w:rPr>
          <w:szCs w:val="22"/>
          <w:lang w:val="es-ES"/>
        </w:rPr>
        <w:t xml:space="preserve">(PCT) </w:t>
      </w:r>
      <w:r w:rsidRPr="000D5434">
        <w:rPr>
          <w:szCs w:val="22"/>
          <w:lang w:val="es-ES"/>
        </w:rPr>
        <w:t>se establece lo siguiente con respecto a la novedad:</w:t>
      </w:r>
      <w:r w:rsidR="00B834A4" w:rsidRPr="000D5434">
        <w:rPr>
          <w:szCs w:val="22"/>
          <w:lang w:val="es-ES"/>
        </w:rPr>
        <w:t xml:space="preserve"> </w:t>
      </w:r>
      <w:r w:rsidRPr="000D5434">
        <w:rPr>
          <w:szCs w:val="22"/>
          <w:lang w:val="es-ES"/>
        </w:rPr>
        <w:t>“A los efectos del examen preliminar internacional, se considerará nueva una invención reivindicada si no existe anterioridad en el estado de la técnica, tal como se define en el Reglamento”.</w:t>
      </w:r>
      <w:r w:rsidR="00B834A4" w:rsidRPr="000D5434">
        <w:rPr>
          <w:szCs w:val="22"/>
          <w:lang w:val="es-ES"/>
        </w:rPr>
        <w:t xml:space="preserve"> </w:t>
      </w:r>
      <w:r w:rsidRPr="000D5434">
        <w:rPr>
          <w:szCs w:val="22"/>
          <w:lang w:val="es-ES"/>
        </w:rPr>
        <w:t>En la regla 64.1.a) del Reglamento del PCT se da la siguiente definición de “estado de la técnica”:</w:t>
      </w:r>
      <w:r w:rsidR="00B834A4" w:rsidRPr="000D5434">
        <w:rPr>
          <w:szCs w:val="22"/>
          <w:lang w:val="es-ES"/>
        </w:rPr>
        <w:t xml:space="preserve"> </w:t>
      </w:r>
      <w:r w:rsidRPr="000D5434">
        <w:rPr>
          <w:szCs w:val="22"/>
          <w:lang w:val="es-ES"/>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54 del </w:t>
      </w:r>
      <w:r w:rsidRPr="000D5434">
        <w:rPr>
          <w:i/>
          <w:szCs w:val="22"/>
          <w:lang w:val="es-ES"/>
        </w:rPr>
        <w:t>Convenio sobre la Patente Europea</w:t>
      </w:r>
      <w:r w:rsidRPr="000D5434">
        <w:rPr>
          <w:szCs w:val="22"/>
          <w:lang w:val="es-ES"/>
        </w:rPr>
        <w:t>, se define “novedad” del siguiente modo:</w:t>
      </w:r>
      <w:r w:rsidR="00B834A4" w:rsidRPr="000D5434">
        <w:rPr>
          <w:szCs w:val="22"/>
          <w:lang w:val="es-ES"/>
        </w:rPr>
        <w:t xml:space="preserve"> </w:t>
      </w:r>
      <w:r w:rsidRPr="000D5434">
        <w:rPr>
          <w:szCs w:val="22"/>
          <w:lang w:val="es-ES"/>
        </w:rPr>
        <w:t>“Una invención se considerará nueva si no forma parte del estado de la técnica.</w:t>
      </w:r>
      <w:r w:rsidR="00B834A4" w:rsidRPr="000D5434">
        <w:rPr>
          <w:szCs w:val="22"/>
          <w:lang w:val="es-ES"/>
        </w:rPr>
        <w:t xml:space="preserve"> </w:t>
      </w:r>
      <w:r w:rsidRPr="000D5434">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 [condiciones de patentabilidad;</w:t>
      </w:r>
      <w:r w:rsidR="00B834A4" w:rsidRPr="000D5434">
        <w:rPr>
          <w:szCs w:val="22"/>
          <w:lang w:val="es-ES"/>
        </w:rPr>
        <w:t xml:space="preserve"> </w:t>
      </w:r>
      <w:r w:rsidRPr="000D5434">
        <w:rPr>
          <w:szCs w:val="22"/>
          <w:lang w:val="es-ES"/>
        </w:rPr>
        <w:t>novedad], el concepto de “novedad” se define del siguiente modo:</w:t>
      </w:r>
      <w:r w:rsidR="00B834A4" w:rsidRPr="000D5434">
        <w:rPr>
          <w:szCs w:val="22"/>
          <w:lang w:val="es-ES"/>
        </w:rPr>
        <w:t xml:space="preserve"> </w:t>
      </w:r>
      <w:r w:rsidRPr="000D5434">
        <w:rPr>
          <w:szCs w:val="22"/>
          <w:lang w:val="es-ES"/>
        </w:rPr>
        <w:t>Toda persona tendrá derecho a obtener una patente salvo que:</w:t>
      </w:r>
      <w:r w:rsidR="00B834A4" w:rsidRPr="000D5434">
        <w:rPr>
          <w:szCs w:val="22"/>
          <w:lang w:val="es-ES"/>
        </w:rPr>
        <w:t xml:space="preserve"> </w:t>
      </w:r>
      <w:r w:rsidR="005D6E7F" w:rsidRPr="000D5434">
        <w:rPr>
          <w:szCs w:val="22"/>
          <w:lang w:val="es-ES"/>
        </w:rPr>
        <w:t>1</w:t>
      </w:r>
      <w:r w:rsidRPr="000D5434">
        <w:rPr>
          <w:szCs w:val="22"/>
          <w:lang w:val="es-ES"/>
        </w:rPr>
        <w:t xml:space="preserve">) la invención </w:t>
      </w:r>
      <w:r w:rsidR="0037547D" w:rsidRPr="000D5434">
        <w:rPr>
          <w:szCs w:val="22"/>
          <w:lang w:val="es-ES"/>
        </w:rPr>
        <w:t xml:space="preserve">reivindicada </w:t>
      </w:r>
      <w:r w:rsidRPr="000D5434">
        <w:rPr>
          <w:szCs w:val="22"/>
          <w:lang w:val="es-ES"/>
        </w:rPr>
        <w:t xml:space="preserve">haya sido patentada o </w:t>
      </w:r>
      <w:r w:rsidR="0037547D" w:rsidRPr="000D5434">
        <w:rPr>
          <w:szCs w:val="22"/>
          <w:lang w:val="es-ES"/>
        </w:rPr>
        <w:t xml:space="preserve">esté </w:t>
      </w:r>
      <w:r w:rsidRPr="000D5434">
        <w:rPr>
          <w:szCs w:val="22"/>
          <w:lang w:val="es-ES"/>
        </w:rPr>
        <w:t xml:space="preserve">descrita en una publicación impresa, </w:t>
      </w:r>
      <w:r w:rsidR="005D6E7F" w:rsidRPr="000D5434">
        <w:rPr>
          <w:szCs w:val="22"/>
          <w:lang w:val="es-ES"/>
        </w:rPr>
        <w:t xml:space="preserve">o sea de uso público, </w:t>
      </w:r>
      <w:r w:rsidR="0037547D" w:rsidRPr="000D5434">
        <w:rPr>
          <w:szCs w:val="22"/>
          <w:lang w:val="es-ES"/>
        </w:rPr>
        <w:t>haya estado</w:t>
      </w:r>
      <w:r w:rsidR="005D6E7F" w:rsidRPr="000D5434">
        <w:rPr>
          <w:szCs w:val="22"/>
          <w:lang w:val="es-ES"/>
        </w:rPr>
        <w:t xml:space="preserve"> en venta o de otra forma disponible al público </w:t>
      </w:r>
      <w:r w:rsidRPr="000D5434">
        <w:rPr>
          <w:szCs w:val="22"/>
          <w:lang w:val="es-ES"/>
        </w:rPr>
        <w:t xml:space="preserve">antes de </w:t>
      </w:r>
      <w:r w:rsidR="005D6E7F" w:rsidRPr="000D5434">
        <w:rPr>
          <w:szCs w:val="22"/>
          <w:lang w:val="es-ES"/>
        </w:rPr>
        <w:t xml:space="preserve">la fecha de presentación de la solicitud </w:t>
      </w:r>
      <w:r w:rsidR="0037547D" w:rsidRPr="000D5434">
        <w:rPr>
          <w:szCs w:val="22"/>
          <w:lang w:val="es-ES"/>
        </w:rPr>
        <w:t>correspondiente a dicha</w:t>
      </w:r>
      <w:r w:rsidR="005D6E7F" w:rsidRPr="000D5434">
        <w:rPr>
          <w:szCs w:val="22"/>
          <w:lang w:val="es-ES"/>
        </w:rPr>
        <w:t xml:space="preserve"> invención;</w:t>
      </w:r>
      <w:r w:rsidR="00B834A4" w:rsidRPr="000D5434">
        <w:rPr>
          <w:szCs w:val="22"/>
          <w:lang w:val="es-ES"/>
        </w:rPr>
        <w:t xml:space="preserve"> </w:t>
      </w:r>
      <w:r w:rsidR="005D6E7F" w:rsidRPr="000D5434">
        <w:rPr>
          <w:szCs w:val="22"/>
          <w:lang w:val="es-ES"/>
        </w:rPr>
        <w:t>o 2) la invención reivindicada esté descrita en una patente</w:t>
      </w:r>
      <w:r w:rsidR="001B0533" w:rsidRPr="000D5434">
        <w:rPr>
          <w:szCs w:val="22"/>
          <w:lang w:val="es-ES"/>
        </w:rPr>
        <w:t>,</w:t>
      </w:r>
      <w:r w:rsidR="005D6E7F" w:rsidRPr="000D5434">
        <w:rPr>
          <w:szCs w:val="22"/>
          <w:lang w:val="es-ES"/>
        </w:rPr>
        <w:t xml:space="preserve"> concedida</w:t>
      </w:r>
      <w:r w:rsidR="0037547D" w:rsidRPr="000D5434">
        <w:rPr>
          <w:szCs w:val="22"/>
          <w:lang w:val="es-ES"/>
        </w:rPr>
        <w:t xml:space="preserve"> conforme al</w:t>
      </w:r>
      <w:r w:rsidR="005D6E7F" w:rsidRPr="000D5434">
        <w:rPr>
          <w:szCs w:val="22"/>
          <w:lang w:val="es-ES"/>
        </w:rPr>
        <w:t xml:space="preserve"> artículo 151</w:t>
      </w:r>
      <w:r w:rsidR="0037547D" w:rsidRPr="000D5434">
        <w:rPr>
          <w:szCs w:val="22"/>
          <w:lang w:val="es-ES"/>
        </w:rPr>
        <w:t>,</w:t>
      </w:r>
      <w:r w:rsidR="005D6E7F" w:rsidRPr="000D5434">
        <w:rPr>
          <w:szCs w:val="22"/>
          <w:lang w:val="es-ES"/>
        </w:rPr>
        <w:t xml:space="preserve"> o en una solicitud de patente</w:t>
      </w:r>
      <w:r w:rsidR="0037547D" w:rsidRPr="000D5434">
        <w:rPr>
          <w:szCs w:val="22"/>
          <w:lang w:val="es-ES"/>
        </w:rPr>
        <w:t>,</w:t>
      </w:r>
      <w:r w:rsidR="005D6E7F" w:rsidRPr="000D5434">
        <w:rPr>
          <w:szCs w:val="22"/>
          <w:lang w:val="es-ES"/>
        </w:rPr>
        <w:t xml:space="preserve"> publicada o que se considere publicada</w:t>
      </w:r>
      <w:r w:rsidR="0037547D" w:rsidRPr="000D5434">
        <w:rPr>
          <w:szCs w:val="22"/>
          <w:lang w:val="es-ES"/>
        </w:rPr>
        <w:t xml:space="preserve"> conforme al </w:t>
      </w:r>
      <w:r w:rsidR="005D6E7F" w:rsidRPr="000D5434">
        <w:rPr>
          <w:szCs w:val="22"/>
          <w:lang w:val="es-ES"/>
        </w:rPr>
        <w:t xml:space="preserve">artículo 122.b), </w:t>
      </w:r>
      <w:r w:rsidR="001B0533" w:rsidRPr="000D5434">
        <w:rPr>
          <w:szCs w:val="22"/>
          <w:lang w:val="es-ES"/>
        </w:rPr>
        <w:t xml:space="preserve">en las que se mencione otro inventor </w:t>
      </w:r>
      <w:r w:rsidR="0037547D" w:rsidRPr="000D5434">
        <w:rPr>
          <w:szCs w:val="22"/>
          <w:lang w:val="es-ES"/>
        </w:rPr>
        <w:t>y</w:t>
      </w:r>
      <w:r w:rsidR="001B0533" w:rsidRPr="000D5434">
        <w:rPr>
          <w:szCs w:val="22"/>
          <w:lang w:val="es-ES"/>
        </w:rPr>
        <w:t xml:space="preserve"> que hayan sido, respectivamente, obtenida o presentada en una fecha anterior a la fecha de presentación de la solicitud correspondiente a la invención revindicada</w:t>
      </w:r>
      <w:r w:rsidRPr="000D5434">
        <w:rPr>
          <w:szCs w:val="22"/>
          <w:lang w:val="es-ES"/>
        </w:rPr>
        <w:t>.</w:t>
      </w:r>
      <w:r w:rsidR="001B0533" w:rsidRPr="000D5434">
        <w:rPr>
          <w:rStyle w:val="FootnoteReference"/>
          <w:szCs w:val="22"/>
          <w:lang w:val="es-ES"/>
        </w:rPr>
        <w:footnoteReference w:id="116"/>
      </w:r>
    </w:p>
    <w:p w:rsidR="00C0409B" w:rsidRPr="000D5434" w:rsidRDefault="00C0409B" w:rsidP="00103D66">
      <w:pPr>
        <w:pStyle w:val="ONUMFS"/>
        <w:numPr>
          <w:ilvl w:val="0"/>
          <w:numId w:val="0"/>
        </w:numPr>
        <w:rPr>
          <w:b/>
          <w:bCs/>
          <w:szCs w:val="22"/>
          <w:lang w:val="es-ES"/>
        </w:rPr>
      </w:pPr>
      <w:r w:rsidRPr="000D5434">
        <w:rPr>
          <w:b/>
          <w:bCs/>
          <w:szCs w:val="22"/>
          <w:lang w:val="es-ES"/>
        </w:rPr>
        <w:t>Ofensivo</w:t>
      </w:r>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0D5434" w:rsidRDefault="00C0409B" w:rsidP="00103D66">
      <w:pPr>
        <w:pStyle w:val="ONUMFS"/>
        <w:numPr>
          <w:ilvl w:val="0"/>
          <w:numId w:val="0"/>
        </w:numPr>
        <w:rPr>
          <w:b/>
          <w:bCs/>
          <w:szCs w:val="22"/>
          <w:lang w:val="es-ES"/>
        </w:rPr>
      </w:pPr>
      <w:r w:rsidRPr="000D5434">
        <w:rPr>
          <w:b/>
          <w:bCs/>
          <w:szCs w:val="22"/>
          <w:lang w:val="es-ES"/>
        </w:rPr>
        <w:t>Patente</w:t>
      </w:r>
    </w:p>
    <w:p w:rsidR="00C0409B" w:rsidRPr="000D5434" w:rsidRDefault="00C0409B" w:rsidP="00103D66">
      <w:pPr>
        <w:pStyle w:val="ONUMFS"/>
        <w:numPr>
          <w:ilvl w:val="0"/>
          <w:numId w:val="0"/>
        </w:numPr>
        <w:rPr>
          <w:szCs w:val="22"/>
          <w:lang w:val="es-ES"/>
        </w:rPr>
      </w:pPr>
      <w:r w:rsidRPr="000D5434">
        <w:rPr>
          <w:szCs w:val="22"/>
          <w:lang w:val="es-ES"/>
        </w:rPr>
        <w:t>Se entiende por patente “</w:t>
      </w:r>
      <w:r w:rsidRPr="000D5434">
        <w:rPr>
          <w:iCs/>
          <w:szCs w:val="22"/>
          <w:lang w:val="es-ES"/>
        </w:rPr>
        <w:t>un documento que describe una invención que puede ser fabricada, utilizada y comercializada con la autorización del propietario de la patente.</w:t>
      </w:r>
      <w:r w:rsidR="00B834A4" w:rsidRPr="000D5434">
        <w:rPr>
          <w:iCs/>
          <w:szCs w:val="22"/>
          <w:lang w:val="es-ES"/>
        </w:rPr>
        <w:t xml:space="preserve"> </w:t>
      </w:r>
      <w:r w:rsidRPr="000D5434">
        <w:rPr>
          <w:iCs/>
          <w:szCs w:val="22"/>
          <w:lang w:val="es-ES"/>
        </w:rPr>
        <w:t>Una invención es una solución a un problema técnico específico.</w:t>
      </w:r>
      <w:r w:rsidR="00B834A4" w:rsidRPr="000D5434">
        <w:rPr>
          <w:iCs/>
          <w:szCs w:val="22"/>
          <w:lang w:val="es-ES"/>
        </w:rPr>
        <w:t xml:space="preserve"> </w:t>
      </w:r>
      <w:r w:rsidRPr="000D5434">
        <w:rPr>
          <w:iCs/>
          <w:szCs w:val="22"/>
          <w:lang w:val="es-ES"/>
        </w:rPr>
        <w:t>Un documento de patente contiene normalmente al menos una reivindicación, el texto completo de la descripción de la invención y la información bibliográfica, tal como el nombre del solicitante.</w:t>
      </w:r>
      <w:r w:rsidR="00B834A4" w:rsidRPr="000D5434">
        <w:rPr>
          <w:iCs/>
          <w:szCs w:val="22"/>
          <w:lang w:val="es-ES"/>
        </w:rPr>
        <w:t xml:space="preserve"> </w:t>
      </w:r>
      <w:r w:rsidRPr="000D5434">
        <w:rPr>
          <w:iCs/>
          <w:szCs w:val="22"/>
          <w:lang w:val="es-ES"/>
        </w:rPr>
        <w:t>La protección proporcionada por una patente está limitada en el tiempo (generalmente de 15 a 20 años desde la presentación o la concesión).</w:t>
      </w:r>
      <w:r w:rsidR="00B834A4" w:rsidRPr="000D5434">
        <w:rPr>
          <w:iCs/>
          <w:szCs w:val="22"/>
          <w:lang w:val="es-ES"/>
        </w:rPr>
        <w:t xml:space="preserve"> </w:t>
      </w:r>
      <w:r w:rsidRPr="000D5434">
        <w:rPr>
          <w:iCs/>
          <w:szCs w:val="22"/>
          <w:lang w:val="es-ES"/>
        </w:rPr>
        <w:t>También está limitada territorialmente al país o países a los que se refiere.</w:t>
      </w:r>
      <w:r w:rsidR="00B834A4" w:rsidRPr="000D5434">
        <w:rPr>
          <w:iCs/>
          <w:szCs w:val="22"/>
          <w:lang w:val="es-ES"/>
        </w:rPr>
        <w:t xml:space="preserve"> </w:t>
      </w:r>
      <w:r w:rsidRPr="000D5434">
        <w:rPr>
          <w:iCs/>
          <w:szCs w:val="22"/>
          <w:lang w:val="es-ES"/>
        </w:rPr>
        <w:t>Una patente es un acuerdo entre un inventor y un país.</w:t>
      </w:r>
      <w:r w:rsidR="00B834A4" w:rsidRPr="000D5434">
        <w:rPr>
          <w:iCs/>
          <w:szCs w:val="22"/>
          <w:lang w:val="es-ES"/>
        </w:rPr>
        <w:t xml:space="preserve"> </w:t>
      </w:r>
      <w:r w:rsidRPr="000D5434">
        <w:rPr>
          <w:iCs/>
          <w:szCs w:val="22"/>
          <w:lang w:val="es-ES"/>
        </w:rPr>
        <w:t>El acuerdo permite al propietario impedir a terceros fabricar, utilizar o comercializar la invención reivindicada.</w:t>
      </w:r>
      <w:r w:rsidRPr="000D5434">
        <w:rPr>
          <w:szCs w:val="22"/>
          <w:lang w:val="es-ES"/>
        </w:rPr>
        <w:t>”</w:t>
      </w:r>
      <w:r w:rsidRPr="000D5434">
        <w:rPr>
          <w:rStyle w:val="FootnoteReference"/>
          <w:szCs w:val="22"/>
          <w:lang w:val="es-ES"/>
        </w:rPr>
        <w:footnoteReference w:id="117"/>
      </w:r>
    </w:p>
    <w:p w:rsidR="00C0409B" w:rsidRPr="000D5434" w:rsidRDefault="00C0409B" w:rsidP="00103D66">
      <w:pPr>
        <w:pStyle w:val="ONUMFS"/>
        <w:numPr>
          <w:ilvl w:val="0"/>
          <w:numId w:val="0"/>
        </w:numPr>
        <w:rPr>
          <w:szCs w:val="22"/>
          <w:lang w:val="es-ES"/>
        </w:rPr>
      </w:pPr>
      <w:r w:rsidRPr="000D5434">
        <w:rPr>
          <w:szCs w:val="22"/>
          <w:lang w:val="es-ES"/>
        </w:rPr>
        <w:t xml:space="preserve">En el artículo 27.1 del </w:t>
      </w:r>
      <w:r w:rsidRPr="000D5434">
        <w:rPr>
          <w:i/>
          <w:szCs w:val="22"/>
          <w:lang w:val="es-ES"/>
        </w:rPr>
        <w:t>Acuerdo sobre los Derechos de Propiedad Intelectual relacionados con el Comercio</w:t>
      </w:r>
      <w:r w:rsidRPr="000D5434">
        <w:rPr>
          <w:szCs w:val="22"/>
          <w:lang w:val="es-ES"/>
        </w:rPr>
        <w:t xml:space="preserve"> (Acuerdo sobre los ADPIC)</w:t>
      </w:r>
      <w:r w:rsidR="005C21FD" w:rsidRPr="000D5434">
        <w:rPr>
          <w:szCs w:val="22"/>
          <w:lang w:val="es-ES"/>
        </w:rPr>
        <w:t>, de la Organización Mundial del Comercio (OMC),</w:t>
      </w:r>
      <w:r w:rsidRPr="000D5434">
        <w:rPr>
          <w:szCs w:val="22"/>
          <w:lang w:val="es-ES"/>
        </w:rPr>
        <w:t xml:space="preserve"> se estipula que </w:t>
      </w:r>
      <w:r w:rsidRPr="000D5434">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w:t>
      </w:r>
      <w:r w:rsidR="00B834A4" w:rsidRPr="000D5434">
        <w:rPr>
          <w:iCs/>
          <w:szCs w:val="22"/>
          <w:lang w:val="es-ES"/>
        </w:rPr>
        <w:t xml:space="preserve"> </w:t>
      </w:r>
      <w:r w:rsidRPr="000D5434">
        <w:rPr>
          <w:iCs/>
          <w:szCs w:val="22"/>
          <w:lang w:val="es-ES"/>
        </w:rPr>
        <w:t>[…] las patentes se podrán obtener y los derechos de patente se podrán gozar sin discriminación por el lugar de la invención, el campo de la tecnología o el hecho de que los productos sean importados o producidos en el país”.</w:t>
      </w:r>
    </w:p>
    <w:p w:rsidR="00C0409B" w:rsidRPr="000D5434" w:rsidRDefault="00C0409B" w:rsidP="00103D66">
      <w:pPr>
        <w:pStyle w:val="ONUMFS"/>
        <w:numPr>
          <w:ilvl w:val="0"/>
          <w:numId w:val="0"/>
        </w:numPr>
        <w:rPr>
          <w:b/>
          <w:bCs/>
          <w:szCs w:val="22"/>
          <w:lang w:val="es-ES"/>
        </w:rPr>
      </w:pPr>
      <w:r w:rsidRPr="000D5434">
        <w:rPr>
          <w:b/>
          <w:bCs/>
          <w:szCs w:val="22"/>
          <w:lang w:val="es-ES"/>
        </w:rPr>
        <w:t>Conservación</w:t>
      </w:r>
    </w:p>
    <w:p w:rsidR="00C0409B" w:rsidRPr="000D5434" w:rsidRDefault="00C0409B" w:rsidP="00103D66">
      <w:pPr>
        <w:pStyle w:val="ONUMFS"/>
        <w:numPr>
          <w:ilvl w:val="0"/>
          <w:numId w:val="0"/>
        </w:numPr>
        <w:rPr>
          <w:szCs w:val="22"/>
          <w:lang w:val="es-ES"/>
        </w:rPr>
      </w:pPr>
      <w:r w:rsidRPr="000D5434">
        <w:rPr>
          <w:szCs w:val="22"/>
          <w:lang w:val="es-ES"/>
        </w:rPr>
        <w:t>El concepto de conservación se basa en dos elementos amplios;</w:t>
      </w:r>
      <w:r w:rsidR="00B834A4" w:rsidRPr="000D5434">
        <w:rPr>
          <w:szCs w:val="22"/>
          <w:lang w:val="es-ES"/>
        </w:rPr>
        <w:t xml:space="preserve"> </w:t>
      </w:r>
      <w:r w:rsidRPr="000D5434">
        <w:rPr>
          <w:szCs w:val="22"/>
          <w:lang w:val="es-ES"/>
        </w:rPr>
        <w:t>en primer lugar, la conservación del contexto social y cultural en el que se enmarcan los conocimientos tradicionales, de manera que se mantenga el marco tradicional para facilitar, transmitir y gobernar el acceso a los conocimientos tradicionales;</w:t>
      </w:r>
      <w:r w:rsidR="00B834A4" w:rsidRPr="000D5434">
        <w:rPr>
          <w:szCs w:val="22"/>
          <w:lang w:val="es-ES"/>
        </w:rPr>
        <w:t xml:space="preserve"> </w:t>
      </w:r>
      <w:r w:rsidRPr="000D5434">
        <w:rPr>
          <w:szCs w:val="22"/>
          <w:lang w:val="es-ES"/>
        </w:rPr>
        <w:t>y en segundo lugar, la conservación de los conocimientos tradicionales en forma fija, como cuando se catalogan los conocimientos tradicionales técnicos o medicinales.</w:t>
      </w:r>
      <w:r w:rsidR="00B834A4" w:rsidRPr="000D5434">
        <w:rPr>
          <w:szCs w:val="22"/>
          <w:lang w:val="es-ES"/>
        </w:rPr>
        <w:t xml:space="preserve"> </w:t>
      </w:r>
      <w:r w:rsidRPr="000D5434">
        <w:rPr>
          <w:szCs w:val="22"/>
          <w:lang w:val="es-ES"/>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0D5434">
        <w:rPr>
          <w:rStyle w:val="FootnoteReference"/>
          <w:szCs w:val="22"/>
          <w:lang w:val="es-ES"/>
        </w:rPr>
        <w:footnoteReference w:id="118"/>
      </w:r>
    </w:p>
    <w:p w:rsidR="00C0409B" w:rsidRPr="000D5434" w:rsidRDefault="00C0409B" w:rsidP="00103D66">
      <w:pPr>
        <w:pStyle w:val="ONUMFS"/>
        <w:numPr>
          <w:ilvl w:val="0"/>
          <w:numId w:val="0"/>
        </w:numPr>
        <w:rPr>
          <w:szCs w:val="22"/>
          <w:lang w:val="es-ES"/>
        </w:rPr>
      </w:pPr>
      <w:r w:rsidRPr="000D5434">
        <w:rPr>
          <w:szCs w:val="22"/>
          <w:lang w:val="es-ES"/>
        </w:rPr>
        <w:t>“La legislación y los programas relativos a la salvaguardia y la promoción del patrimonio vivo, que son ajenos al sistema de P.I., cumplen una útil función a la hora de complementar las leyes relativas a la protección en materia de P.I.”.</w:t>
      </w:r>
      <w:r w:rsidR="00B834A4" w:rsidRPr="000D5434">
        <w:rPr>
          <w:szCs w:val="22"/>
          <w:lang w:val="es-ES"/>
        </w:rPr>
        <w:t xml:space="preserve"> </w:t>
      </w:r>
      <w:r w:rsidRPr="000D5434">
        <w:rPr>
          <w:szCs w:val="22"/>
          <w:lang w:val="es-ES"/>
        </w:rPr>
        <w:t xml:space="preserve">“Otros sistemas jurídicos internacionales, como el </w:t>
      </w:r>
      <w:r w:rsidRPr="000D5434">
        <w:rPr>
          <w:i/>
          <w:szCs w:val="22"/>
          <w:lang w:val="es-ES"/>
        </w:rPr>
        <w:t xml:space="preserve">Convenio sobre la Diversidad Biológica </w:t>
      </w:r>
      <w:r w:rsidRPr="000D5434">
        <w:rPr>
          <w:szCs w:val="22"/>
          <w:lang w:val="es-ES"/>
        </w:rPr>
        <w:t>(1992) y la UNESCO, se ocupan de los aspectos relacionados con la conservación, conservación y salvaguardia de los conocimientos tradicionales en el contexto de sus respectivas políticas”.</w:t>
      </w:r>
      <w:r w:rsidRPr="000D5434">
        <w:rPr>
          <w:rStyle w:val="FootnoteReference"/>
          <w:szCs w:val="22"/>
          <w:lang w:val="es-ES"/>
        </w:rPr>
        <w:footnoteReference w:id="119"/>
      </w:r>
    </w:p>
    <w:p w:rsidR="00C0409B" w:rsidRPr="000D5434" w:rsidRDefault="00C0409B" w:rsidP="00103D66">
      <w:pPr>
        <w:pStyle w:val="ONUMFS"/>
        <w:numPr>
          <w:ilvl w:val="0"/>
          <w:numId w:val="0"/>
        </w:numPr>
        <w:rPr>
          <w:b/>
          <w:bCs/>
          <w:szCs w:val="22"/>
          <w:lang w:val="es-ES"/>
        </w:rPr>
      </w:pPr>
      <w:r w:rsidRPr="000D5434">
        <w:rPr>
          <w:b/>
          <w:bCs/>
          <w:szCs w:val="22"/>
          <w:lang w:val="es-ES"/>
        </w:rPr>
        <w:t>Consentimiento fundamentado previo</w:t>
      </w:r>
    </w:p>
    <w:p w:rsidR="00C0409B" w:rsidRPr="000D5434" w:rsidRDefault="00C0409B" w:rsidP="00103D66">
      <w:pPr>
        <w:pStyle w:val="ONUMFS"/>
        <w:numPr>
          <w:ilvl w:val="0"/>
          <w:numId w:val="0"/>
        </w:numPr>
        <w:rPr>
          <w:szCs w:val="22"/>
          <w:lang w:val="es-ES"/>
        </w:rPr>
      </w:pPr>
      <w:r w:rsidRPr="000D5434">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0D5434">
        <w:rPr>
          <w:i/>
          <w:szCs w:val="22"/>
          <w:lang w:val="es-ES"/>
        </w:rPr>
        <w:t>Convenio de Basilea sobre el control de los movimientos transfronterizos de los desechos peligrosos y su eliminación</w:t>
      </w:r>
      <w:r w:rsidRPr="000D5434">
        <w:rPr>
          <w:szCs w:val="22"/>
          <w:lang w:val="es-ES"/>
        </w:rPr>
        <w:t xml:space="preserve">, </w:t>
      </w:r>
      <w:r w:rsidR="005C21FD" w:rsidRPr="000D5434">
        <w:rPr>
          <w:szCs w:val="22"/>
          <w:lang w:val="es-ES"/>
        </w:rPr>
        <w:t xml:space="preserve">de 1989, </w:t>
      </w:r>
      <w:r w:rsidRPr="000D5434">
        <w:rPr>
          <w:szCs w:val="22"/>
          <w:lang w:val="es-ES"/>
        </w:rPr>
        <w:t xml:space="preserve">y en el </w:t>
      </w:r>
      <w:r w:rsidRPr="000D5434">
        <w:rPr>
          <w:i/>
          <w:szCs w:val="22"/>
          <w:lang w:val="es-ES"/>
        </w:rPr>
        <w:t xml:space="preserve">Convenio sobre la Diversidad Biológica </w:t>
      </w:r>
      <w:r w:rsidRPr="000D5434">
        <w:rPr>
          <w:szCs w:val="22"/>
          <w:lang w:val="es-ES"/>
        </w:rPr>
        <w:t>(1992).</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al acceso a recursos genéticos, en el artículo 15.5 del </w:t>
      </w:r>
      <w:r w:rsidRPr="000D5434">
        <w:rPr>
          <w:i/>
          <w:szCs w:val="22"/>
          <w:lang w:val="es-ES"/>
        </w:rPr>
        <w:t>CDB</w:t>
      </w:r>
      <w:r w:rsidRPr="000D5434">
        <w:rPr>
          <w:szCs w:val="22"/>
          <w:lang w:val="es-ES"/>
        </w:rPr>
        <w:t xml:space="preserve"> se estipula que “estará sometido al consentimiento fundamentado previo de la Parte Contratante que proporciona los recursos, a menos que esa Parte decida otra cosa”.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16.1)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0D5434" w:rsidRDefault="00C0409B" w:rsidP="00103D66">
      <w:pPr>
        <w:pStyle w:val="ONUMFS"/>
        <w:numPr>
          <w:ilvl w:val="0"/>
          <w:numId w:val="0"/>
        </w:numPr>
        <w:rPr>
          <w:szCs w:val="22"/>
          <w:lang w:val="es-ES"/>
        </w:rPr>
      </w:pPr>
      <w:r w:rsidRPr="000D5434">
        <w:rPr>
          <w:szCs w:val="22"/>
          <w:lang w:val="es-ES"/>
        </w:rPr>
        <w:t>El concepto tiene su origen en la ética médica, en cuyo marco el paciente tiene derecho a aceptar o rechazar un determinado tratamiento médico tras haber sido informado de todos los riesgos y beneficios del mismo.</w:t>
      </w:r>
      <w:r w:rsidR="00B834A4" w:rsidRPr="000D5434">
        <w:rPr>
          <w:szCs w:val="22"/>
          <w:lang w:val="es-ES"/>
        </w:rPr>
        <w:t xml:space="preserve"> </w:t>
      </w:r>
      <w:r w:rsidRPr="000D5434">
        <w:rPr>
          <w:szCs w:val="22"/>
          <w:lang w:val="es-ES"/>
        </w:rPr>
        <w:t xml:space="preserve">Por ejemplo, en el artículo 5 de la </w:t>
      </w:r>
      <w:r w:rsidRPr="000D5434">
        <w:rPr>
          <w:i/>
          <w:szCs w:val="22"/>
          <w:lang w:val="es-ES"/>
        </w:rPr>
        <w:t>Declaración Universal sobre el Genoma Humano y los Derechos Humanos</w:t>
      </w:r>
      <w:r w:rsidRPr="000D5434">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00B834A4" w:rsidRPr="000D5434">
        <w:rPr>
          <w:szCs w:val="22"/>
          <w:lang w:val="es-ES"/>
        </w:rPr>
        <w:t xml:space="preserve"> </w:t>
      </w:r>
      <w:r w:rsidRPr="000D5434">
        <w:rPr>
          <w:szCs w:val="22"/>
          <w:lang w:val="es-ES"/>
        </w:rPr>
        <w:t xml:space="preserve">En el artículo 6 de la </w:t>
      </w:r>
      <w:r w:rsidRPr="000D5434">
        <w:rPr>
          <w:i/>
          <w:szCs w:val="22"/>
          <w:lang w:val="es-ES"/>
        </w:rPr>
        <w:t>Declaración sobre Bioética y Derechos Humanos</w:t>
      </w:r>
      <w:r w:rsidRPr="000D5434">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0D5434" w:rsidRDefault="00C0409B" w:rsidP="00103D66">
      <w:pPr>
        <w:pStyle w:val="ONUMFS"/>
        <w:numPr>
          <w:ilvl w:val="0"/>
          <w:numId w:val="0"/>
        </w:numPr>
        <w:rPr>
          <w:szCs w:val="22"/>
          <w:lang w:val="es-ES"/>
        </w:rPr>
      </w:pPr>
      <w:r w:rsidRPr="000D5434">
        <w:rPr>
          <w:szCs w:val="22"/>
          <w:lang w:val="es-ES"/>
        </w:rPr>
        <w:t>El concepto ha sido acuñado con el fin de poner en vigor el principio general de la participación de los pueblos indígenas en la decisión, elaboración, ejecución y evaluación de los programas que los afecten.</w:t>
      </w:r>
      <w:r w:rsidRPr="000D5434">
        <w:rPr>
          <w:rStyle w:val="FootnoteReference"/>
          <w:szCs w:val="22"/>
          <w:lang w:val="es-ES"/>
        </w:rPr>
        <w:footnoteReference w:id="120"/>
      </w:r>
    </w:p>
    <w:p w:rsidR="00C0409B" w:rsidRPr="000D5434" w:rsidRDefault="00C0409B" w:rsidP="00103D66">
      <w:pPr>
        <w:pStyle w:val="ONUMFS"/>
        <w:numPr>
          <w:ilvl w:val="0"/>
          <w:numId w:val="0"/>
        </w:numPr>
        <w:rPr>
          <w:szCs w:val="22"/>
          <w:lang w:val="es-ES"/>
        </w:rPr>
      </w:pPr>
      <w:r w:rsidRPr="000D5434">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w:t>
      </w:r>
      <w:r w:rsidR="00B834A4" w:rsidRPr="000D5434">
        <w:rPr>
          <w:szCs w:val="22"/>
          <w:lang w:val="es-ES"/>
        </w:rPr>
        <w:t xml:space="preserve"> </w:t>
      </w:r>
      <w:r w:rsidRPr="000D5434">
        <w:rPr>
          <w:szCs w:val="22"/>
          <w:lang w:val="es-ES"/>
        </w:rPr>
        <w:t>Además se tiene en cuenta la realidad existente, especialmente cuando se trata de las grandes inversiones en el campo del desarrollo, que por lo general se deciden sin consultar a los pueblos indígenas.</w:t>
      </w:r>
      <w:r w:rsidR="00B834A4" w:rsidRPr="000D5434">
        <w:rPr>
          <w:szCs w:val="22"/>
          <w:lang w:val="es-ES"/>
        </w:rPr>
        <w:t xml:space="preserve"> </w:t>
      </w:r>
      <w:r w:rsidRPr="000D5434">
        <w:rPr>
          <w:szCs w:val="22"/>
          <w:lang w:val="es-ES"/>
        </w:rPr>
        <w:t>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0D5434" w:rsidRDefault="00C0409B" w:rsidP="00103D66">
      <w:pPr>
        <w:pStyle w:val="ONUMFS"/>
        <w:numPr>
          <w:ilvl w:val="0"/>
          <w:numId w:val="0"/>
        </w:numPr>
        <w:rPr>
          <w:szCs w:val="22"/>
          <w:lang w:val="es-ES"/>
        </w:rPr>
      </w:pPr>
      <w:r w:rsidRPr="000D5434">
        <w:rPr>
          <w:szCs w:val="22"/>
          <w:lang w:val="es-ES"/>
        </w:rPr>
        <w:t>El “consentimiento” es el proceso que se funda en relaciones de confianza y por cuyo medio se confiere la autorización.</w:t>
      </w:r>
      <w:r w:rsidR="00B834A4" w:rsidRPr="000D5434">
        <w:rPr>
          <w:szCs w:val="22"/>
          <w:lang w:val="es-ES"/>
        </w:rPr>
        <w:t xml:space="preserve"> </w:t>
      </w:r>
      <w:r w:rsidRPr="000D5434">
        <w:rPr>
          <w:szCs w:val="22"/>
          <w:lang w:val="es-ES"/>
        </w:rPr>
        <w:t>El requisito del consentimiento fundamentado obliga a explicar con claridad los posibles beneficios, consecuencias y uso futuro [de las expresiones culturales tradicionales], así como a exponer las cláusulas del correspondiente contrato.</w:t>
      </w:r>
      <w:r w:rsidR="00B834A4" w:rsidRPr="000D5434">
        <w:rPr>
          <w:szCs w:val="22"/>
          <w:lang w:val="es-ES"/>
        </w:rPr>
        <w:t xml:space="preserve"> </w:t>
      </w:r>
      <w:r w:rsidRPr="000D5434">
        <w:rPr>
          <w:szCs w:val="22"/>
          <w:lang w:val="es-ES"/>
        </w:rPr>
        <w:t>Es preciso que el proceso sea totalmente transparente y que los pueblos indígenas puedan entender sin resquicio de duda el lenguaje empleado.</w:t>
      </w:r>
      <w:r w:rsidRPr="000D5434">
        <w:rPr>
          <w:rStyle w:val="FootnoteReference"/>
          <w:szCs w:val="22"/>
          <w:lang w:val="es-ES"/>
        </w:rPr>
        <w:footnoteReference w:id="121"/>
      </w:r>
    </w:p>
    <w:p w:rsidR="00C0409B" w:rsidRPr="000D5434" w:rsidRDefault="00C0409B" w:rsidP="00103D66">
      <w:pPr>
        <w:pStyle w:val="ONUMFS"/>
        <w:numPr>
          <w:ilvl w:val="0"/>
          <w:numId w:val="0"/>
        </w:numPr>
        <w:rPr>
          <w:b/>
          <w:bCs/>
          <w:kern w:val="36"/>
          <w:szCs w:val="22"/>
          <w:lang w:val="es-ES"/>
        </w:rPr>
      </w:pPr>
      <w:r w:rsidRPr="000D5434">
        <w:rPr>
          <w:b/>
          <w:bCs/>
          <w:kern w:val="36"/>
          <w:szCs w:val="22"/>
          <w:lang w:val="es-ES"/>
        </w:rPr>
        <w:t>Estado de la técnica</w:t>
      </w:r>
    </w:p>
    <w:p w:rsidR="00C0409B" w:rsidRPr="000D5434" w:rsidRDefault="00C0409B" w:rsidP="00103D66">
      <w:pPr>
        <w:pStyle w:val="ONUMFS"/>
        <w:numPr>
          <w:ilvl w:val="0"/>
          <w:numId w:val="0"/>
        </w:numPr>
        <w:rPr>
          <w:szCs w:val="22"/>
          <w:lang w:val="es-ES"/>
        </w:rPr>
      </w:pPr>
      <w:r w:rsidRPr="000D5434">
        <w:rPr>
          <w:szCs w:val="22"/>
          <w:lang w:val="es-ES"/>
        </w:rPr>
        <w:t>En términos generales, el estado de la técnica es toda la información que ya existía antes de la presentación de la solicitud o la fecha de prioridad de una solicitud de patente, en forma escrita o divulgada oralmente.</w:t>
      </w:r>
      <w:r w:rsidR="00B834A4" w:rsidRPr="000D5434">
        <w:rPr>
          <w:szCs w:val="22"/>
          <w:lang w:val="es-ES"/>
        </w:rPr>
        <w:t xml:space="preserve"> </w:t>
      </w:r>
      <w:r w:rsidRPr="000D5434">
        <w:rPr>
          <w:szCs w:val="22"/>
          <w:lang w:val="es-ES"/>
        </w:rPr>
        <w:t>Algunos instrumentos jurídicos distinguen entre publicación impresa, divulgación oral y utilización anterior y en qué momento se produjeron tales divulgaciones o sacaron a la luz tales publicaciones.</w:t>
      </w:r>
      <w:r w:rsidRPr="000D5434">
        <w:rPr>
          <w:rStyle w:val="FootnoteReference"/>
          <w:szCs w:val="22"/>
          <w:lang w:val="es-ES"/>
        </w:rPr>
        <w:footnoteReference w:id="122"/>
      </w:r>
    </w:p>
    <w:p w:rsidR="00C0409B" w:rsidRPr="000D5434" w:rsidRDefault="00C0409B" w:rsidP="00103D66">
      <w:pPr>
        <w:pStyle w:val="ONUMFS"/>
        <w:numPr>
          <w:ilvl w:val="0"/>
          <w:numId w:val="0"/>
        </w:numPr>
        <w:rPr>
          <w:szCs w:val="22"/>
          <w:lang w:val="es-ES"/>
        </w:rPr>
      </w:pPr>
      <w:r w:rsidRPr="000D5434">
        <w:rPr>
          <w:szCs w:val="22"/>
          <w:lang w:val="es-ES"/>
        </w:rPr>
        <w:t xml:space="preserve">A los efectos del PCT, en la </w:t>
      </w:r>
      <w:r w:rsidR="00D87BB6" w:rsidRPr="000D5434">
        <w:rPr>
          <w:szCs w:val="22"/>
          <w:lang w:val="es-ES"/>
        </w:rPr>
        <w:t>Regla </w:t>
      </w:r>
      <w:r w:rsidRPr="000D5434">
        <w:rPr>
          <w:szCs w:val="22"/>
          <w:lang w:val="es-ES"/>
        </w:rPr>
        <w:t>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0D5434" w:rsidRDefault="00C0409B" w:rsidP="00103D66">
      <w:pPr>
        <w:pStyle w:val="ONUMFS"/>
        <w:numPr>
          <w:ilvl w:val="0"/>
          <w:numId w:val="0"/>
        </w:numPr>
        <w:rPr>
          <w:szCs w:val="22"/>
          <w:lang w:val="es-ES"/>
        </w:rPr>
      </w:pPr>
      <w:r w:rsidRPr="000D5434">
        <w:rPr>
          <w:szCs w:val="22"/>
          <w:lang w:val="es-ES"/>
        </w:rPr>
        <w:t xml:space="preserve">En el caso de Europa, en el artículo 54.2 del </w:t>
      </w:r>
      <w:r w:rsidRPr="000D5434">
        <w:rPr>
          <w:i/>
          <w:szCs w:val="22"/>
          <w:lang w:val="es-ES"/>
        </w:rPr>
        <w:t>Convenio sobre la Patente Europea</w:t>
      </w:r>
      <w:r w:rsidRPr="000D5434">
        <w:rPr>
          <w:szCs w:val="22"/>
          <w:lang w:val="es-ES"/>
        </w:rPr>
        <w:t xml:space="preserve"> se define el término equivalente:</w:t>
      </w:r>
      <w:r w:rsidR="00B834A4" w:rsidRPr="000D5434">
        <w:rPr>
          <w:szCs w:val="22"/>
          <w:lang w:val="es-ES"/>
        </w:rPr>
        <w:t xml:space="preserve"> </w:t>
      </w:r>
      <w:r w:rsidRPr="000D5434">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sidRPr="000D5434">
        <w:rPr>
          <w:szCs w:val="22"/>
          <w:lang w:val="es-ES"/>
        </w:rPr>
        <w:t xml:space="preserve"> </w:t>
      </w:r>
      <w:r w:rsidRPr="000D5434">
        <w:rPr>
          <w:szCs w:val="22"/>
          <w:lang w:val="es-ES"/>
        </w:rPr>
        <w:t xml:space="preserve">En referencia a esta disposición del Convenio sobre la Patente Europea, en las </w:t>
      </w:r>
      <w:r w:rsidRPr="000D5434">
        <w:rPr>
          <w:i/>
          <w:szCs w:val="22"/>
          <w:lang w:val="es-ES"/>
        </w:rPr>
        <w:t>Directrices de Examen de la Oficina Europea de Patentes</w:t>
      </w:r>
      <w:r w:rsidRPr="000D5434">
        <w:rPr>
          <w:szCs w:val="22"/>
          <w:lang w:val="es-ES"/>
        </w:rPr>
        <w:t xml:space="preserve"> (OEP) se señala que “[…] conviene tener en cuenta que esta definición es amplia.</w:t>
      </w:r>
      <w:r w:rsidR="00B834A4" w:rsidRPr="000D5434">
        <w:rPr>
          <w:szCs w:val="22"/>
          <w:lang w:val="es-ES"/>
        </w:rPr>
        <w:t xml:space="preserve"> </w:t>
      </w:r>
      <w:r w:rsidRPr="000D5434">
        <w:rPr>
          <w:szCs w:val="22"/>
          <w:lang w:val="es-ES"/>
        </w:rPr>
        <w:t>No se establece restricción alguna en lo que respecta al lugar geográfico, la forma y el idioma en que el estado de la técnica fue puesto a disposición del público.</w:t>
      </w:r>
      <w:r w:rsidR="00B834A4" w:rsidRPr="000D5434">
        <w:rPr>
          <w:szCs w:val="22"/>
          <w:lang w:val="es-ES"/>
        </w:rPr>
        <w:t xml:space="preserve"> </w:t>
      </w:r>
      <w:r w:rsidRPr="000D5434">
        <w:rPr>
          <w:szCs w:val="22"/>
          <w:lang w:val="es-ES"/>
        </w:rPr>
        <w:t>Por otra parte, tampoco se ha establecido ningún límite de antigüedad con respecto a los documentos u otras fuentes de información.</w:t>
      </w:r>
      <w:r w:rsidR="00B834A4" w:rsidRPr="000D5434">
        <w:rPr>
          <w:szCs w:val="22"/>
          <w:lang w:val="es-ES"/>
        </w:rPr>
        <w:t xml:space="preserve"> </w:t>
      </w:r>
      <w:r w:rsidR="00992FE7" w:rsidRPr="000D5434">
        <w:rPr>
          <w:szCs w:val="22"/>
          <w:lang w:val="es-ES"/>
        </w:rPr>
        <w:t>Sin embargo, e</w:t>
      </w:r>
      <w:r w:rsidRPr="000D5434">
        <w:rPr>
          <w:szCs w:val="22"/>
          <w:lang w:val="es-ES"/>
        </w:rPr>
        <w:t xml:space="preserve">xisten ciertas restricciones particulares” (véase </w:t>
      </w:r>
      <w:r w:rsidR="00992FE7" w:rsidRPr="000D5434">
        <w:rPr>
          <w:szCs w:val="22"/>
          <w:lang w:val="es-ES"/>
        </w:rPr>
        <w:t xml:space="preserve">G a </w:t>
      </w:r>
      <w:r w:rsidRPr="000D5434">
        <w:rPr>
          <w:szCs w:val="22"/>
          <w:lang w:val="es-ES"/>
        </w:rPr>
        <w:t>V</w:t>
      </w:r>
      <w:r w:rsidR="00992FE7" w:rsidRPr="000D5434">
        <w:rPr>
          <w:szCs w:val="22"/>
          <w:lang w:val="es-ES"/>
        </w:rPr>
        <w:t>)</w:t>
      </w:r>
      <w:r w:rsidRPr="000D5434">
        <w:rPr>
          <w:szCs w:val="22"/>
          <w:lang w:val="es-ES"/>
        </w:rPr>
        <w:t>.</w:t>
      </w:r>
    </w:p>
    <w:p w:rsidR="00992FE7"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w:t>
      </w:r>
      <w:r w:rsidR="00992FE7" w:rsidRPr="000D5434">
        <w:rPr>
          <w:szCs w:val="22"/>
          <w:lang w:val="es-ES"/>
        </w:rPr>
        <w:t xml:space="preserve"> de América</w:t>
      </w:r>
      <w:r w:rsidRPr="000D5434">
        <w:rPr>
          <w:szCs w:val="22"/>
          <w:lang w:val="es-ES"/>
        </w:rPr>
        <w:t xml:space="preserve">, el término “estado de la técnica” se define indirectamente mediante el concepto de novedad como </w:t>
      </w:r>
      <w:r w:rsidR="00992FE7" w:rsidRPr="000D5434">
        <w:rPr>
          <w:szCs w:val="22"/>
          <w:lang w:val="es-ES"/>
        </w:rPr>
        <w:t>toda materia que haya sido patentada o esté descrita en una publicación impresa, o sea de uso público, haya estado en venta o de otra forma disponible al público antes de la fecha de presentación de la solicitud correspondiente a la invención reivindicada;</w:t>
      </w:r>
      <w:r w:rsidR="00B834A4" w:rsidRPr="000D5434">
        <w:rPr>
          <w:szCs w:val="22"/>
          <w:lang w:val="es-ES"/>
        </w:rPr>
        <w:t xml:space="preserve"> </w:t>
      </w:r>
      <w:r w:rsidR="00992FE7" w:rsidRPr="000D5434">
        <w:rPr>
          <w:szCs w:val="22"/>
          <w:lang w:val="es-ES"/>
        </w:rPr>
        <w:t>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00992FE7" w:rsidRPr="000D5434">
        <w:rPr>
          <w:rStyle w:val="FootnoteReference"/>
          <w:szCs w:val="22"/>
          <w:lang w:val="es-ES"/>
        </w:rPr>
        <w:footnoteReference w:id="123"/>
      </w:r>
    </w:p>
    <w:p w:rsidR="00C0409B" w:rsidRPr="000D5434" w:rsidRDefault="00C0409B" w:rsidP="00103D66">
      <w:pPr>
        <w:pStyle w:val="ONUMFS"/>
        <w:numPr>
          <w:ilvl w:val="0"/>
          <w:numId w:val="0"/>
        </w:numPr>
        <w:rPr>
          <w:szCs w:val="22"/>
          <w:lang w:val="es-ES"/>
        </w:rPr>
      </w:pPr>
      <w:r w:rsidRPr="000D5434">
        <w:rPr>
          <w:szCs w:val="22"/>
          <w:lang w:val="es-ES"/>
        </w:rPr>
        <w:t>En el artículo 29 de la Ley de Patentes del Japón, el término “estado de la técnica” se define como:</w:t>
      </w:r>
      <w:r w:rsidR="00B834A4" w:rsidRPr="000D5434">
        <w:rPr>
          <w:szCs w:val="22"/>
          <w:lang w:val="es-ES"/>
        </w:rPr>
        <w:t xml:space="preserve"> </w:t>
      </w:r>
      <w:r w:rsidRPr="000D5434">
        <w:rPr>
          <w:szCs w:val="22"/>
          <w:lang w:val="es-ES"/>
        </w:rPr>
        <w:t>“i) invenciones que fueran notoriamente conocidas en el Japón o en otro país antes de la presentación de la solicitud de patente;</w:t>
      </w:r>
      <w:r w:rsidR="00B834A4" w:rsidRPr="000D5434">
        <w:rPr>
          <w:szCs w:val="22"/>
          <w:lang w:val="es-ES"/>
        </w:rPr>
        <w:t xml:space="preserve"> </w:t>
      </w:r>
      <w:r w:rsidRPr="000D5434">
        <w:rPr>
          <w:szCs w:val="22"/>
          <w:lang w:val="es-ES"/>
        </w:rPr>
        <w:t>ii) invenciones que hayan sido elaboradas públicamente en el Japón o en otro país antes de la presentación de la solicitud de patente;</w:t>
      </w:r>
      <w:r w:rsidR="00B834A4" w:rsidRPr="000D5434">
        <w:rPr>
          <w:szCs w:val="22"/>
          <w:lang w:val="es-ES"/>
        </w:rPr>
        <w:t xml:space="preserve"> </w:t>
      </w:r>
      <w:r w:rsidRPr="000D5434">
        <w:rPr>
          <w:szCs w:val="22"/>
          <w:lang w:val="es-ES"/>
        </w:rPr>
        <w:t>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B834A4" w:rsidRPr="000D5434">
        <w:rPr>
          <w:szCs w:val="22"/>
          <w:lang w:val="es-ES"/>
        </w:rPr>
        <w:t xml:space="preserve"> </w:t>
      </w:r>
      <w:r w:rsidRPr="000D5434">
        <w:rPr>
          <w:szCs w:val="22"/>
          <w:lang w:val="es-ES"/>
        </w:rPr>
        <w:t>(Traducción de la Oficina Internacional).</w:t>
      </w:r>
      <w:r w:rsidR="00992FE7" w:rsidRPr="000D5434">
        <w:rPr>
          <w:vertAlign w:val="superscript"/>
          <w:lang w:val="es-ES" w:eastAsia="en-US" w:bidi="th-TH"/>
        </w:rPr>
        <w:t xml:space="preserve"> </w:t>
      </w:r>
      <w:r w:rsidR="00992FE7" w:rsidRPr="000D5434">
        <w:rPr>
          <w:szCs w:val="22"/>
          <w:vertAlign w:val="superscript"/>
          <w:lang w:val="es-ES"/>
        </w:rPr>
        <w:footnoteReference w:id="124"/>
      </w:r>
    </w:p>
    <w:p w:rsidR="00C0409B" w:rsidRPr="000D5434" w:rsidRDefault="00C0409B" w:rsidP="00103D66">
      <w:pPr>
        <w:pStyle w:val="ONUMFS"/>
        <w:numPr>
          <w:ilvl w:val="0"/>
          <w:numId w:val="0"/>
        </w:numPr>
        <w:rPr>
          <w:b/>
          <w:bCs/>
          <w:szCs w:val="22"/>
          <w:lang w:val="es-ES"/>
        </w:rPr>
      </w:pPr>
      <w:r w:rsidRPr="000D5434">
        <w:rPr>
          <w:b/>
          <w:bCs/>
          <w:szCs w:val="22"/>
          <w:lang w:val="es-ES"/>
        </w:rPr>
        <w:t>Protección</w:t>
      </w:r>
    </w:p>
    <w:p w:rsidR="00C0409B" w:rsidRPr="000D5434" w:rsidRDefault="00C0409B" w:rsidP="00103D66">
      <w:pPr>
        <w:pStyle w:val="ONUMFS"/>
        <w:numPr>
          <w:ilvl w:val="0"/>
          <w:numId w:val="0"/>
        </w:numPr>
        <w:rPr>
          <w:szCs w:val="22"/>
          <w:lang w:val="es-ES"/>
        </w:rPr>
      </w:pPr>
      <w:r w:rsidRPr="000D5434">
        <w:rPr>
          <w:szCs w:val="22"/>
          <w:lang w:val="es-ES"/>
        </w:rPr>
        <w:t>En el contexto del CIG, por “protección” se entiende generalmente la protección de los conocimientos tradicionales y las expresiones culturales tradicionales contra algún tipo de utilización no autorizada por terceros.</w:t>
      </w:r>
      <w:r w:rsidRPr="000D5434">
        <w:rPr>
          <w:rStyle w:val="FootnoteReference"/>
          <w:szCs w:val="22"/>
          <w:lang w:val="es-ES"/>
        </w:rPr>
        <w:footnoteReference w:id="125"/>
      </w:r>
      <w:r w:rsidR="00B834A4" w:rsidRPr="000D5434">
        <w:rPr>
          <w:szCs w:val="22"/>
          <w:lang w:val="es-ES"/>
        </w:rPr>
        <w:t xml:space="preserve"> </w:t>
      </w:r>
      <w:r w:rsidRPr="000D5434">
        <w:rPr>
          <w:szCs w:val="22"/>
          <w:lang w:val="es-ES"/>
        </w:rPr>
        <w:t>Se han desarrollado y aplicado dos formas de protección.</w:t>
      </w:r>
    </w:p>
    <w:p w:rsidR="00C0409B" w:rsidRPr="000D5434" w:rsidRDefault="00C0409B" w:rsidP="00103D66">
      <w:pPr>
        <w:pStyle w:val="ONUMFS"/>
        <w:numPr>
          <w:ilvl w:val="0"/>
          <w:numId w:val="0"/>
        </w:numPr>
        <w:rPr>
          <w:szCs w:val="22"/>
          <w:lang w:val="es-ES"/>
        </w:rPr>
      </w:pPr>
      <w:r w:rsidRPr="000D5434">
        <w:rPr>
          <w:i/>
          <w:iCs/>
          <w:szCs w:val="22"/>
          <w:u w:val="single"/>
          <w:lang w:val="es-ES"/>
        </w:rPr>
        <w:t>Protección positiva</w:t>
      </w:r>
    </w:p>
    <w:p w:rsidR="00C0409B" w:rsidRPr="000D5434" w:rsidRDefault="00C0409B" w:rsidP="00103D66">
      <w:pPr>
        <w:pStyle w:val="ONUMFS"/>
        <w:numPr>
          <w:ilvl w:val="0"/>
          <w:numId w:val="0"/>
        </w:numPr>
        <w:rPr>
          <w:szCs w:val="22"/>
          <w:lang w:val="es-ES"/>
        </w:rPr>
      </w:pPr>
      <w:r w:rsidRPr="000D5434">
        <w:rPr>
          <w:szCs w:val="22"/>
          <w:lang w:val="es-ES"/>
        </w:rPr>
        <w:t>Se han estudiado dos aspectos de la protección positiva de los conocimientos tradicionales y las expresiones culturales tradicionales por medio de los derechos de propiedad intelectual;</w:t>
      </w:r>
      <w:r w:rsidR="00B834A4" w:rsidRPr="000D5434">
        <w:rPr>
          <w:szCs w:val="22"/>
          <w:lang w:val="es-ES"/>
        </w:rPr>
        <w:t xml:space="preserve"> </w:t>
      </w:r>
      <w:r w:rsidRPr="000D5434">
        <w:rPr>
          <w:szCs w:val="22"/>
          <w:lang w:val="es-ES"/>
        </w:rPr>
        <w:t>el primero de ellos se aplica a la protección que impide el uso no autorizado, mientras el segundo guarda relación con la explotación activa de los conocimientos tradicionales y las expresiones culturales tradicionales por la propia comunidad de origen.</w:t>
      </w:r>
      <w:r w:rsidR="00B834A4" w:rsidRPr="000D5434">
        <w:rPr>
          <w:szCs w:val="22"/>
          <w:lang w:val="es-ES"/>
        </w:rPr>
        <w:t xml:space="preserve"> </w:t>
      </w:r>
      <w:r w:rsidRPr="000D5434">
        <w:rPr>
          <w:szCs w:val="22"/>
          <w:lang w:val="es-ES"/>
        </w:rPr>
        <w:t>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0D5434">
        <w:rPr>
          <w:rStyle w:val="FootnoteReference"/>
          <w:szCs w:val="22"/>
          <w:lang w:val="es-ES"/>
        </w:rPr>
        <w:footnoteReference w:id="126"/>
      </w:r>
      <w:r w:rsidR="00B834A4" w:rsidRPr="000D5434">
        <w:rPr>
          <w:szCs w:val="22"/>
          <w:lang w:val="es-ES"/>
        </w:rPr>
        <w:t xml:space="preserve"> </w:t>
      </w:r>
      <w:r w:rsidRPr="000D5434">
        <w:rPr>
          <w:szCs w:val="22"/>
          <w:lang w:val="es-ES"/>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w:t>
      </w:r>
      <w:r w:rsidR="00B834A4" w:rsidRPr="000D5434">
        <w:rPr>
          <w:szCs w:val="22"/>
          <w:lang w:val="es-ES"/>
        </w:rPr>
        <w:t xml:space="preserve"> </w:t>
      </w:r>
      <w:r w:rsidRPr="000D5434">
        <w:rPr>
          <w:szCs w:val="22"/>
          <w:lang w:val="es-ES"/>
        </w:rPr>
        <w:t>sin embargo, los poseedores de conocimientos tradicionales y de expresiones culturales tradicionales también podrán utilizar ese tipo de protección para establecer sus propias empresas sobre la base de tales conocimientos.</w:t>
      </w:r>
      <w:r w:rsidRPr="000D5434">
        <w:rPr>
          <w:rStyle w:val="FootnoteReference"/>
          <w:szCs w:val="22"/>
          <w:lang w:val="es-ES"/>
        </w:rPr>
        <w:footnoteReference w:id="127"/>
      </w:r>
    </w:p>
    <w:p w:rsidR="00C0409B" w:rsidRPr="000D5434" w:rsidRDefault="00C0409B" w:rsidP="00B16297">
      <w:pPr>
        <w:pStyle w:val="ONUMFS"/>
        <w:numPr>
          <w:ilvl w:val="0"/>
          <w:numId w:val="0"/>
        </w:numPr>
        <w:rPr>
          <w:i/>
          <w:szCs w:val="22"/>
          <w:u w:val="single"/>
          <w:lang w:val="es-ES"/>
        </w:rPr>
      </w:pPr>
      <w:r w:rsidRPr="000D5434">
        <w:rPr>
          <w:i/>
          <w:szCs w:val="22"/>
          <w:u w:val="single"/>
          <w:lang w:val="es-ES"/>
        </w:rPr>
        <w:t>Protección preventiva</w:t>
      </w:r>
    </w:p>
    <w:p w:rsidR="00C0409B" w:rsidRPr="000D5434" w:rsidRDefault="00C0409B" w:rsidP="00B16297">
      <w:pPr>
        <w:pStyle w:val="ONUMFS"/>
        <w:numPr>
          <w:ilvl w:val="0"/>
          <w:numId w:val="0"/>
        </w:numPr>
        <w:rPr>
          <w:szCs w:val="22"/>
          <w:lang w:val="es-ES"/>
        </w:rPr>
      </w:pPr>
      <w:r w:rsidRPr="000D5434">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0D5434">
        <w:rPr>
          <w:rStyle w:val="FootnoteReference"/>
          <w:szCs w:val="22"/>
          <w:lang w:val="es-ES"/>
        </w:rPr>
        <w:footnoteReference w:id="128"/>
      </w:r>
      <w:r w:rsidR="00B834A4" w:rsidRPr="000D5434">
        <w:rPr>
          <w:szCs w:val="22"/>
          <w:lang w:val="es-ES"/>
        </w:rPr>
        <w:t xml:space="preserve"> </w:t>
      </w:r>
      <w:r w:rsidRPr="000D5434">
        <w:rPr>
          <w:szCs w:val="22"/>
          <w:lang w:val="es-ES"/>
        </w:rPr>
        <w:t>La protección preventiva de los conocimientos tradicionales prevé medidas para impedir o invalidar patentes que reivindican ilegítimamente como invenciones conocimientos tradicionales preexistentes.</w:t>
      </w:r>
    </w:p>
    <w:p w:rsidR="00C0409B" w:rsidRPr="000D5434" w:rsidRDefault="00C0409B" w:rsidP="00103D66">
      <w:pPr>
        <w:pStyle w:val="ONUMFS"/>
        <w:numPr>
          <w:ilvl w:val="0"/>
          <w:numId w:val="0"/>
        </w:numPr>
        <w:rPr>
          <w:b/>
          <w:bCs/>
          <w:szCs w:val="22"/>
          <w:lang w:val="es-ES"/>
        </w:rPr>
      </w:pPr>
      <w:r w:rsidRPr="000D5434">
        <w:rPr>
          <w:b/>
          <w:bCs/>
          <w:szCs w:val="22"/>
          <w:lang w:val="es-ES"/>
        </w:rPr>
        <w:t>Protocolo</w:t>
      </w:r>
    </w:p>
    <w:p w:rsidR="00C0409B" w:rsidRPr="000D5434" w:rsidRDefault="00C0409B" w:rsidP="00103D66">
      <w:pPr>
        <w:pStyle w:val="ONUMFS"/>
        <w:numPr>
          <w:ilvl w:val="0"/>
          <w:numId w:val="0"/>
        </w:numPr>
        <w:rPr>
          <w:szCs w:val="22"/>
          <w:lang w:val="es-ES"/>
        </w:rPr>
      </w:pPr>
      <w:r w:rsidRPr="000D5434">
        <w:rPr>
          <w:szCs w:val="22"/>
          <w:lang w:val="es-ES"/>
        </w:rPr>
        <w:t>Los protocolos son acuerdos jurídicos, códigos de conducta, directrices o repertorios de prácticas en que se indica la conducta que debe adoptarse en determinadas circunstancias.</w:t>
      </w:r>
      <w:r w:rsidR="00B834A4" w:rsidRPr="000D5434">
        <w:rPr>
          <w:szCs w:val="22"/>
          <w:lang w:val="es-ES"/>
        </w:rPr>
        <w:t xml:space="preserve"> </w:t>
      </w:r>
      <w:r w:rsidRPr="000D5434">
        <w:rPr>
          <w:szCs w:val="22"/>
          <w:lang w:val="es-ES"/>
        </w:rPr>
        <w:t>Pueden utilizarse para instaurar normas comunes en torno a la difusión de conocimientos y su utilización por terceros o para fomentar el cambio de actitudes y establecer nuevas normas.</w:t>
      </w:r>
      <w:r w:rsidR="00B834A4" w:rsidRPr="000D5434">
        <w:rPr>
          <w:szCs w:val="22"/>
          <w:lang w:val="es-ES"/>
        </w:rPr>
        <w:t xml:space="preserve"> </w:t>
      </w:r>
      <w:r w:rsidRPr="000D5434">
        <w:rPr>
          <w:szCs w:val="22"/>
          <w:lang w:val="es-ES"/>
        </w:rPr>
        <w:t>Por lo general, los protocolos son flexibles y pueden variar con el tiempo.</w:t>
      </w:r>
      <w:r w:rsidR="00B834A4" w:rsidRPr="000D5434">
        <w:rPr>
          <w:szCs w:val="22"/>
          <w:lang w:val="es-ES"/>
        </w:rPr>
        <w:t xml:space="preserve"> </w:t>
      </w:r>
      <w:r w:rsidRPr="000D5434">
        <w:rPr>
          <w:szCs w:val="22"/>
          <w:lang w:val="es-ES"/>
        </w:rPr>
        <w:t>Pueden aplicarse para lograr determinados objetivos que no hayan podido alcanzarse mediante otros instrumentos legislativos.</w:t>
      </w:r>
      <w:r w:rsidR="00B834A4" w:rsidRPr="000D5434">
        <w:rPr>
          <w:szCs w:val="22"/>
          <w:lang w:val="es-ES"/>
        </w:rPr>
        <w:t xml:space="preserve"> </w:t>
      </w:r>
      <w:r w:rsidRPr="000D5434">
        <w:rPr>
          <w:szCs w:val="22"/>
          <w:lang w:val="es-ES"/>
        </w:rPr>
        <w:t>En tanto que directrices oficiales u oficiosas de conducta, los protocolos pueden contribuir a estrechar vínculos y a crear otros nuevos.</w:t>
      </w:r>
      <w:r w:rsidRPr="000D5434">
        <w:rPr>
          <w:rStyle w:val="FootnoteReference"/>
          <w:szCs w:val="22"/>
          <w:lang w:val="es-ES"/>
        </w:rPr>
        <w:footnoteReference w:id="129"/>
      </w:r>
    </w:p>
    <w:p w:rsidR="00C0409B" w:rsidRPr="000D5434" w:rsidRDefault="00C0409B" w:rsidP="00103D66">
      <w:pPr>
        <w:pStyle w:val="ONUMFS"/>
        <w:numPr>
          <w:ilvl w:val="0"/>
          <w:numId w:val="0"/>
        </w:numPr>
        <w:rPr>
          <w:b/>
          <w:bCs/>
          <w:szCs w:val="22"/>
          <w:lang w:val="es-ES"/>
        </w:rPr>
      </w:pPr>
      <w:r w:rsidRPr="000D5434">
        <w:rPr>
          <w:b/>
          <w:bCs/>
          <w:szCs w:val="22"/>
          <w:lang w:val="es-ES"/>
        </w:rPr>
        <w:t>Proveedores y beneficiarios</w:t>
      </w:r>
      <w:r w:rsidR="0009484E" w:rsidRPr="000D5434">
        <w:rPr>
          <w:b/>
          <w:bCs/>
          <w:szCs w:val="22"/>
          <w:lang w:val="es-ES"/>
        </w:rPr>
        <w:t xml:space="preserve"> de recursos genéticos</w:t>
      </w:r>
    </w:p>
    <w:p w:rsidR="00C0409B" w:rsidRPr="000D5434" w:rsidRDefault="00C0409B" w:rsidP="00103D66">
      <w:pPr>
        <w:pStyle w:val="ONUMFS"/>
        <w:numPr>
          <w:ilvl w:val="0"/>
          <w:numId w:val="0"/>
        </w:numPr>
        <w:rPr>
          <w:szCs w:val="22"/>
          <w:lang w:val="es-ES"/>
        </w:rPr>
      </w:pPr>
      <w:r w:rsidRPr="000D5434">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w:t>
      </w:r>
      <w:r w:rsidR="00B834A4" w:rsidRPr="000D5434">
        <w:rPr>
          <w:szCs w:val="22"/>
          <w:lang w:val="es-ES"/>
        </w:rPr>
        <w:t xml:space="preserve"> </w:t>
      </w:r>
      <w:r w:rsidRPr="000D5434">
        <w:rPr>
          <w:szCs w:val="22"/>
          <w:lang w:val="es-ES"/>
        </w:rPr>
        <w:t>el comercio o la industria (por ejemplo, empresas farmacéuticas, alimentarias y agrícolas, de horticultura y de cosméticos);</w:t>
      </w:r>
      <w:r w:rsidR="00B834A4" w:rsidRPr="000D5434">
        <w:rPr>
          <w:szCs w:val="22"/>
          <w:lang w:val="es-ES"/>
        </w:rPr>
        <w:t xml:space="preserve"> </w:t>
      </w:r>
      <w:r w:rsidRPr="000D5434">
        <w:rPr>
          <w:szCs w:val="22"/>
          <w:lang w:val="es-ES"/>
        </w:rPr>
        <w:t>instituciones de investigación (como las universidades, los bancos de genes, los jardines botánicos y las colecciones microbianas);</w:t>
      </w:r>
      <w:r w:rsidR="00B834A4" w:rsidRPr="000D5434">
        <w:rPr>
          <w:szCs w:val="22"/>
          <w:lang w:val="es-ES"/>
        </w:rPr>
        <w:t xml:space="preserve"> </w:t>
      </w:r>
      <w:r w:rsidRPr="000D5434">
        <w:rPr>
          <w:szCs w:val="22"/>
          <w:lang w:val="es-ES"/>
        </w:rPr>
        <w:t>los custodios de los recursos genéticos y los poseedores de conocimientos tradicionales (por ejemplo, las asociaciones de curanderos, los pueblos indígenas o las comunidades locales, las organizaciones de pueblos y las comunidades agrícolas tradicionales);</w:t>
      </w:r>
      <w:r w:rsidR="00B834A4" w:rsidRPr="000D5434">
        <w:rPr>
          <w:szCs w:val="22"/>
          <w:lang w:val="es-ES"/>
        </w:rPr>
        <w:t xml:space="preserve"> </w:t>
      </w:r>
      <w:r w:rsidRPr="000D5434">
        <w:rPr>
          <w:szCs w:val="22"/>
          <w:lang w:val="es-ES"/>
        </w:rPr>
        <w:t>y otros (por ejemplo, los propietarios privados de tierras, los grupos encargados de la conservación, etcétera).</w:t>
      </w:r>
      <w:r w:rsidRPr="000D5434">
        <w:rPr>
          <w:rStyle w:val="FootnoteReference"/>
          <w:szCs w:val="22"/>
          <w:lang w:val="es-ES"/>
        </w:rPr>
        <w:footnoteReference w:id="130"/>
      </w:r>
    </w:p>
    <w:p w:rsidR="00C0409B" w:rsidRPr="000D5434" w:rsidRDefault="00C0409B" w:rsidP="00103D66">
      <w:pPr>
        <w:pStyle w:val="ONUMFS"/>
        <w:numPr>
          <w:ilvl w:val="0"/>
          <w:numId w:val="0"/>
        </w:numPr>
        <w:rPr>
          <w:b/>
          <w:bCs/>
          <w:kern w:val="36"/>
          <w:szCs w:val="22"/>
          <w:lang w:val="es-ES"/>
        </w:rPr>
      </w:pPr>
      <w:r w:rsidRPr="000D5434">
        <w:rPr>
          <w:b/>
          <w:bCs/>
          <w:kern w:val="36"/>
          <w:szCs w:val="22"/>
          <w:lang w:val="es-ES"/>
        </w:rPr>
        <w:t>Dominio público</w:t>
      </w:r>
    </w:p>
    <w:p w:rsidR="00C0409B" w:rsidRPr="000D5434" w:rsidRDefault="00C0409B" w:rsidP="00103D66">
      <w:pPr>
        <w:pStyle w:val="ONUMFS"/>
        <w:numPr>
          <w:ilvl w:val="0"/>
          <w:numId w:val="0"/>
        </w:numPr>
        <w:rPr>
          <w:szCs w:val="22"/>
          <w:lang w:val="es-ES"/>
        </w:rPr>
      </w:pPr>
      <w:r w:rsidRPr="000D5434">
        <w:rPr>
          <w:szCs w:val="22"/>
          <w:lang w:val="es-ES"/>
        </w:rPr>
        <w:t>En general, se considera que una obra forma parte del dominio público si no existe una restricción jurídica sobre su uso por parte del público.</w:t>
      </w:r>
      <w:r w:rsidRPr="000D5434">
        <w:rPr>
          <w:rStyle w:val="FootnoteReference"/>
          <w:szCs w:val="22"/>
          <w:lang w:val="es-ES"/>
        </w:rPr>
        <w:footnoteReference w:id="131"/>
      </w:r>
    </w:p>
    <w:p w:rsidR="00C0409B" w:rsidRPr="000D5434" w:rsidRDefault="00C0409B" w:rsidP="00103D66">
      <w:pPr>
        <w:pStyle w:val="ONUMFS"/>
        <w:numPr>
          <w:ilvl w:val="0"/>
          <w:numId w:val="0"/>
        </w:numPr>
        <w:rPr>
          <w:szCs w:val="22"/>
          <w:lang w:val="es-ES"/>
        </w:rPr>
      </w:pPr>
      <w:r w:rsidRPr="000D5434">
        <w:rPr>
          <w:szCs w:val="22"/>
          <w:lang w:val="es-ES"/>
        </w:rPr>
        <w:t>En el diccionario de Derecho de Black, el término “dominio público” se define como:</w:t>
      </w:r>
      <w:r w:rsidR="00B834A4" w:rsidRPr="000D5434">
        <w:rPr>
          <w:szCs w:val="22"/>
          <w:lang w:val="es-ES"/>
        </w:rPr>
        <w:t xml:space="preserve"> </w:t>
      </w:r>
      <w:r w:rsidRPr="000D5434">
        <w:rPr>
          <w:szCs w:val="22"/>
          <w:lang w:val="es-ES"/>
        </w:rPr>
        <w:t>conjunto de invenciones y obras creativas que no tienen protección por derechos de propiedad intelectual y están, por ello, a disposición de quien quiera utilizarlas gratuitamente.</w:t>
      </w:r>
      <w:r w:rsidR="00B834A4" w:rsidRPr="000D5434">
        <w:rPr>
          <w:szCs w:val="22"/>
          <w:lang w:val="es-ES"/>
        </w:rPr>
        <w:t xml:space="preserve"> </w:t>
      </w:r>
      <w:r w:rsidRPr="000D5434">
        <w:rPr>
          <w:szCs w:val="22"/>
          <w:lang w:val="es-ES"/>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2F5651" w:rsidRDefault="00C0409B" w:rsidP="00103D66">
      <w:pPr>
        <w:pStyle w:val="ONUMFS"/>
        <w:numPr>
          <w:ilvl w:val="0"/>
          <w:numId w:val="0"/>
        </w:numPr>
        <w:rPr>
          <w:szCs w:val="22"/>
          <w:lang w:val="es-ES"/>
        </w:rPr>
      </w:pPr>
      <w:r w:rsidRPr="000D5434">
        <w:rPr>
          <w:szCs w:val="22"/>
          <w:lang w:val="es-ES"/>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0D5434">
        <w:rPr>
          <w:rStyle w:val="FootnoteReference"/>
          <w:szCs w:val="22"/>
          <w:lang w:val="es-ES"/>
        </w:rPr>
        <w:footnoteReference w:id="132"/>
      </w:r>
      <w:bookmarkEnd w:id="14"/>
    </w:p>
    <w:p w:rsidR="002F5651" w:rsidRDefault="00C0409B" w:rsidP="00103D66">
      <w:pPr>
        <w:pStyle w:val="ONUMFS"/>
        <w:numPr>
          <w:ilvl w:val="0"/>
          <w:numId w:val="0"/>
        </w:numPr>
        <w:rPr>
          <w:szCs w:val="22"/>
          <w:lang w:val="es-ES"/>
        </w:rPr>
      </w:pPr>
      <w:r w:rsidRPr="000D5434">
        <w:rPr>
          <w:szCs w:val="22"/>
          <w:lang w:val="es-ES"/>
        </w:rPr>
        <w:t>En general, el dominio público en lo tocante al Derecho de patentes consiste en los conocimientos, ideas e innovaciones sobre los que ninguna persona u organización posee derechos de propiedad intelectual.</w:t>
      </w:r>
      <w:r w:rsidR="00B834A4" w:rsidRPr="000D5434">
        <w:rPr>
          <w:szCs w:val="22"/>
          <w:lang w:val="es-ES"/>
        </w:rPr>
        <w:t xml:space="preserve"> </w:t>
      </w:r>
      <w:r w:rsidRPr="000D5434">
        <w:rPr>
          <w:szCs w:val="22"/>
          <w:lang w:val="es-ES"/>
        </w:rPr>
        <w:t>Conocimientos, ideas e innovaciones pasan a formar parte del dominio público si no pesa sobre ellos ninguna restricción jurídica de uso (que varía según las diferentes legislaciones, dando lugar a dominios públicos diferentes);</w:t>
      </w:r>
      <w:r w:rsidR="00B834A4" w:rsidRPr="000D5434">
        <w:rPr>
          <w:szCs w:val="22"/>
          <w:lang w:val="es-ES"/>
        </w:rPr>
        <w:t xml:space="preserve"> </w:t>
      </w:r>
      <w:r w:rsidRPr="000D5434">
        <w:rPr>
          <w:szCs w:val="22"/>
          <w:lang w:val="es-ES"/>
        </w:rPr>
        <w:t>si vence la duración de la patente (normalmente 20 años);</w:t>
      </w:r>
      <w:r w:rsidR="00B834A4" w:rsidRPr="000D5434">
        <w:rPr>
          <w:szCs w:val="22"/>
          <w:lang w:val="es-ES"/>
        </w:rPr>
        <w:t xml:space="preserve"> </w:t>
      </w:r>
      <w:r w:rsidRPr="000D5434">
        <w:rPr>
          <w:szCs w:val="22"/>
          <w:lang w:val="es-ES"/>
        </w:rPr>
        <w:t>si la patente no se renueva;</w:t>
      </w:r>
      <w:r w:rsidR="00B834A4" w:rsidRPr="000D5434">
        <w:rPr>
          <w:szCs w:val="22"/>
          <w:lang w:val="es-ES"/>
        </w:rPr>
        <w:t xml:space="preserve"> </w:t>
      </w:r>
      <w:r w:rsidRPr="000D5434">
        <w:rPr>
          <w:szCs w:val="22"/>
          <w:lang w:val="es-ES"/>
        </w:rPr>
        <w:t>si se revoca o, por último, si se invalida.</w:t>
      </w:r>
      <w:r w:rsidRPr="000D5434">
        <w:rPr>
          <w:rStyle w:val="FootnoteReference"/>
          <w:szCs w:val="22"/>
          <w:lang w:val="es-ES"/>
        </w:rPr>
        <w:footnoteReference w:id="133"/>
      </w:r>
    </w:p>
    <w:p w:rsidR="00C0409B" w:rsidRPr="000D5434" w:rsidRDefault="00C0409B" w:rsidP="00103D66">
      <w:pPr>
        <w:pStyle w:val="ONUMFS"/>
        <w:numPr>
          <w:ilvl w:val="0"/>
          <w:numId w:val="0"/>
        </w:numPr>
        <w:rPr>
          <w:szCs w:val="22"/>
          <w:lang w:val="es-ES"/>
        </w:rPr>
      </w:pPr>
      <w:r w:rsidRPr="000D5434">
        <w:rPr>
          <w:szCs w:val="22"/>
          <w:lang w:val="es-ES"/>
        </w:rPr>
        <w:t>El papel, el perfil y las limitaciones del dominio público son objeto de activo debate en diversas instancias, entre ellas la OMPI y el presente Comité.</w:t>
      </w:r>
      <w:r w:rsidR="00B834A4" w:rsidRPr="000D5434">
        <w:rPr>
          <w:szCs w:val="22"/>
          <w:lang w:val="es-ES"/>
        </w:rPr>
        <w:t xml:space="preserve"> </w:t>
      </w:r>
      <w:r w:rsidRPr="000D5434">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0D5434" w:rsidRDefault="00C0409B" w:rsidP="00103D66">
      <w:pPr>
        <w:pStyle w:val="ONUMFS"/>
        <w:numPr>
          <w:ilvl w:val="0"/>
          <w:numId w:val="0"/>
        </w:numPr>
        <w:rPr>
          <w:b/>
          <w:szCs w:val="22"/>
          <w:lang w:val="es-ES"/>
        </w:rPr>
      </w:pPr>
      <w:r w:rsidRPr="000D5434">
        <w:rPr>
          <w:b/>
          <w:bCs/>
          <w:szCs w:val="22"/>
          <w:lang w:val="es-ES"/>
        </w:rPr>
        <w:t>Disponibilidad pública</w:t>
      </w:r>
    </w:p>
    <w:p w:rsidR="00C0409B" w:rsidRPr="000D5434" w:rsidRDefault="00C0409B" w:rsidP="00103D66">
      <w:pPr>
        <w:pStyle w:val="ONUMFS"/>
        <w:numPr>
          <w:ilvl w:val="0"/>
          <w:numId w:val="0"/>
        </w:numPr>
        <w:rPr>
          <w:szCs w:val="22"/>
          <w:lang w:val="es-ES"/>
        </w:rPr>
      </w:pPr>
      <w:r w:rsidRPr="000D5434">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w:t>
      </w:r>
      <w:r w:rsidR="00B834A4" w:rsidRPr="000D5434">
        <w:rPr>
          <w:szCs w:val="22"/>
          <w:lang w:val="es-ES"/>
        </w:rPr>
        <w:t xml:space="preserve"> </w:t>
      </w:r>
      <w:r w:rsidRPr="000D5434">
        <w:rPr>
          <w:szCs w:val="22"/>
          <w:lang w:val="es-ES"/>
        </w:rPr>
        <w:t>“</w:t>
      </w:r>
      <w:r w:rsidRPr="000D5434">
        <w:rPr>
          <w:iCs/>
          <w:szCs w:val="22"/>
          <w:lang w:val="es-ES"/>
        </w:rPr>
        <w:t>el término dominio público, que se utiliza para indicar libre disponibilidad, se ha tomado fuera de contexto y aplicado a los conocimientos tradicionales asociados a los recursos genéticos que están disponibles públicamente.</w:t>
      </w:r>
      <w:r w:rsidR="00B834A4" w:rsidRPr="000D5434">
        <w:rPr>
          <w:iCs/>
          <w:szCs w:val="22"/>
          <w:lang w:val="es-ES"/>
        </w:rPr>
        <w:t xml:space="preserve"> </w:t>
      </w:r>
      <w:r w:rsidRPr="000D5434">
        <w:rPr>
          <w:iCs/>
          <w:szCs w:val="22"/>
          <w:lang w:val="es-ES"/>
        </w:rPr>
        <w:t>La interpretación común de disponible públicamente no significa disponible en forma gratuita.</w:t>
      </w:r>
      <w:r w:rsidR="00B834A4" w:rsidRPr="000D5434">
        <w:rPr>
          <w:iCs/>
          <w:szCs w:val="22"/>
          <w:lang w:val="es-ES"/>
        </w:rPr>
        <w:t xml:space="preserve"> </w:t>
      </w:r>
      <w:r w:rsidRPr="000D5434">
        <w:rPr>
          <w:iCs/>
          <w:szCs w:val="22"/>
          <w:lang w:val="es-ES"/>
        </w:rPr>
        <w:t>La interpretación común de disponibilidad pública podría significar que existe la condición de imponer condiciones mutuamente acordadas, tales como pagar por el acceso.</w:t>
      </w:r>
      <w:r w:rsidR="00B834A4" w:rsidRPr="000D5434">
        <w:rPr>
          <w:iCs/>
          <w:szCs w:val="22"/>
          <w:lang w:val="es-ES"/>
        </w:rPr>
        <w:t xml:space="preserve"> </w:t>
      </w:r>
      <w:r w:rsidRPr="000D5434">
        <w:rPr>
          <w:iCs/>
          <w:szCs w:val="22"/>
          <w:lang w:val="es-ES"/>
        </w:rPr>
        <w:t>A menudo, se ha considerado que los conocimientos tradicionales son de dominio público y, por lo tanto, están libremente disponibles una vez que se haya accedido a los mismos y se los haya retirado de su contexto cultural y divulgado.</w:t>
      </w:r>
      <w:r w:rsidR="00B834A4" w:rsidRPr="000D5434">
        <w:rPr>
          <w:iCs/>
          <w:szCs w:val="22"/>
          <w:lang w:val="es-ES"/>
        </w:rPr>
        <w:t xml:space="preserve"> </w:t>
      </w:r>
      <w:r w:rsidRPr="000D5434">
        <w:rPr>
          <w:iCs/>
          <w:szCs w:val="22"/>
          <w:lang w:val="es-ES"/>
        </w:rPr>
        <w:t>Pero no se puede presuponer que los conocimientos tradicionales asociados a los recursos genéticos que están disponibles públicamente no pertenezcan a alguien.</w:t>
      </w:r>
      <w:r w:rsidR="00B834A4" w:rsidRPr="000D5434">
        <w:rPr>
          <w:iCs/>
          <w:szCs w:val="22"/>
          <w:lang w:val="es-ES"/>
        </w:rPr>
        <w:t xml:space="preserve"> </w:t>
      </w:r>
      <w:r w:rsidRPr="000D5434">
        <w:rPr>
          <w:iCs/>
          <w:szCs w:val="22"/>
          <w:lang w:val="es-ES"/>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B834A4" w:rsidRPr="000D5434">
        <w:rPr>
          <w:iCs/>
          <w:szCs w:val="22"/>
          <w:lang w:val="es-ES"/>
        </w:rPr>
        <w:t xml:space="preserve"> </w:t>
      </w:r>
      <w:r w:rsidRPr="000D5434">
        <w:rPr>
          <w:iCs/>
          <w:szCs w:val="22"/>
          <w:lang w:val="es-ES"/>
        </w:rPr>
        <w:t>Cuando no se pueda identificar a un titular, el Estado, por ejemplo, podría adoptar una decisión respecto a los beneficiarios.”</w:t>
      </w:r>
      <w:r w:rsidRPr="000D5434">
        <w:rPr>
          <w:rStyle w:val="FootnoteReference"/>
          <w:iCs/>
          <w:szCs w:val="22"/>
          <w:lang w:val="es-ES"/>
        </w:rPr>
        <w:footnoteReference w:id="134"/>
      </w:r>
    </w:p>
    <w:p w:rsidR="00C0409B" w:rsidRPr="000D5434" w:rsidRDefault="00C0409B" w:rsidP="00103D66">
      <w:pPr>
        <w:pStyle w:val="ONUMFS"/>
        <w:numPr>
          <w:ilvl w:val="0"/>
          <w:numId w:val="0"/>
        </w:numPr>
        <w:rPr>
          <w:b/>
          <w:szCs w:val="22"/>
          <w:lang w:val="es-ES"/>
        </w:rPr>
      </w:pPr>
      <w:r w:rsidRPr="000D5434">
        <w:rPr>
          <w:b/>
          <w:bCs/>
          <w:szCs w:val="22"/>
          <w:lang w:val="es-ES"/>
        </w:rPr>
        <w:t>Registros de conocimientos tradicionales</w:t>
      </w:r>
    </w:p>
    <w:p w:rsidR="00C0409B" w:rsidRPr="000D5434" w:rsidRDefault="00C0409B" w:rsidP="00103D66">
      <w:pPr>
        <w:pStyle w:val="ONUMFS"/>
        <w:numPr>
          <w:ilvl w:val="0"/>
          <w:numId w:val="0"/>
        </w:numPr>
        <w:rPr>
          <w:szCs w:val="22"/>
          <w:lang w:val="es-ES"/>
        </w:rPr>
      </w:pPr>
      <w:r w:rsidRPr="000D5434">
        <w:rPr>
          <w:szCs w:val="22"/>
          <w:lang w:val="es-ES"/>
        </w:rPr>
        <w:t>Los registros se pueden analizar desde varias perspectivas distintas.</w:t>
      </w:r>
      <w:r w:rsidR="00B834A4" w:rsidRPr="000D5434">
        <w:rPr>
          <w:szCs w:val="22"/>
          <w:lang w:val="es-ES"/>
        </w:rPr>
        <w:t xml:space="preserve"> </w:t>
      </w:r>
      <w:r w:rsidRPr="000D5434">
        <w:rPr>
          <w:szCs w:val="22"/>
          <w:lang w:val="es-ES"/>
        </w:rPr>
        <w:t>Según su naturaleza jurídica, los registros pueden ser o bien declarativos o bien constitutivos en función del sistema en el que se basan.</w:t>
      </w:r>
      <w:r w:rsidRPr="000D5434">
        <w:rPr>
          <w:rStyle w:val="FootnoteReference"/>
          <w:szCs w:val="22"/>
          <w:lang w:val="es-ES"/>
        </w:rPr>
        <w:footnoteReference w:id="135"/>
      </w:r>
    </w:p>
    <w:p w:rsidR="00C0409B" w:rsidRPr="000D5434" w:rsidRDefault="00C0409B" w:rsidP="00103D66">
      <w:pPr>
        <w:pStyle w:val="ONUMFS"/>
        <w:numPr>
          <w:ilvl w:val="0"/>
          <w:numId w:val="0"/>
        </w:numPr>
        <w:rPr>
          <w:szCs w:val="22"/>
          <w:lang w:val="es-ES"/>
        </w:rPr>
      </w:pPr>
      <w:r w:rsidRPr="000D5434">
        <w:rPr>
          <w:szCs w:val="22"/>
          <w:lang w:val="es-ES"/>
        </w:rPr>
        <w:t xml:space="preserve">El régimen declarativo en relación con los conocimientos tradicionales reconoce que los derechos sobre </w:t>
      </w:r>
      <w:r w:rsidR="00D4348B">
        <w:rPr>
          <w:szCs w:val="22"/>
          <w:lang w:val="es-ES"/>
        </w:rPr>
        <w:t>estos</w:t>
      </w:r>
      <w:r w:rsidRPr="000D5434">
        <w:rPr>
          <w:szCs w:val="22"/>
          <w:lang w:val="es-ES"/>
        </w:rPr>
        <w:t xml:space="preserve"> no provienen de actos del gobierno sino más bien se basan en derechos preexistentes, incluidos los derechos ancestrales, consuetudinarios, morales y humanos.</w:t>
      </w:r>
      <w:r w:rsidR="00B834A4" w:rsidRPr="000D5434">
        <w:rPr>
          <w:szCs w:val="22"/>
          <w:lang w:val="es-ES"/>
        </w:rPr>
        <w:t xml:space="preserve"> </w:t>
      </w:r>
      <w:r w:rsidRPr="000D5434">
        <w:rPr>
          <w:szCs w:val="22"/>
          <w:lang w:val="es-ES"/>
        </w:rPr>
        <w:t>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w:t>
      </w:r>
      <w:r w:rsidR="00B834A4" w:rsidRPr="000D5434">
        <w:rPr>
          <w:szCs w:val="22"/>
          <w:lang w:val="es-ES"/>
        </w:rPr>
        <w:t xml:space="preserve"> </w:t>
      </w:r>
      <w:r w:rsidRPr="000D5434">
        <w:rPr>
          <w:szCs w:val="22"/>
          <w:lang w:val="es-ES"/>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B834A4" w:rsidRPr="000D5434">
        <w:rPr>
          <w:szCs w:val="22"/>
          <w:lang w:val="es-ES"/>
        </w:rPr>
        <w:t xml:space="preserve"> </w:t>
      </w:r>
      <w:r w:rsidRPr="000D5434">
        <w:rPr>
          <w:szCs w:val="22"/>
          <w:lang w:val="es-ES"/>
        </w:rPr>
        <w:t>Una tercera función que pueden tener tales registros es la de facilitar la distribución de los beneficios entre los usuarios y los proveedores.</w:t>
      </w:r>
      <w:r w:rsidRPr="000D5434">
        <w:rPr>
          <w:rStyle w:val="FootnoteReference"/>
          <w:szCs w:val="22"/>
          <w:lang w:val="es-ES"/>
        </w:rPr>
        <w:footnoteReference w:id="136"/>
      </w:r>
    </w:p>
    <w:p w:rsidR="002F5651" w:rsidRDefault="00C0409B" w:rsidP="00103D66">
      <w:pPr>
        <w:pStyle w:val="ONUMFS"/>
        <w:numPr>
          <w:ilvl w:val="0"/>
          <w:numId w:val="0"/>
        </w:numPr>
        <w:rPr>
          <w:szCs w:val="22"/>
          <w:lang w:val="es-ES"/>
        </w:rPr>
      </w:pPr>
      <w:r w:rsidRPr="000D5434">
        <w:rPr>
          <w:szCs w:val="22"/>
          <w:lang w:val="es-ES"/>
        </w:rPr>
        <w:t>Los registros constitutivos forman parte de un régimen jurídico que pretende garantizar derechos sobre los conocimientos tradicionales.</w:t>
      </w:r>
      <w:r w:rsidR="00B834A4" w:rsidRPr="000D5434">
        <w:rPr>
          <w:szCs w:val="22"/>
          <w:lang w:val="es-ES"/>
        </w:rPr>
        <w:t xml:space="preserve"> </w:t>
      </w:r>
      <w:r w:rsidRPr="000D5434">
        <w:rPr>
          <w:szCs w:val="22"/>
          <w:lang w:val="es-ES"/>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B834A4" w:rsidRPr="000D5434">
        <w:rPr>
          <w:szCs w:val="22"/>
          <w:lang w:val="es-ES"/>
        </w:rPr>
        <w:t xml:space="preserve"> </w:t>
      </w:r>
      <w:r w:rsidRPr="000D5434">
        <w:rPr>
          <w:szCs w:val="22"/>
          <w:lang w:val="es-ES"/>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B834A4" w:rsidRPr="000D5434">
        <w:rPr>
          <w:szCs w:val="22"/>
          <w:lang w:val="es-ES"/>
        </w:rPr>
        <w:t xml:space="preserve"> </w:t>
      </w:r>
      <w:r w:rsidRPr="000D5434">
        <w:rPr>
          <w:szCs w:val="22"/>
          <w:lang w:val="es-ES"/>
        </w:rPr>
        <w:t>En consecuencia, su concepción puede resultar más difícil y controvertida, y plantear grandes dificultades y preguntas para llevar el concepto a la práctica.</w:t>
      </w:r>
      <w:r w:rsidRPr="000D5434">
        <w:rPr>
          <w:rStyle w:val="FootnoteReference"/>
          <w:szCs w:val="22"/>
          <w:lang w:val="es-ES"/>
        </w:rPr>
        <w:footnoteReference w:id="137"/>
      </w:r>
    </w:p>
    <w:p w:rsidR="00C0409B" w:rsidRPr="000D5434" w:rsidRDefault="00C0409B" w:rsidP="00103D66">
      <w:pPr>
        <w:pStyle w:val="ONUMFS"/>
        <w:numPr>
          <w:ilvl w:val="0"/>
          <w:numId w:val="0"/>
        </w:numPr>
        <w:rPr>
          <w:szCs w:val="22"/>
          <w:lang w:val="es-ES"/>
        </w:rPr>
      </w:pPr>
      <w:r w:rsidRPr="000D5434">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0D5434">
        <w:rPr>
          <w:iCs/>
          <w:szCs w:val="22"/>
          <w:lang w:val="es-ES"/>
        </w:rPr>
        <w:t xml:space="preserve"> </w:t>
      </w:r>
      <w:r w:rsidRPr="000D5434">
        <w:rPr>
          <w:szCs w:val="22"/>
          <w:lang w:val="es-ES"/>
        </w:rPr>
        <w:t>se estipula que “</w:t>
      </w:r>
      <w:r w:rsidRPr="000D5434">
        <w:rPr>
          <w:iCs/>
          <w:szCs w:val="22"/>
          <w:lang w:val="es-ES"/>
        </w:rPr>
        <w:t>[l]os Registros de Conocimientos Colectivos de los Pueblos Indígenas tienen por objeto, según sea el caso:</w:t>
      </w:r>
      <w:r w:rsidR="00B834A4" w:rsidRPr="000D5434">
        <w:rPr>
          <w:iCs/>
          <w:szCs w:val="22"/>
          <w:lang w:val="es-ES"/>
        </w:rPr>
        <w:t xml:space="preserve"> </w:t>
      </w:r>
      <w:r w:rsidRPr="000D5434">
        <w:rPr>
          <w:iCs/>
          <w:szCs w:val="22"/>
          <w:lang w:val="es-ES"/>
        </w:rPr>
        <w:t>a) preservar y salvaguardar los conocimientos colectivos de los pueblos indígenas y sus derechos sobre ellos;</w:t>
      </w:r>
      <w:r w:rsidR="00B834A4" w:rsidRPr="000D5434">
        <w:rPr>
          <w:iCs/>
          <w:szCs w:val="22"/>
          <w:lang w:val="es-ES"/>
        </w:rPr>
        <w:t xml:space="preserve"> </w:t>
      </w:r>
      <w:r w:rsidRPr="000D5434">
        <w:rPr>
          <w:iCs/>
          <w:szCs w:val="22"/>
          <w:lang w:val="es-ES"/>
        </w:rPr>
        <w:t>b) proveer al Indecopi de información que le permita la defensa de los intereses de los pueblos indígenas con relación a sus conocimientos colectivos</w:t>
      </w:r>
      <w:r w:rsidRPr="000D5434">
        <w:rPr>
          <w:szCs w:val="22"/>
          <w:lang w:val="es-ES"/>
        </w:rPr>
        <w:t>”.</w:t>
      </w:r>
      <w:r w:rsidRPr="000D5434">
        <w:rPr>
          <w:rStyle w:val="FootnoteReference"/>
          <w:szCs w:val="22"/>
          <w:lang w:val="es-ES"/>
        </w:rPr>
        <w:footnoteReference w:id="138"/>
      </w:r>
      <w:r w:rsidR="00B834A4" w:rsidRPr="000D5434">
        <w:rPr>
          <w:szCs w:val="22"/>
          <w:lang w:val="es-ES"/>
        </w:rPr>
        <w:t xml:space="preserve"> </w:t>
      </w:r>
      <w:r w:rsidRPr="000D5434">
        <w:rPr>
          <w:szCs w:val="22"/>
          <w:lang w:val="es-ES"/>
        </w:rPr>
        <w:t>En el artículo 15 se estipula además que “</w:t>
      </w:r>
      <w:r w:rsidRPr="000D5434">
        <w:rPr>
          <w:iCs/>
          <w:szCs w:val="22"/>
          <w:lang w:val="es-ES"/>
        </w:rPr>
        <w:t>[l]</w:t>
      </w:r>
      <w:r w:rsidRPr="000D5434">
        <w:rPr>
          <w:szCs w:val="22"/>
          <w:lang w:val="es-ES"/>
        </w:rPr>
        <w:t>os conocimientos colectivos de los pueblos indígenas podrán ser inscritos en tres tipos de registros</w:t>
      </w:r>
      <w:r w:rsidRPr="000D5434">
        <w:rPr>
          <w:iCs/>
          <w:szCs w:val="22"/>
          <w:lang w:val="es-ES"/>
        </w:rPr>
        <w:t>:</w:t>
      </w:r>
      <w:r w:rsidR="00B834A4" w:rsidRPr="000D5434">
        <w:rPr>
          <w:iCs/>
          <w:szCs w:val="22"/>
          <w:lang w:val="es-ES"/>
        </w:rPr>
        <w:t xml:space="preserve"> </w:t>
      </w:r>
      <w:r w:rsidRPr="000D5434">
        <w:rPr>
          <w:iCs/>
          <w:szCs w:val="22"/>
          <w:lang w:val="es-ES"/>
        </w:rPr>
        <w:t>(a)</w:t>
      </w:r>
      <w:r w:rsidRPr="000D5434">
        <w:rPr>
          <w:szCs w:val="22"/>
          <w:lang w:val="es-ES"/>
        </w:rPr>
        <w:t xml:space="preserve"> Registro Nacional Público de Conocimientos Colectivos de los Pueblos Indígenas;</w:t>
      </w:r>
      <w:r w:rsidR="00B834A4" w:rsidRPr="000D5434">
        <w:rPr>
          <w:szCs w:val="22"/>
          <w:lang w:val="es-ES"/>
        </w:rPr>
        <w:t xml:space="preserve"> </w:t>
      </w:r>
      <w:r w:rsidRPr="000D5434">
        <w:rPr>
          <w:szCs w:val="22"/>
          <w:lang w:val="es-ES"/>
        </w:rPr>
        <w:t>(b) Registro Nacional Confidencial de Conocimientos Colectivos de los Pueblos Indígenas;</w:t>
      </w:r>
      <w:r w:rsidR="00B834A4" w:rsidRPr="000D5434">
        <w:rPr>
          <w:szCs w:val="22"/>
          <w:lang w:val="es-ES"/>
        </w:rPr>
        <w:t xml:space="preserve"> </w:t>
      </w:r>
      <w:r w:rsidRPr="000D5434">
        <w:rPr>
          <w:szCs w:val="22"/>
          <w:lang w:val="es-ES"/>
        </w:rPr>
        <w:t>(c) Registros Locales de Conocimientos Colectivos de los Pueblos indígenas</w:t>
      </w:r>
      <w:r w:rsidRPr="000D5434">
        <w:rPr>
          <w:i/>
          <w:iCs/>
          <w:szCs w:val="22"/>
          <w:lang w:val="es-ES"/>
        </w:rPr>
        <w:t>.</w:t>
      </w:r>
      <w:r w:rsidRPr="000D5434">
        <w:rPr>
          <w:szCs w:val="22"/>
          <w:lang w:val="es-ES"/>
        </w:rPr>
        <w:t>”</w:t>
      </w:r>
    </w:p>
    <w:p w:rsidR="00C0409B" w:rsidRPr="000D5434" w:rsidRDefault="00C0409B" w:rsidP="00103D66">
      <w:pPr>
        <w:pStyle w:val="ONUMFS"/>
        <w:numPr>
          <w:ilvl w:val="0"/>
          <w:numId w:val="0"/>
        </w:numPr>
        <w:rPr>
          <w:b/>
          <w:bCs/>
          <w:kern w:val="36"/>
          <w:szCs w:val="22"/>
          <w:lang w:val="es-ES"/>
        </w:rPr>
      </w:pPr>
      <w:r w:rsidRPr="000D5434">
        <w:rPr>
          <w:b/>
          <w:bCs/>
          <w:kern w:val="36"/>
          <w:szCs w:val="22"/>
          <w:lang w:val="es-ES"/>
        </w:rPr>
        <w:t>Reputación</w:t>
      </w:r>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es el “prestigio o estima en que son tenidos alguien o algo”.</w:t>
      </w:r>
      <w:r w:rsidR="00B834A4" w:rsidRPr="000D5434">
        <w:rPr>
          <w:szCs w:val="22"/>
          <w:lang w:val="es-ES"/>
        </w:rPr>
        <w:t xml:space="preserve"> </w:t>
      </w:r>
      <w:r w:rsidRPr="000D5434">
        <w:rPr>
          <w:szCs w:val="22"/>
          <w:lang w:val="es-ES"/>
        </w:rPr>
        <w:t>La reputación está amparada por los derechos morales del autor.</w:t>
      </w:r>
      <w:r w:rsidRPr="000D5434">
        <w:rPr>
          <w:rStyle w:val="FootnoteReference"/>
          <w:szCs w:val="22"/>
          <w:lang w:val="es-ES"/>
        </w:rPr>
        <w:footnoteReference w:id="139"/>
      </w:r>
      <w:r w:rsidR="00B834A4" w:rsidRPr="000D5434">
        <w:rPr>
          <w:szCs w:val="22"/>
          <w:lang w:val="es-ES"/>
        </w:rPr>
        <w:t xml:space="preserve"> </w:t>
      </w:r>
      <w:r w:rsidRPr="000D5434">
        <w:rPr>
          <w:szCs w:val="22"/>
          <w:lang w:val="es-ES"/>
        </w:rPr>
        <w:t xml:space="preserve">En la Conferencia de Revisión de Bruselas del </w:t>
      </w:r>
      <w:r w:rsidRPr="000D5434">
        <w:rPr>
          <w:i/>
          <w:szCs w:val="22"/>
          <w:lang w:val="es-ES"/>
        </w:rPr>
        <w:t>Convenio de Berna</w:t>
      </w:r>
      <w:r w:rsidR="005C21FD" w:rsidRPr="000D5434">
        <w:rPr>
          <w:i/>
          <w:szCs w:val="22"/>
          <w:lang w:val="es-ES"/>
        </w:rPr>
        <w:t xml:space="preserve"> para la Protección de las Obras Literarias y Artísticas</w:t>
      </w:r>
      <w:r w:rsidR="005C21FD" w:rsidRPr="000D5434">
        <w:rPr>
          <w:szCs w:val="22"/>
          <w:lang w:val="es-ES"/>
        </w:rPr>
        <w:t xml:space="preserve"> (1971)</w:t>
      </w:r>
      <w:r w:rsidRPr="000D5434">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w:t>
      </w:r>
      <w:r w:rsidR="00B834A4" w:rsidRPr="000D5434">
        <w:rPr>
          <w:szCs w:val="22"/>
          <w:lang w:val="es-ES"/>
        </w:rPr>
        <w:t xml:space="preserve"> </w:t>
      </w:r>
      <w:r w:rsidRPr="000D5434">
        <w:rPr>
          <w:szCs w:val="22"/>
          <w:lang w:val="es-ES"/>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0D5434">
        <w:rPr>
          <w:rStyle w:val="FootnoteReference"/>
          <w:szCs w:val="22"/>
          <w:lang w:val="es-ES"/>
        </w:rPr>
        <w:footnoteReference w:id="140"/>
      </w:r>
    </w:p>
    <w:p w:rsidR="00C0409B" w:rsidRPr="000D5434" w:rsidRDefault="00C0409B" w:rsidP="00103D66">
      <w:pPr>
        <w:pStyle w:val="ONUMFS"/>
        <w:numPr>
          <w:ilvl w:val="0"/>
          <w:numId w:val="0"/>
        </w:numPr>
        <w:rPr>
          <w:b/>
          <w:szCs w:val="22"/>
          <w:lang w:val="es-ES"/>
        </w:rPr>
      </w:pPr>
      <w:r w:rsidRPr="000D5434">
        <w:rPr>
          <w:b/>
          <w:szCs w:val="22"/>
          <w:lang w:val="es-ES"/>
        </w:rPr>
        <w:t>Sagrado</w:t>
      </w:r>
    </w:p>
    <w:p w:rsidR="00C0409B" w:rsidRPr="000D5434" w:rsidRDefault="00C0409B" w:rsidP="00103D66">
      <w:pPr>
        <w:pStyle w:val="ONUMFS"/>
        <w:numPr>
          <w:ilvl w:val="0"/>
          <w:numId w:val="0"/>
        </w:numPr>
        <w:rPr>
          <w:szCs w:val="22"/>
          <w:lang w:val="es-ES"/>
        </w:rPr>
      </w:pPr>
      <w:r w:rsidRPr="000D5434">
        <w:rPr>
          <w:szCs w:val="22"/>
          <w:lang w:val="es-ES"/>
        </w:rPr>
        <w:t>Por “sagrado” se entiende “cualquier manifestación de los CC.TT. que simbolice o pertenezca a las creencias, las prácticas o las costumbre religiosas y espirituales.</w:t>
      </w:r>
      <w:r w:rsidR="00B834A4" w:rsidRPr="000D5434">
        <w:rPr>
          <w:szCs w:val="22"/>
          <w:lang w:val="es-ES"/>
        </w:rPr>
        <w:t xml:space="preserve"> </w:t>
      </w:r>
      <w:r w:rsidRPr="000D5434">
        <w:rPr>
          <w:szCs w:val="22"/>
          <w:lang w:val="es-ES"/>
        </w:rPr>
        <w:t>Se utiliza como opuesto de profano o laico, cuyas formas extremas equivalen a formas de CC.TT. explotadas comercialmente”.</w:t>
      </w:r>
      <w:r w:rsidRPr="000D5434">
        <w:rPr>
          <w:rStyle w:val="FootnoteReference"/>
          <w:szCs w:val="22"/>
          <w:lang w:val="es-ES"/>
        </w:rPr>
        <w:footnoteReference w:id="141"/>
      </w:r>
    </w:p>
    <w:p w:rsidR="00C0409B" w:rsidRPr="000D5434" w:rsidRDefault="00C0409B" w:rsidP="00103D66">
      <w:pPr>
        <w:pStyle w:val="ONUMFS"/>
        <w:numPr>
          <w:ilvl w:val="0"/>
          <w:numId w:val="0"/>
        </w:numPr>
        <w:rPr>
          <w:szCs w:val="22"/>
          <w:lang w:val="es-ES"/>
        </w:rPr>
      </w:pPr>
      <w:r w:rsidRPr="000D5434">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w:t>
      </w:r>
      <w:r w:rsidR="00B834A4" w:rsidRPr="000D5434">
        <w:rPr>
          <w:szCs w:val="22"/>
          <w:lang w:val="es-ES"/>
        </w:rPr>
        <w:t xml:space="preserve"> </w:t>
      </w:r>
      <w:r w:rsidRPr="000D5434">
        <w:rPr>
          <w:szCs w:val="22"/>
          <w:lang w:val="es-ES"/>
        </w:rPr>
        <w:t>la expresión también se refiere a CC.TT. sagrados relacionados con especies sagradas de plantas, animales, microorganismos, minerales, y también hace referencia a sitios sagrados.</w:t>
      </w:r>
      <w:r w:rsidR="00B834A4" w:rsidRPr="000D5434">
        <w:rPr>
          <w:szCs w:val="22"/>
          <w:lang w:val="es-ES"/>
        </w:rPr>
        <w:t xml:space="preserve"> </w:t>
      </w:r>
      <w:r w:rsidRPr="000D5434">
        <w:rPr>
          <w:szCs w:val="22"/>
          <w:lang w:val="es-ES"/>
        </w:rPr>
        <w:t>La comunidad pertinente es quien atribuye el carácter sagrado a los CC.TT.</w:t>
      </w:r>
      <w:r w:rsidR="00B834A4" w:rsidRPr="000D5434">
        <w:rPr>
          <w:szCs w:val="22"/>
          <w:lang w:val="es-ES"/>
        </w:rPr>
        <w:t xml:space="preserve"> </w:t>
      </w:r>
      <w:r w:rsidRPr="000D5434">
        <w:rPr>
          <w:szCs w:val="22"/>
          <w:lang w:val="es-ES"/>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Informe de la OMPI relativo a las misiones exploratorias sobre propiedad intelectual y conocimientos tradicionales</w:t>
      </w:r>
      <w:r w:rsidRPr="000D5434">
        <w:rPr>
          <w:szCs w:val="22"/>
          <w:lang w:val="es-ES"/>
        </w:rPr>
        <w:t xml:space="preserve"> se señala que varios temas, por ejemplo, la forma tradicional de solución de problemas y los conocimientos médicos, se interrelacionan de manera espiritual.</w:t>
      </w:r>
      <w:r w:rsidR="00B834A4" w:rsidRPr="000D5434">
        <w:rPr>
          <w:szCs w:val="22"/>
          <w:lang w:val="es-ES"/>
        </w:rPr>
        <w:t xml:space="preserve"> </w:t>
      </w:r>
      <w:r w:rsidRPr="000D5434">
        <w:rPr>
          <w:szCs w:val="22"/>
          <w:lang w:val="es-ES"/>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B834A4" w:rsidRPr="000D5434">
        <w:rPr>
          <w:szCs w:val="22"/>
          <w:vertAlign w:val="superscript"/>
          <w:lang w:val="es-ES"/>
        </w:rPr>
        <w:t xml:space="preserve"> </w:t>
      </w:r>
      <w:r w:rsidRPr="000D5434">
        <w:rPr>
          <w:szCs w:val="22"/>
          <w:lang w:val="es-ES"/>
        </w:rPr>
        <w:t>En ciertos sistemas de CC.TT., se supone que las creencias y los códigos culturales explican o guían las consecuencias de las actividades de la vida.</w:t>
      </w:r>
      <w:r w:rsidRPr="000D5434">
        <w:rPr>
          <w:rStyle w:val="FootnoteReference"/>
          <w:szCs w:val="22"/>
          <w:lang w:val="es-ES"/>
        </w:rPr>
        <w:footnoteReference w:id="142"/>
      </w:r>
      <w:r w:rsidR="00B834A4" w:rsidRPr="000D5434">
        <w:rPr>
          <w:szCs w:val="22"/>
          <w:vertAlign w:val="superscript"/>
          <w:lang w:val="es-ES"/>
        </w:rPr>
        <w:t xml:space="preserve"> </w:t>
      </w:r>
      <w:r w:rsidRPr="000D5434">
        <w:rPr>
          <w:szCs w:val="22"/>
          <w:lang w:val="es-ES"/>
        </w:rPr>
        <w:t>En el Perú, algunos “conocimientos se transmitían de generación en generación en un ‘libro’ sagrado, no escrito”.</w:t>
      </w:r>
      <w:r w:rsidRPr="000D5434">
        <w:rPr>
          <w:rStyle w:val="FootnoteReference"/>
          <w:szCs w:val="22"/>
          <w:lang w:val="es-ES"/>
        </w:rPr>
        <w:footnoteReference w:id="143"/>
      </w:r>
      <w:r w:rsidR="00B834A4" w:rsidRPr="000D5434">
        <w:rPr>
          <w:szCs w:val="22"/>
          <w:lang w:val="es-ES"/>
        </w:rPr>
        <w:t xml:space="preserve"> </w:t>
      </w:r>
      <w:r w:rsidRPr="000D5434">
        <w:rPr>
          <w:szCs w:val="22"/>
          <w:lang w:val="es-ES"/>
        </w:rPr>
        <w:t>El núcleo de los CC.TT. sagrados y secretos es ponderado de distintas maneras en las comunidades indígenas y locales, y se almacena, se transmite y se registra de maneras diferentes.</w:t>
      </w:r>
    </w:p>
    <w:p w:rsidR="00C0409B" w:rsidRPr="000D5434" w:rsidRDefault="00C0409B" w:rsidP="00103D66">
      <w:pPr>
        <w:pStyle w:val="ONUMFS"/>
        <w:numPr>
          <w:ilvl w:val="0"/>
          <w:numId w:val="0"/>
        </w:numPr>
        <w:rPr>
          <w:szCs w:val="22"/>
          <w:lang w:val="es-ES"/>
        </w:rPr>
      </w:pPr>
      <w:r w:rsidRPr="000D5434">
        <w:rPr>
          <w:szCs w:val="22"/>
          <w:lang w:val="es-ES"/>
        </w:rPr>
        <w:t>Desde la perspectiva de la P.I., y en particular de la labor del Comité, pueden formularse las observaciones siguientes:</w:t>
      </w:r>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t>una delegación preguntó si los CC.TT. sagrados se tendrían en cuenta al examinar la protección por P.I. de los CC.TT.</w:t>
      </w:r>
      <w:r w:rsidRPr="000D5434">
        <w:rPr>
          <w:rStyle w:val="FootnoteReference"/>
          <w:szCs w:val="22"/>
          <w:lang w:val="es-ES"/>
        </w:rPr>
        <w:footnoteReference w:id="144"/>
      </w:r>
      <w:r w:rsidR="00B834A4" w:rsidRPr="000D5434">
        <w:rPr>
          <w:szCs w:val="22"/>
          <w:lang w:val="es-ES"/>
        </w:rPr>
        <w:t xml:space="preserve"> </w:t>
      </w:r>
      <w:r w:rsidRPr="000D5434">
        <w:rPr>
          <w:szCs w:val="22"/>
          <w:lang w:val="es-ES"/>
        </w:rPr>
        <w:t>A este respecto, otra delegación planteó la pregunta según tres aspectos:</w:t>
      </w:r>
      <w:r w:rsidR="00B834A4" w:rsidRPr="000D5434">
        <w:rPr>
          <w:szCs w:val="22"/>
          <w:lang w:val="es-ES"/>
        </w:rPr>
        <w:t xml:space="preserve"> </w:t>
      </w:r>
      <w:r w:rsidRPr="000D5434">
        <w:rPr>
          <w:szCs w:val="22"/>
          <w:lang w:val="es-ES"/>
        </w:rPr>
        <w:t>¿qué es “tradicional”?, ¿qué es “conocimiento”?</w:t>
      </w:r>
      <w:r w:rsidR="00B834A4" w:rsidRPr="000D5434">
        <w:rPr>
          <w:szCs w:val="22"/>
          <w:lang w:val="es-ES"/>
        </w:rPr>
        <w:t xml:space="preserve"> </w:t>
      </w:r>
      <w:r w:rsidRPr="000D5434">
        <w:rPr>
          <w:szCs w:val="22"/>
          <w:lang w:val="es-ES"/>
        </w:rPr>
        <w:t>Y ¿qué debe protegerse?</w:t>
      </w:r>
      <w:r w:rsidR="00B834A4" w:rsidRPr="000D5434">
        <w:rPr>
          <w:szCs w:val="22"/>
          <w:lang w:val="es-ES"/>
        </w:rPr>
        <w:t xml:space="preserve"> </w:t>
      </w:r>
      <w:r w:rsidRPr="000D5434">
        <w:rPr>
          <w:szCs w:val="22"/>
          <w:lang w:val="es-ES"/>
        </w:rPr>
        <w:t>Por ejemplo, según algunas opiniones, la espiritualidad o las religiones deberían incluirse en los CC.TT.;</w:t>
      </w:r>
      <w:r w:rsidR="00B834A4" w:rsidRPr="000D5434">
        <w:rPr>
          <w:szCs w:val="22"/>
          <w:lang w:val="es-ES"/>
        </w:rPr>
        <w:t xml:space="preserve"> </w:t>
      </w:r>
      <w:r w:rsidRPr="000D5434">
        <w:rPr>
          <w:szCs w:val="22"/>
          <w:lang w:val="es-ES"/>
        </w:rPr>
        <w:t>según otras opiniones, los CC.TT. deberían limitarse a los conocimientos técnicos;</w:t>
      </w:r>
      <w:bookmarkStart w:id="15" w:name="sdfootnote53anc"/>
      <w:r w:rsidRPr="000D5434">
        <w:rPr>
          <w:rStyle w:val="FootnoteReference"/>
          <w:szCs w:val="22"/>
          <w:lang w:val="es-ES"/>
        </w:rPr>
        <w:footnoteReference w:id="145"/>
      </w:r>
      <w:bookmarkEnd w:id="15"/>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B834A4" w:rsidRPr="000D5434">
        <w:rPr>
          <w:szCs w:val="22"/>
          <w:lang w:val="es-ES"/>
        </w:rPr>
        <w:t xml:space="preserve"> </w:t>
      </w:r>
      <w:r w:rsidRPr="000D5434">
        <w:rPr>
          <w:szCs w:val="22"/>
          <w:lang w:val="es-ES"/>
        </w:rPr>
        <w:t>Tal como se ha indicado anteriormente en el documento “Protección de los conocimientos tradicionales:</w:t>
      </w:r>
      <w:r w:rsidR="00B834A4" w:rsidRPr="000D5434">
        <w:rPr>
          <w:szCs w:val="22"/>
          <w:lang w:val="es-ES"/>
        </w:rPr>
        <w:t xml:space="preserve"> </w:t>
      </w:r>
      <w:r w:rsidRPr="000D5434">
        <w:rPr>
          <w:szCs w:val="22"/>
          <w:lang w:val="es-ES"/>
        </w:rPr>
        <w:t>Proyecto de análisis de carencias:</w:t>
      </w:r>
      <w:r w:rsidR="00B834A4" w:rsidRPr="000D5434">
        <w:rPr>
          <w:szCs w:val="22"/>
          <w:lang w:val="es-ES"/>
        </w:rPr>
        <w:t xml:space="preserve"> </w:t>
      </w:r>
      <w:r w:rsidRPr="000D5434">
        <w:rPr>
          <w:szCs w:val="22"/>
          <w:lang w:val="es-ES"/>
        </w:rPr>
        <w:t>Revisión” (WIPO/GRTKF/IC/13/5(b) Rev.), los CC.TT. no divulgados pueden estar protegidos por el derecho internacional de P.I. como la información no divulgada en general.</w:t>
      </w:r>
      <w:r w:rsidR="00B834A4" w:rsidRPr="000D5434">
        <w:rPr>
          <w:szCs w:val="22"/>
          <w:lang w:val="es-ES"/>
        </w:rPr>
        <w:t xml:space="preserve"> </w:t>
      </w:r>
      <w:r w:rsidRPr="000D5434">
        <w:rPr>
          <w:szCs w:val="22"/>
          <w:lang w:val="es-ES"/>
        </w:rPr>
        <w:t>Sin embargo, pueden caber consideraciones especiales respecto de los conocimientos que tienen valor espiritual y cultural, pero no valor comercial, para la comunidad.</w:t>
      </w:r>
      <w:r w:rsidRPr="000D5434">
        <w:rPr>
          <w:rStyle w:val="FootnoteReference"/>
          <w:szCs w:val="22"/>
          <w:lang w:val="es-ES"/>
        </w:rPr>
        <w:footnoteReference w:id="146"/>
      </w:r>
    </w:p>
    <w:p w:rsidR="00C0409B" w:rsidRPr="000D5434" w:rsidRDefault="00C0409B" w:rsidP="00103D66">
      <w:pPr>
        <w:pStyle w:val="ONUMFS"/>
        <w:numPr>
          <w:ilvl w:val="0"/>
          <w:numId w:val="0"/>
        </w:numPr>
        <w:rPr>
          <w:b/>
          <w:szCs w:val="22"/>
          <w:lang w:val="es-ES"/>
        </w:rPr>
      </w:pPr>
      <w:r w:rsidRPr="000D5434">
        <w:rPr>
          <w:b/>
          <w:szCs w:val="22"/>
          <w:lang w:val="es-ES"/>
        </w:rPr>
        <w:t>Salvaguardia</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C21FD" w:rsidRPr="000D5434">
        <w:rPr>
          <w:szCs w:val="22"/>
          <w:lang w:val="es-ES"/>
        </w:rPr>
        <w:t>, de la UNESCO,</w:t>
      </w:r>
      <w:r w:rsidRPr="000D5434">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B834A4" w:rsidRPr="000D5434">
        <w:rPr>
          <w:szCs w:val="22"/>
          <w:lang w:val="es-ES"/>
        </w:rPr>
        <w:t xml:space="preserve"> </w:t>
      </w:r>
      <w:r w:rsidRPr="000D5434">
        <w:rPr>
          <w:szCs w:val="22"/>
          <w:lang w:val="es-ES"/>
        </w:rPr>
        <w:t>Designa la adopción de “medidas cautelares destinadas a proteger determinados usos e ideas culturales que se consideran de valor”.</w:t>
      </w:r>
    </w:p>
    <w:p w:rsidR="00C0409B" w:rsidRPr="000D5434" w:rsidRDefault="00C0409B" w:rsidP="00103D66">
      <w:pPr>
        <w:pStyle w:val="ONUMFS"/>
        <w:numPr>
          <w:ilvl w:val="0"/>
          <w:numId w:val="0"/>
        </w:numPr>
        <w:rPr>
          <w:b/>
          <w:szCs w:val="22"/>
          <w:lang w:val="es-ES"/>
        </w:rPr>
      </w:pPr>
      <w:r w:rsidRPr="000D5434">
        <w:rPr>
          <w:b/>
          <w:bCs/>
          <w:szCs w:val="22"/>
          <w:lang w:val="es-ES"/>
        </w:rPr>
        <w:t>Secreto</w:t>
      </w:r>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w:t>
      </w:r>
      <w:r w:rsidR="00B834A4" w:rsidRPr="000D5434">
        <w:rPr>
          <w:szCs w:val="22"/>
          <w:lang w:val="es-ES"/>
        </w:rPr>
        <w:t xml:space="preserve"> </w:t>
      </w:r>
      <w:r w:rsidRPr="000D5434">
        <w:rPr>
          <w:szCs w:val="22"/>
          <w:lang w:val="es-ES"/>
        </w:rPr>
        <w:t>Por otra parte, se denomina “secreto o sagrado” a las “expresiones culturales tradicionales que revisten naturaleza secreta o sagrada de conformidad con las leyes y prácticas consuetudinarias de los propietarios tradicionales”.</w:t>
      </w:r>
      <w:r w:rsidRPr="000D5434">
        <w:rPr>
          <w:rStyle w:val="FootnoteReference"/>
          <w:szCs w:val="22"/>
          <w:lang w:val="es-ES"/>
        </w:rPr>
        <w:footnoteReference w:id="147"/>
      </w:r>
    </w:p>
    <w:p w:rsidR="00C0409B" w:rsidRPr="000D5434" w:rsidRDefault="00C0409B" w:rsidP="00103D66">
      <w:pPr>
        <w:pStyle w:val="ONUMFS"/>
        <w:numPr>
          <w:ilvl w:val="0"/>
          <w:numId w:val="0"/>
        </w:numPr>
        <w:rPr>
          <w:b/>
          <w:i/>
          <w:iCs/>
          <w:szCs w:val="22"/>
          <w:lang w:val="es-ES"/>
        </w:rPr>
      </w:pPr>
      <w:r w:rsidRPr="000D5434">
        <w:rPr>
          <w:rStyle w:val="Emphasis"/>
          <w:b/>
          <w:bCs/>
          <w:szCs w:val="22"/>
          <w:lang w:val="es-ES"/>
        </w:rPr>
        <w:t>Fuente de los recursos genéticos</w:t>
      </w:r>
    </w:p>
    <w:p w:rsidR="005E60D3" w:rsidRPr="000D5434" w:rsidRDefault="00C0409B" w:rsidP="00103D66">
      <w:pPr>
        <w:pStyle w:val="ONUMFS"/>
        <w:numPr>
          <w:ilvl w:val="0"/>
          <w:numId w:val="0"/>
        </w:numPr>
        <w:rPr>
          <w:szCs w:val="22"/>
          <w:lang w:val="es-ES"/>
        </w:rPr>
      </w:pPr>
      <w:r w:rsidRPr="000D5434">
        <w:rPr>
          <w:szCs w:val="22"/>
          <w:lang w:val="es-ES"/>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w:t>
      </w:r>
      <w:r w:rsidR="00B834A4" w:rsidRPr="000D5434">
        <w:rPr>
          <w:szCs w:val="22"/>
          <w:lang w:val="es-ES"/>
        </w:rPr>
        <w:t xml:space="preserve"> </w:t>
      </w:r>
      <w:r w:rsidRPr="000D5434">
        <w:rPr>
          <w:szCs w:val="22"/>
          <w:lang w:val="es-ES"/>
        </w:rPr>
        <w:t>En dicha comunicación se establece que “el término ‘fuente’ debería entenderse en su sentido más amplio posible”, ya que “una multitud de entidades puede estar implicada en el acceso y la participación en los beneficios.</w:t>
      </w:r>
      <w:r w:rsidR="00B834A4" w:rsidRPr="000D5434">
        <w:rPr>
          <w:szCs w:val="22"/>
          <w:lang w:val="es-ES"/>
        </w:rPr>
        <w:t xml:space="preserve"> </w:t>
      </w:r>
      <w:r w:rsidRPr="000D5434">
        <w:rPr>
          <w:szCs w:val="22"/>
          <w:lang w:val="es-ES"/>
        </w:rPr>
        <w:t>En primer lugar debe declararse como fuente la entidad competente para:</w:t>
      </w:r>
      <w:r w:rsidR="00B834A4" w:rsidRPr="000D5434">
        <w:rPr>
          <w:szCs w:val="22"/>
          <w:lang w:val="es-ES"/>
        </w:rPr>
        <w:t xml:space="preserve"> </w:t>
      </w:r>
      <w:r w:rsidRPr="000D5434">
        <w:rPr>
          <w:szCs w:val="22"/>
          <w:lang w:val="es-ES"/>
        </w:rPr>
        <w:t>1) otorgar el acceso a los recursos genéticos y/o los conocimientos tradicionales, o 2) participar en la distribución de los beneficios derivados de su utilización.</w:t>
      </w:r>
      <w:r w:rsidR="00B834A4" w:rsidRPr="000D5434">
        <w:rPr>
          <w:szCs w:val="22"/>
          <w:lang w:val="es-ES"/>
        </w:rPr>
        <w:t xml:space="preserve"> </w:t>
      </w:r>
      <w:r w:rsidRPr="000D5434">
        <w:rPr>
          <w:szCs w:val="22"/>
          <w:lang w:val="es-ES"/>
        </w:rPr>
        <w:t>Según el recurso genético o el conocimiento tradicional en cuestión, pueden distinguirse las fuentes primarias, incluidas en particular las Partes Contratantes que proveen los recursos genéticos</w:t>
      </w:r>
      <w:r w:rsidRPr="000D5434">
        <w:rPr>
          <w:rStyle w:val="FootnoteReference"/>
          <w:szCs w:val="22"/>
          <w:lang w:val="es-ES"/>
        </w:rPr>
        <w:footnoteReference w:id="148"/>
      </w:r>
      <w:r w:rsidRPr="000D5434">
        <w:rPr>
          <w:szCs w:val="22"/>
          <w:lang w:val="es-ES"/>
        </w:rPr>
        <w:t xml:space="preserve"> y, por último, el Sistema Multilateral del Tratado Internacional de la FAO,</w:t>
      </w:r>
      <w:r w:rsidRPr="000D5434">
        <w:rPr>
          <w:rStyle w:val="FootnoteReference"/>
          <w:szCs w:val="22"/>
          <w:lang w:val="es-ES"/>
        </w:rPr>
        <w:footnoteReference w:id="149"/>
      </w:r>
      <w:r w:rsidRPr="000D5434">
        <w:rPr>
          <w:szCs w:val="22"/>
          <w:lang w:val="es-ES"/>
        </w:rPr>
        <w:t xml:space="preserve"> las comunidades indígenas y locales;</w:t>
      </w:r>
      <w:bookmarkStart w:id="16" w:name="sdfootnote57anc"/>
      <w:r w:rsidRPr="000D5434">
        <w:rPr>
          <w:rStyle w:val="FootnoteReference"/>
          <w:szCs w:val="22"/>
          <w:lang w:val="es-ES"/>
        </w:rPr>
        <w:footnoteReference w:id="150"/>
      </w:r>
      <w:bookmarkEnd w:id="16"/>
      <w:r w:rsidR="00B834A4" w:rsidRPr="000D5434">
        <w:rPr>
          <w:szCs w:val="22"/>
          <w:lang w:val="es-ES"/>
        </w:rPr>
        <w:t xml:space="preserve"> </w:t>
      </w:r>
      <w:r w:rsidRPr="000D5434">
        <w:rPr>
          <w:szCs w:val="22"/>
          <w:lang w:val="es-ES"/>
        </w:rPr>
        <w:t xml:space="preserve">y las fuentes secundarias, incluidas en particular las colecciones </w:t>
      </w:r>
      <w:r w:rsidRPr="000D5434">
        <w:rPr>
          <w:i/>
          <w:szCs w:val="22"/>
          <w:lang w:val="es-ES"/>
        </w:rPr>
        <w:t>ex situ</w:t>
      </w:r>
      <w:r w:rsidRPr="000D5434">
        <w:rPr>
          <w:szCs w:val="22"/>
          <w:lang w:val="es-ES"/>
        </w:rPr>
        <w:t xml:space="preserve"> y la literatura científica”.</w:t>
      </w:r>
      <w:r w:rsidRPr="000D5434">
        <w:rPr>
          <w:rStyle w:val="FootnoteReference"/>
          <w:szCs w:val="22"/>
          <w:lang w:val="es-ES"/>
        </w:rPr>
        <w:footnoteReference w:id="151"/>
      </w:r>
    </w:p>
    <w:p w:rsidR="00C0409B" w:rsidRPr="000D5434" w:rsidRDefault="00C0409B" w:rsidP="00103D66">
      <w:pPr>
        <w:pStyle w:val="ONUMFS"/>
        <w:numPr>
          <w:ilvl w:val="0"/>
          <w:numId w:val="0"/>
        </w:numPr>
        <w:rPr>
          <w:b/>
          <w:bCs/>
          <w:iCs/>
          <w:szCs w:val="22"/>
          <w:lang w:val="es-ES"/>
        </w:rPr>
      </w:pPr>
      <w:r w:rsidRPr="000D5434">
        <w:rPr>
          <w:b/>
          <w:bCs/>
          <w:iCs/>
          <w:szCs w:val="22"/>
          <w:lang w:val="es-ES"/>
        </w:rPr>
        <w:t>Sui géneris</w:t>
      </w:r>
    </w:p>
    <w:p w:rsidR="00C0409B" w:rsidRPr="000D5434" w:rsidRDefault="00C0409B" w:rsidP="00103D66">
      <w:pPr>
        <w:pStyle w:val="ONUMFS"/>
        <w:numPr>
          <w:ilvl w:val="0"/>
          <w:numId w:val="0"/>
        </w:numPr>
        <w:rPr>
          <w:szCs w:val="22"/>
          <w:lang w:val="es-ES"/>
        </w:rPr>
      </w:pPr>
      <w:r w:rsidRPr="000D5434">
        <w:rPr>
          <w:szCs w:val="22"/>
          <w:lang w:val="es-ES"/>
        </w:rPr>
        <w:t>En el Diccionario de la lengua española de la Real Academia Española se define “sui géneris” como “([l]oc. lat.;</w:t>
      </w:r>
      <w:r w:rsidR="00B834A4" w:rsidRPr="000D5434">
        <w:rPr>
          <w:szCs w:val="22"/>
          <w:lang w:val="es-ES"/>
        </w:rPr>
        <w:t xml:space="preserve"> </w:t>
      </w:r>
      <w:r w:rsidRPr="000D5434">
        <w:rPr>
          <w:szCs w:val="22"/>
          <w:lang w:val="es-ES"/>
        </w:rPr>
        <w:t>literalmente, 'de su género</w:t>
      </w:r>
      <w:r w:rsidR="008D49E2" w:rsidRPr="000D5434">
        <w:rPr>
          <w:szCs w:val="22"/>
          <w:lang w:val="es-ES"/>
        </w:rPr>
        <w:t xml:space="preserve">', 'de su especie'). loc. adj. </w:t>
      </w:r>
      <w:r w:rsidRPr="000D5434">
        <w:rPr>
          <w:szCs w:val="22"/>
          <w:lang w:val="es-ES"/>
        </w:rPr>
        <w:t>[d]icho de una cosa:</w:t>
      </w:r>
      <w:r w:rsidR="00B834A4" w:rsidRPr="000D5434">
        <w:rPr>
          <w:szCs w:val="22"/>
          <w:lang w:val="es-ES"/>
        </w:rPr>
        <w:t xml:space="preserve"> </w:t>
      </w:r>
      <w:r w:rsidRPr="000D5434">
        <w:rPr>
          <w:szCs w:val="22"/>
          <w:lang w:val="es-ES"/>
        </w:rPr>
        <w:t>[d]e un género o especie muy singular y excepcional”.</w:t>
      </w:r>
      <w:r w:rsidR="00B834A4" w:rsidRPr="000D5434">
        <w:rPr>
          <w:szCs w:val="22"/>
          <w:lang w:val="es-ES"/>
        </w:rPr>
        <w:t xml:space="preserve"> </w:t>
      </w:r>
      <w:r w:rsidRPr="000D5434">
        <w:rPr>
          <w:szCs w:val="22"/>
          <w:lang w:val="es-ES"/>
        </w:rPr>
        <w:t>En el mismo sentido se define “sui géneris” en el diccionario jurídico de Black utilizado para la referencia del término en inglés.</w:t>
      </w:r>
      <w:r w:rsidR="00B834A4" w:rsidRPr="000D5434">
        <w:rPr>
          <w:szCs w:val="22"/>
          <w:lang w:val="es-ES"/>
        </w:rPr>
        <w:t xml:space="preserve"> </w:t>
      </w:r>
      <w:r w:rsidRPr="000D5434">
        <w:rPr>
          <w:szCs w:val="22"/>
          <w:lang w:val="es-ES"/>
        </w:rPr>
        <w:t>En el Derecho de propiedad intelectual, “sui géneris” se emplea para describir un régimen concebido para proteger los derechos que no están contemplados en las doctrinas tradicionales de patentes, marcas, derecho de autor y secreto comercial.</w:t>
      </w:r>
      <w:r w:rsidR="00B834A4" w:rsidRPr="000D5434">
        <w:rPr>
          <w:szCs w:val="22"/>
          <w:lang w:val="es-ES"/>
        </w:rPr>
        <w:t xml:space="preserve"> </w:t>
      </w:r>
      <w:r w:rsidRPr="000D5434">
        <w:rPr>
          <w:szCs w:val="22"/>
          <w:lang w:val="es-ES"/>
        </w:rPr>
        <w:t>Por ejemplo, no se podrá proteger una base de datos mediante el derecho de autor si el contenido no es original, pero podría ser protegida por un sistema sui géneris concebido a esos fines.</w:t>
      </w:r>
      <w:r w:rsidR="00B834A4" w:rsidRPr="000D5434">
        <w:rPr>
          <w:szCs w:val="22"/>
          <w:lang w:val="es-ES"/>
        </w:rPr>
        <w:t xml:space="preserve"> </w:t>
      </w:r>
      <w:r w:rsidRPr="000D5434">
        <w:rPr>
          <w:szCs w:val="22"/>
          <w:lang w:val="es-ES"/>
        </w:rPr>
        <w:t xml:space="preserve">Se dispone ya de varios ejemplos de derechos sui géneris de propiedad intelectual, tales como los derechos de obtentor, según se establece en el </w:t>
      </w:r>
      <w:r w:rsidRPr="000D5434">
        <w:rPr>
          <w:i/>
          <w:szCs w:val="22"/>
          <w:lang w:val="es-ES"/>
        </w:rPr>
        <w:t>Convenio Internacional para la Protección de las Obtenciones Vegetales</w:t>
      </w:r>
      <w:r w:rsidRPr="000D5434">
        <w:rPr>
          <w:szCs w:val="22"/>
          <w:lang w:val="es-ES"/>
        </w:rPr>
        <w:t xml:space="preserve"> de 1991 (“el Convenio de la UPOV”), y la protección de la propiedad intelectual de los circuitos integrados, como se refleja en el </w:t>
      </w:r>
      <w:r w:rsidRPr="000D5434">
        <w:rPr>
          <w:i/>
          <w:szCs w:val="22"/>
          <w:lang w:val="es-ES"/>
        </w:rPr>
        <w:t>Tratado sobre la Propiedad Intelectual respecto de los Circuitos Integrados</w:t>
      </w:r>
      <w:r w:rsidRPr="000D5434">
        <w:rPr>
          <w:szCs w:val="22"/>
          <w:lang w:val="es-ES"/>
        </w:rPr>
        <w:t xml:space="preserve"> de 1989 (“el Tratado de Washington”), entre otros.</w:t>
      </w:r>
      <w:r w:rsidR="00B834A4" w:rsidRPr="000D5434">
        <w:rPr>
          <w:szCs w:val="22"/>
          <w:lang w:val="es-ES"/>
        </w:rPr>
        <w:t xml:space="preserve"> </w:t>
      </w:r>
      <w:r w:rsidRPr="000D5434">
        <w:rPr>
          <w:szCs w:val="22"/>
          <w:lang w:val="es-ES"/>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0D5434" w:rsidRDefault="00C0409B" w:rsidP="00103D66">
      <w:pPr>
        <w:pStyle w:val="ONUMFS"/>
        <w:numPr>
          <w:ilvl w:val="0"/>
          <w:numId w:val="0"/>
        </w:numPr>
        <w:rPr>
          <w:b/>
          <w:bCs/>
          <w:szCs w:val="22"/>
          <w:lang w:val="es-ES"/>
        </w:rPr>
      </w:pPr>
      <w:r w:rsidRPr="000D5434">
        <w:rPr>
          <w:b/>
          <w:bCs/>
          <w:szCs w:val="22"/>
          <w:lang w:val="es-ES"/>
        </w:rPr>
        <w:t>Protocolo de Swakopmund sobre la Protección de los Conocimientos Tradicionales y las Expresiones del Folclore</w:t>
      </w:r>
    </w:p>
    <w:p w:rsidR="00C0409B" w:rsidRPr="000D5434" w:rsidRDefault="00C0409B" w:rsidP="00103D66">
      <w:pPr>
        <w:pStyle w:val="ONUMFS"/>
        <w:numPr>
          <w:ilvl w:val="0"/>
          <w:numId w:val="0"/>
        </w:numPr>
        <w:rPr>
          <w:szCs w:val="22"/>
          <w:lang w:val="es-ES"/>
        </w:rPr>
      </w:pPr>
      <w:r w:rsidRPr="000D5434">
        <w:rPr>
          <w:szCs w:val="22"/>
          <w:lang w:val="es-ES"/>
        </w:rPr>
        <w:t>Los Estados miembros de la Organización Regional Africana de la Propiedad Intelectual (ARIPO) adoptaron un protocolo en agosto de 2010 durante la conferencia diplomática celebrada en Swakopmund (Namibia).</w:t>
      </w:r>
      <w:r w:rsidR="00B834A4" w:rsidRPr="000D5434">
        <w:rPr>
          <w:szCs w:val="22"/>
          <w:lang w:val="es-ES"/>
        </w:rPr>
        <w:t xml:space="preserve"> </w:t>
      </w:r>
      <w:r w:rsidRPr="000D5434">
        <w:rPr>
          <w:szCs w:val="22"/>
          <w:lang w:val="es-ES"/>
        </w:rPr>
        <w:t>Con arreglo al artículo 1.1, este Protocolo tiene por objetivo:</w:t>
      </w:r>
      <w:r w:rsidR="00B834A4" w:rsidRPr="000D5434">
        <w:rPr>
          <w:szCs w:val="22"/>
          <w:lang w:val="es-ES"/>
        </w:rPr>
        <w:t xml:space="preserve"> </w:t>
      </w:r>
      <w:r w:rsidRPr="000D5434">
        <w:rPr>
          <w:szCs w:val="22"/>
          <w:lang w:val="es-ES"/>
        </w:rPr>
        <w:t>“a) proteger a los poseedores de conocimientos tradicionales contra cualquier infracción de sus derechos reconocidos por este Protocolo;</w:t>
      </w:r>
      <w:r w:rsidR="00B834A4" w:rsidRPr="000D5434">
        <w:rPr>
          <w:szCs w:val="22"/>
          <w:lang w:val="es-ES"/>
        </w:rPr>
        <w:t xml:space="preserve"> </w:t>
      </w:r>
      <w:r w:rsidRPr="000D5434">
        <w:rPr>
          <w:szCs w:val="22"/>
          <w:lang w:val="es-ES"/>
        </w:rPr>
        <w:t>y b) proteger las expresiones del folclore contra la apropiación indebida, el uso indebido y la explotación ilegal fuera de su contexto tradicional”, (traducción oficiosa de la Oficina Internacional).</w:t>
      </w:r>
      <w:r w:rsidR="00B834A4" w:rsidRPr="000D5434">
        <w:rPr>
          <w:szCs w:val="22"/>
          <w:lang w:val="es-ES"/>
        </w:rPr>
        <w:t xml:space="preserve"> </w:t>
      </w:r>
      <w:r w:rsidRPr="000D5434">
        <w:rPr>
          <w:szCs w:val="22"/>
          <w:lang w:val="es-ES"/>
        </w:rPr>
        <w:t>El Protocolo entr</w:t>
      </w:r>
      <w:r w:rsidR="005E60D3" w:rsidRPr="000D5434">
        <w:rPr>
          <w:szCs w:val="22"/>
          <w:lang w:val="es-ES"/>
        </w:rPr>
        <w:t>ó</w:t>
      </w:r>
      <w:r w:rsidRPr="000D5434">
        <w:rPr>
          <w:szCs w:val="22"/>
          <w:lang w:val="es-ES"/>
        </w:rPr>
        <w:t xml:space="preserve"> en vigor </w:t>
      </w:r>
      <w:r w:rsidR="005E60D3" w:rsidRPr="000D5434">
        <w:rPr>
          <w:szCs w:val="22"/>
          <w:lang w:val="es-ES"/>
        </w:rPr>
        <w:t xml:space="preserve">el 11 de mayo de 2015, </w:t>
      </w:r>
      <w:r w:rsidRPr="000D5434">
        <w:rPr>
          <w:szCs w:val="22"/>
          <w:lang w:val="es-ES"/>
        </w:rPr>
        <w:t xml:space="preserve">cuando </w:t>
      </w:r>
      <w:r w:rsidR="005E60D3" w:rsidRPr="000D5434">
        <w:rPr>
          <w:szCs w:val="22"/>
          <w:lang w:val="es-ES"/>
        </w:rPr>
        <w:t>se alcanzó el número de seis Estados miembros de la </w:t>
      </w:r>
      <w:r w:rsidRPr="000D5434">
        <w:rPr>
          <w:szCs w:val="22"/>
          <w:lang w:val="es-ES"/>
        </w:rPr>
        <w:t xml:space="preserve">ARIPO </w:t>
      </w:r>
      <w:r w:rsidR="005E60D3" w:rsidRPr="000D5434">
        <w:rPr>
          <w:szCs w:val="22"/>
          <w:lang w:val="es-ES"/>
        </w:rPr>
        <w:t xml:space="preserve">que </w:t>
      </w:r>
      <w:r w:rsidRPr="000D5434">
        <w:rPr>
          <w:szCs w:val="22"/>
          <w:lang w:val="es-ES"/>
        </w:rPr>
        <w:t>deposit</w:t>
      </w:r>
      <w:r w:rsidR="005E60D3" w:rsidRPr="000D5434">
        <w:rPr>
          <w:szCs w:val="22"/>
          <w:lang w:val="es-ES"/>
        </w:rPr>
        <w:t>aron</w:t>
      </w:r>
      <w:r w:rsidRPr="000D5434">
        <w:rPr>
          <w:szCs w:val="22"/>
          <w:lang w:val="es-ES"/>
        </w:rPr>
        <w:t xml:space="preserve"> sus instrumentos de ratificación o de adhesión.</w:t>
      </w:r>
    </w:p>
    <w:p w:rsidR="00C0409B" w:rsidRPr="000D5434" w:rsidRDefault="00C0409B" w:rsidP="00B16297">
      <w:pPr>
        <w:pStyle w:val="ONUMFS"/>
        <w:numPr>
          <w:ilvl w:val="0"/>
          <w:numId w:val="0"/>
        </w:numPr>
        <w:rPr>
          <w:b/>
          <w:bCs/>
          <w:szCs w:val="22"/>
          <w:lang w:val="es-ES"/>
        </w:rPr>
      </w:pPr>
      <w:r w:rsidRPr="000D5434">
        <w:rPr>
          <w:b/>
          <w:bCs/>
          <w:szCs w:val="22"/>
          <w:lang w:val="es-ES"/>
        </w:rPr>
        <w:t>Expresiones materiales (o tangibles)</w:t>
      </w:r>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“tangible” es aquello “que se puede tocar” o “que se puede percibir de manera precisa”.</w:t>
      </w:r>
      <w:r w:rsidR="00B834A4" w:rsidRPr="000D5434">
        <w:rPr>
          <w:szCs w:val="22"/>
          <w:lang w:val="es-ES"/>
        </w:rPr>
        <w:t xml:space="preserve"> </w:t>
      </w:r>
      <w:r w:rsidRPr="000D5434">
        <w:rPr>
          <w:szCs w:val="22"/>
          <w:lang w:val="es-ES"/>
        </w:rPr>
        <w:t>El Diccionario de uso del español de María Moliner añade que es lo “susceptible de ser tocado o percibido por el tacto”.</w:t>
      </w:r>
      <w:r w:rsidR="00B834A4" w:rsidRPr="000D5434">
        <w:rPr>
          <w:szCs w:val="22"/>
          <w:lang w:val="es-ES"/>
        </w:rPr>
        <w:t xml:space="preserve"> </w:t>
      </w:r>
      <w:r w:rsidRPr="000D5434">
        <w:rPr>
          <w:szCs w:val="22"/>
          <w:lang w:val="es-ES"/>
        </w:rPr>
        <w:t>Es sinónimo de “material” y antónimo de “intangible”, que designa las cosas incorpóreas, impalpables o inmateriales, lo “que no debe o no puede tocarse”.</w:t>
      </w:r>
    </w:p>
    <w:p w:rsidR="00C0409B" w:rsidRPr="000D5434" w:rsidRDefault="00C0409B" w:rsidP="00103D66">
      <w:pPr>
        <w:pStyle w:val="ONUMFS"/>
        <w:numPr>
          <w:ilvl w:val="0"/>
          <w:numId w:val="0"/>
        </w:numPr>
        <w:rPr>
          <w:szCs w:val="22"/>
          <w:lang w:val="es-ES"/>
        </w:rPr>
      </w:pPr>
      <w:r w:rsidRPr="000D5434">
        <w:rPr>
          <w:szCs w:val="22"/>
          <w:lang w:val="es-ES"/>
        </w:rPr>
        <w:t>Las expresiones tangibles son las expresiones incorporadas en objetos materiales.</w:t>
      </w:r>
      <w:r w:rsidRPr="000D5434">
        <w:rPr>
          <w:rStyle w:val="FootnoteReference"/>
          <w:szCs w:val="22"/>
          <w:lang w:val="es-ES"/>
        </w:rPr>
        <w:footnoteReference w:id="152"/>
      </w:r>
      <w:r w:rsidR="00B834A4" w:rsidRPr="000D5434">
        <w:rPr>
          <w:szCs w:val="22"/>
          <w:lang w:val="es-ES"/>
        </w:rPr>
        <w:t xml:space="preserve"> </w:t>
      </w:r>
      <w:r w:rsidRPr="000D5434">
        <w:rPr>
          <w:szCs w:val="22"/>
          <w:lang w:val="es-ES"/>
        </w:rPr>
        <w:t>No necesitan estar fijadas en un soporte, pero deben estar incorporadas en un material permanente, como la piedra, la madera, los tejidos, el oro, etcétera.</w:t>
      </w:r>
      <w:r w:rsidR="00B834A4" w:rsidRPr="000D5434">
        <w:rPr>
          <w:szCs w:val="22"/>
          <w:lang w:val="es-ES"/>
        </w:rPr>
        <w:t xml:space="preserve"> </w:t>
      </w:r>
      <w:r w:rsidRPr="000D5434">
        <w:rPr>
          <w:szCs w:val="22"/>
          <w:lang w:val="es-ES"/>
        </w:rPr>
        <w:t>Las expresiones tangibles constituyen expresiones del folclore protegidas.</w:t>
      </w:r>
      <w:r w:rsidR="00B834A4" w:rsidRPr="000D5434">
        <w:rPr>
          <w:szCs w:val="22"/>
          <w:lang w:val="es-ES"/>
        </w:rPr>
        <w:t xml:space="preserve"> </w:t>
      </w:r>
      <w:r w:rsidRPr="000D5434">
        <w:rPr>
          <w:szCs w:val="22"/>
          <w:lang w:val="es-ES"/>
        </w:rPr>
        <w:t>A modo de ejemplo cabe señalar las siguientes:</w:t>
      </w:r>
    </w:p>
    <w:p w:rsidR="00C0409B" w:rsidRPr="000D5434" w:rsidRDefault="00C0409B" w:rsidP="00103D66">
      <w:pPr>
        <w:pStyle w:val="ONUMFS"/>
        <w:numPr>
          <w:ilvl w:val="0"/>
          <w:numId w:val="0"/>
        </w:numPr>
        <w:ind w:left="1134" w:hanging="584"/>
        <w:rPr>
          <w:szCs w:val="22"/>
          <w:lang w:val="es-ES"/>
        </w:rPr>
      </w:pPr>
      <w:r w:rsidRPr="000D5434">
        <w:rPr>
          <w:szCs w:val="22"/>
          <w:lang w:val="es-ES"/>
        </w:rPr>
        <w:t>a)</w:t>
      </w:r>
      <w:r w:rsidRPr="000D5434">
        <w:rPr>
          <w:szCs w:val="22"/>
          <w:lang w:val="es-ES"/>
        </w:rPr>
        <w:tab/>
        <w:t>las obras de arte popular y tradicional, tales como:</w:t>
      </w:r>
      <w:r w:rsidR="00B834A4" w:rsidRPr="000D5434">
        <w:rPr>
          <w:szCs w:val="22"/>
          <w:lang w:val="es-ES"/>
        </w:rPr>
        <w:t xml:space="preserve"> </w:t>
      </w:r>
      <w:r w:rsidRPr="000D5434">
        <w:rPr>
          <w:szCs w:val="22"/>
          <w:lang w:val="es-ES"/>
        </w:rPr>
        <w:t>dibujos, pinturas, tallas, esculturas, alfarería, terracota, mosaico, ebanistería, forja, joyería, cestería, labores de punto, textiles, tapices, trajes;</w:t>
      </w:r>
    </w:p>
    <w:p w:rsidR="00C0409B" w:rsidRPr="000D5434" w:rsidRDefault="00C0409B" w:rsidP="00103D66">
      <w:pPr>
        <w:pStyle w:val="ONUMFS"/>
        <w:numPr>
          <w:ilvl w:val="0"/>
          <w:numId w:val="0"/>
        </w:numPr>
        <w:ind w:left="1134" w:hanging="584"/>
        <w:rPr>
          <w:szCs w:val="22"/>
          <w:lang w:val="es-ES"/>
        </w:rPr>
      </w:pPr>
      <w:r w:rsidRPr="000D5434">
        <w:rPr>
          <w:szCs w:val="22"/>
          <w:lang w:val="es-ES"/>
        </w:rPr>
        <w:t>b)</w:t>
      </w:r>
      <w:r w:rsidRPr="000D5434">
        <w:rPr>
          <w:szCs w:val="22"/>
          <w:lang w:val="es-ES"/>
        </w:rPr>
        <w:tab/>
        <w:t>los instrumentos musicales;</w:t>
      </w:r>
    </w:p>
    <w:p w:rsidR="00C0409B" w:rsidRPr="000D5434" w:rsidRDefault="00C0409B" w:rsidP="00103D66">
      <w:pPr>
        <w:pStyle w:val="ONUMFS"/>
        <w:numPr>
          <w:ilvl w:val="0"/>
          <w:numId w:val="0"/>
        </w:numPr>
        <w:ind w:left="1134" w:hanging="567"/>
        <w:rPr>
          <w:szCs w:val="22"/>
          <w:lang w:val="es-ES"/>
        </w:rPr>
      </w:pPr>
      <w:r w:rsidRPr="000D5434">
        <w:rPr>
          <w:szCs w:val="22"/>
          <w:lang w:val="es-ES"/>
        </w:rPr>
        <w:t>c)</w:t>
      </w:r>
      <w:r w:rsidRPr="000D5434">
        <w:rPr>
          <w:szCs w:val="22"/>
          <w:lang w:val="es-ES"/>
        </w:rPr>
        <w:tab/>
        <w:t>las obras arquitectónicas.</w:t>
      </w:r>
      <w:r w:rsidRPr="000D5434">
        <w:rPr>
          <w:rStyle w:val="FootnoteReference"/>
          <w:szCs w:val="22"/>
          <w:lang w:val="es-ES"/>
        </w:rPr>
        <w:footnoteReference w:id="153"/>
      </w:r>
    </w:p>
    <w:p w:rsidR="00C0409B" w:rsidRPr="000D5434" w:rsidRDefault="00C0409B" w:rsidP="00B16297">
      <w:pPr>
        <w:pStyle w:val="ONUMFS"/>
        <w:numPr>
          <w:ilvl w:val="0"/>
          <w:numId w:val="0"/>
        </w:numPr>
        <w:rPr>
          <w:b/>
          <w:bCs/>
          <w:szCs w:val="22"/>
          <w:lang w:val="es-ES"/>
        </w:rPr>
      </w:pPr>
      <w:r w:rsidRPr="000D5434">
        <w:rPr>
          <w:b/>
          <w:bCs/>
          <w:szCs w:val="22"/>
          <w:lang w:val="es-ES"/>
        </w:rPr>
        <w:t>Contexto tradicional</w:t>
      </w:r>
    </w:p>
    <w:p w:rsidR="00C0409B" w:rsidRPr="000D5434" w:rsidRDefault="00C0409B" w:rsidP="00B16297">
      <w:pPr>
        <w:pStyle w:val="ONUMFS"/>
        <w:numPr>
          <w:ilvl w:val="0"/>
          <w:numId w:val="0"/>
        </w:numPr>
        <w:rPr>
          <w:szCs w:val="22"/>
          <w:lang w:val="es-ES"/>
        </w:rPr>
      </w:pPr>
      <w:r w:rsidRPr="000D5434">
        <w:rPr>
          <w:szCs w:val="22"/>
          <w:lang w:val="es-ES"/>
        </w:rPr>
        <w:t>Se califica de “tradicionales” a los conocimientos desarrollados de conformidad con las reglas, protocolos y costumbres de una determinada comunidad, y no porque sean antiguos.</w:t>
      </w:r>
      <w:r w:rsidR="00B834A4" w:rsidRPr="000D5434">
        <w:rPr>
          <w:szCs w:val="22"/>
          <w:lang w:val="es-ES"/>
        </w:rPr>
        <w:t xml:space="preserve"> </w:t>
      </w:r>
      <w:r w:rsidRPr="000D5434">
        <w:rPr>
          <w:szCs w:val="22"/>
          <w:lang w:val="es-ES"/>
        </w:rPr>
        <w:t>En otras palabras, el adjetivo “tradicional” califica el método de creación de las expresiones culturales tradicionales y no las propias expresiones.</w:t>
      </w:r>
      <w:r w:rsidRPr="000D5434">
        <w:rPr>
          <w:rStyle w:val="FootnoteReference"/>
          <w:szCs w:val="22"/>
          <w:lang w:val="es-ES"/>
        </w:rPr>
        <w:footnoteReference w:id="154"/>
      </w:r>
      <w:r w:rsidR="00B834A4" w:rsidRPr="000D5434">
        <w:rPr>
          <w:szCs w:val="22"/>
          <w:lang w:val="es-ES"/>
        </w:rPr>
        <w:t xml:space="preserve"> </w:t>
      </w:r>
      <w:r w:rsidRPr="000D5434">
        <w:rPr>
          <w:szCs w:val="22"/>
          <w:lang w:val="es-ES"/>
        </w:rPr>
        <w:t>El término “tradicional” significa “que las expresiones culturales se derivan o se basan en la tradición y se identifican o asocian con un pueblo indígena o tradicional determinado y pueden practicarse de manera tradicional”.</w:t>
      </w:r>
      <w:r w:rsidRPr="000D5434">
        <w:rPr>
          <w:rStyle w:val="FootnoteReference"/>
          <w:szCs w:val="22"/>
          <w:lang w:val="es-ES"/>
        </w:rPr>
        <w:footnoteReference w:id="155"/>
      </w:r>
      <w:r w:rsidR="00B834A4" w:rsidRPr="000D5434">
        <w:rPr>
          <w:szCs w:val="22"/>
          <w:lang w:val="es-ES"/>
        </w:rPr>
        <w:t xml:space="preserve"> </w:t>
      </w:r>
      <w:r w:rsidRPr="000D5434">
        <w:rPr>
          <w:szCs w:val="22"/>
          <w:lang w:val="es-ES"/>
        </w:rPr>
        <w:t>El</w:t>
      </w:r>
      <w:r w:rsidR="00814353" w:rsidRPr="000D5434">
        <w:rPr>
          <w:szCs w:val="22"/>
          <w:lang w:val="es-ES"/>
        </w:rPr>
        <w:t> </w:t>
      </w:r>
      <w:r w:rsidRPr="000D5434">
        <w:rPr>
          <w:szCs w:val="22"/>
          <w:lang w:val="es-ES"/>
        </w:rPr>
        <w:t>“contexto tradicional” es “la forma de utilización de una expresión del folclore en su marco artístico propio, sobre la base del uso permanente por la comunidad”.</w:t>
      </w:r>
      <w:r w:rsidR="00B834A4" w:rsidRPr="000D5434">
        <w:rPr>
          <w:szCs w:val="22"/>
          <w:lang w:val="es-ES"/>
        </w:rPr>
        <w:t xml:space="preserve"> </w:t>
      </w:r>
      <w:r w:rsidRPr="000D5434">
        <w:rPr>
          <w:szCs w:val="22"/>
          <w:lang w:val="es-ES"/>
        </w:rPr>
        <w:t>Por ejemplo, “utilizar una danza ritual en su contexto tradicional significa ejecutarla en el marco propio del rito”.</w:t>
      </w:r>
      <w:r w:rsidRPr="000D5434">
        <w:rPr>
          <w:rStyle w:val="FootnoteReference"/>
          <w:szCs w:val="22"/>
          <w:lang w:val="es-ES"/>
        </w:rPr>
        <w:footnoteReference w:id="156"/>
      </w:r>
    </w:p>
    <w:p w:rsidR="00C0409B" w:rsidRPr="000D5434" w:rsidRDefault="00C0409B" w:rsidP="00103D66">
      <w:pPr>
        <w:pStyle w:val="ONUMFS"/>
        <w:numPr>
          <w:ilvl w:val="0"/>
          <w:numId w:val="0"/>
        </w:numPr>
        <w:rPr>
          <w:szCs w:val="22"/>
          <w:lang w:val="es-ES"/>
        </w:rPr>
      </w:pPr>
      <w:r w:rsidRPr="000D5434">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w:t>
      </w:r>
      <w:r w:rsidR="00B834A4" w:rsidRPr="000D5434">
        <w:rPr>
          <w:szCs w:val="22"/>
          <w:lang w:val="es-ES"/>
        </w:rPr>
        <w:t xml:space="preserve"> </w:t>
      </w:r>
      <w:r w:rsidRPr="000D5434">
        <w:rPr>
          <w:szCs w:val="22"/>
          <w:lang w:val="es-ES"/>
        </w:rPr>
        <w:t>De ahí que el término “tradicionales” no se relacione necesariamente con la naturaleza de los conocimientos, sino con la manera en que esos conocimientos se crean, se conservan y se difunden.</w:t>
      </w:r>
      <w:r w:rsidRPr="000D5434">
        <w:rPr>
          <w:rStyle w:val="FootnoteReference"/>
          <w:szCs w:val="22"/>
          <w:lang w:val="es-ES"/>
        </w:rPr>
        <w:footnoteReference w:id="157"/>
      </w:r>
    </w:p>
    <w:p w:rsidR="00C0409B" w:rsidRPr="000D5434" w:rsidRDefault="00C0409B" w:rsidP="00103D66">
      <w:pPr>
        <w:pStyle w:val="ONUMFS"/>
        <w:numPr>
          <w:ilvl w:val="0"/>
          <w:numId w:val="0"/>
        </w:numPr>
        <w:rPr>
          <w:b/>
          <w:bCs/>
          <w:szCs w:val="22"/>
          <w:lang w:val="es-ES"/>
        </w:rPr>
      </w:pPr>
      <w:r w:rsidRPr="000D5434">
        <w:rPr>
          <w:b/>
          <w:bCs/>
          <w:szCs w:val="22"/>
          <w:lang w:val="es-ES"/>
        </w:rPr>
        <w:t>Expresiones culturales tradicionales</w:t>
      </w:r>
    </w:p>
    <w:p w:rsidR="00C0409B" w:rsidRPr="000D5434" w:rsidRDefault="00C0409B" w:rsidP="00103D66">
      <w:pPr>
        <w:pStyle w:val="ONUMFS"/>
        <w:numPr>
          <w:ilvl w:val="0"/>
          <w:numId w:val="0"/>
        </w:numPr>
        <w:rPr>
          <w:szCs w:val="22"/>
          <w:lang w:val="es-ES"/>
        </w:rPr>
      </w:pPr>
      <w:r w:rsidRPr="000D5434">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B834A4" w:rsidRPr="000D5434">
        <w:rPr>
          <w:szCs w:val="22"/>
          <w:lang w:val="es-ES"/>
        </w:rPr>
        <w:t xml:space="preserve"> </w:t>
      </w:r>
      <w:r w:rsidRPr="000D5434">
        <w:rPr>
          <w:szCs w:val="22"/>
          <w:lang w:val="es-ES"/>
        </w:rPr>
        <w:t>En estas disposiciones, los términos “expresiones culturales tradicionales” y “expresiones del folclore” se emplean como sinónimos intercambiables y se puede hacer referencia a ellos simplemente como “ECT/EF”.</w:t>
      </w:r>
      <w:r w:rsidR="00B834A4" w:rsidRPr="000D5434">
        <w:rPr>
          <w:szCs w:val="22"/>
          <w:lang w:val="es-ES"/>
        </w:rPr>
        <w:t xml:space="preserve"> </w:t>
      </w:r>
      <w:r w:rsidRPr="000D5434">
        <w:rPr>
          <w:szCs w:val="22"/>
          <w:lang w:val="es-ES"/>
        </w:rPr>
        <w:t>El uso de estos términos no tiene por objeto sugerir un consenso entre los Estados miembros de la OMPI en cuanto a la validez de estos u otros términos, y no afecta o limita el uso de otros términos en legislaciones regionales o nacionales.</w:t>
      </w:r>
    </w:p>
    <w:p w:rsidR="00C0409B" w:rsidRPr="000D5434" w:rsidRDefault="00C0409B" w:rsidP="00103D66">
      <w:pPr>
        <w:pStyle w:val="ONUMFS"/>
        <w:numPr>
          <w:ilvl w:val="0"/>
          <w:numId w:val="0"/>
        </w:numPr>
        <w:rPr>
          <w:b/>
          <w:bCs/>
          <w:szCs w:val="22"/>
          <w:lang w:val="es-ES"/>
        </w:rPr>
      </w:pPr>
      <w:r w:rsidRPr="000D5434">
        <w:rPr>
          <w:b/>
          <w:bCs/>
          <w:szCs w:val="22"/>
          <w:lang w:val="es-ES"/>
        </w:rPr>
        <w:t>Culturas tradicionales</w:t>
      </w:r>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la “tradición” es la “transmisión de noticias, composiciones literarias, doctrinas, ritos, costumbres, etc., hecha de generación en generación”.</w:t>
      </w:r>
      <w:r w:rsidR="00B834A4" w:rsidRPr="000D5434">
        <w:rPr>
          <w:szCs w:val="22"/>
          <w:lang w:val="es-ES"/>
        </w:rPr>
        <w:t xml:space="preserve"> </w:t>
      </w:r>
      <w:r w:rsidRPr="000D5434">
        <w:rPr>
          <w:szCs w:val="22"/>
          <w:lang w:val="es-ES"/>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0D5434">
        <w:rPr>
          <w:rStyle w:val="FootnoteReference"/>
          <w:szCs w:val="22"/>
          <w:lang w:val="es-ES"/>
        </w:rPr>
        <w:footnoteReference w:id="158"/>
      </w:r>
    </w:p>
    <w:p w:rsidR="00C0409B" w:rsidRPr="000D5434" w:rsidRDefault="00C0409B" w:rsidP="00103D66">
      <w:pPr>
        <w:pStyle w:val="ONUMFS"/>
        <w:numPr>
          <w:ilvl w:val="0"/>
          <w:numId w:val="0"/>
        </w:numPr>
        <w:rPr>
          <w:b/>
          <w:bCs/>
          <w:szCs w:val="22"/>
          <w:lang w:val="es-ES"/>
        </w:rPr>
      </w:pPr>
      <w:r w:rsidRPr="000D5434">
        <w:rPr>
          <w:b/>
          <w:bCs/>
          <w:szCs w:val="22"/>
          <w:lang w:val="es-ES"/>
        </w:rPr>
        <w:t>Conocimientos ecológicos tradicionales/conocimientos medioambientales tradicionales</w:t>
      </w:r>
    </w:p>
    <w:p w:rsidR="00C0409B" w:rsidRPr="000D5434" w:rsidRDefault="00C0409B" w:rsidP="00103D66">
      <w:pPr>
        <w:pStyle w:val="ONUMFS"/>
        <w:numPr>
          <w:ilvl w:val="0"/>
          <w:numId w:val="0"/>
        </w:numPr>
        <w:rPr>
          <w:szCs w:val="22"/>
          <w:lang w:val="es-ES"/>
        </w:rPr>
      </w:pPr>
      <w:r w:rsidRPr="000D5434">
        <w:rPr>
          <w:szCs w:val="22"/>
          <w:lang w:val="es-ES"/>
        </w:rPr>
        <w:t>El Instituto Cultural Dene define los “conocimientos medioambientales tradicionales” como “un conjunto de conocimientos y creencias transmitidos por medio de la tradición oral y obtenidos por observación directa.</w:t>
      </w:r>
      <w:r w:rsidR="00B834A4" w:rsidRPr="000D5434">
        <w:rPr>
          <w:szCs w:val="22"/>
          <w:lang w:val="es-ES"/>
        </w:rPr>
        <w:t xml:space="preserve"> </w:t>
      </w:r>
      <w:r w:rsidRPr="000D5434">
        <w:rPr>
          <w:szCs w:val="22"/>
          <w:lang w:val="es-ES"/>
        </w:rPr>
        <w:t>Este conjunto incluye un sistema de clasificación, un conjunto de observaciones empíricas acerca del medio ambiente local y un sistema de autogestión que rige la utilización de los recursos.</w:t>
      </w:r>
      <w:r w:rsidR="00B834A4" w:rsidRPr="000D5434">
        <w:rPr>
          <w:szCs w:val="22"/>
          <w:lang w:val="es-ES"/>
        </w:rPr>
        <w:t xml:space="preserve"> </w:t>
      </w:r>
      <w:r w:rsidRPr="000D5434">
        <w:rPr>
          <w:szCs w:val="22"/>
          <w:lang w:val="es-ES"/>
        </w:rPr>
        <w:t>Los aspectos ecológicos están íntimamente relacionados con los aspectos sociales y espirituales del sistema de conocimientos.</w:t>
      </w:r>
      <w:r w:rsidR="00B834A4" w:rsidRPr="000D5434">
        <w:rPr>
          <w:szCs w:val="22"/>
          <w:lang w:val="es-ES"/>
        </w:rPr>
        <w:t xml:space="preserve"> </w:t>
      </w:r>
      <w:r w:rsidRPr="000D5434">
        <w:rPr>
          <w:szCs w:val="22"/>
          <w:lang w:val="es-ES"/>
        </w:rPr>
        <w:t>La cantidad y calidad de los conocimientos ecológicos tradicionales varía entre los miembros de la comunidad, en función de su sexo, edad, condición social, capacidad intelectual y profesión (cazador, líder espiritual, curandero, etc.).</w:t>
      </w:r>
      <w:r w:rsidR="00B834A4" w:rsidRPr="000D5434">
        <w:rPr>
          <w:szCs w:val="22"/>
          <w:lang w:val="es-ES"/>
        </w:rPr>
        <w:t xml:space="preserve"> </w:t>
      </w:r>
      <w:r w:rsidRPr="000D5434">
        <w:rPr>
          <w:szCs w:val="22"/>
          <w:lang w:val="es-ES"/>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0D5434">
        <w:rPr>
          <w:rStyle w:val="FootnoteReference"/>
          <w:szCs w:val="22"/>
          <w:lang w:val="es-ES"/>
        </w:rPr>
        <w:footnoteReference w:id="159"/>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 xml:space="preserve">Los conocimientos ecológicos tradicionales también pueden definirse como </w:t>
      </w:r>
      <w:r w:rsidRPr="000D5434">
        <w:rPr>
          <w:iCs/>
          <w:szCs w:val="22"/>
          <w:lang w:val="es-ES"/>
        </w:rPr>
        <w:t>“un cuerpo acumulativo de conocimientos y creencias, transmitidos de generación en generación por transmisión cultural y que versan sobre las relaciones que establecen los seres humanos entre sí y con su entorno.</w:t>
      </w:r>
      <w:r w:rsidR="00B834A4" w:rsidRPr="000D5434">
        <w:rPr>
          <w:iCs/>
          <w:szCs w:val="22"/>
          <w:lang w:val="es-ES"/>
        </w:rPr>
        <w:t xml:space="preserve"> </w:t>
      </w:r>
      <w:r w:rsidRPr="000D5434">
        <w:rPr>
          <w:iCs/>
          <w:szCs w:val="22"/>
          <w:lang w:val="es-ES"/>
        </w:rPr>
        <w:t>Asimismo, los conocimientos ecológicos tradicionales son un atributo de las sociedades con continuidad histórica en las prácticas relativas al uso de los recursos;</w:t>
      </w:r>
      <w:r w:rsidR="00B834A4" w:rsidRPr="000D5434">
        <w:rPr>
          <w:iCs/>
          <w:szCs w:val="22"/>
          <w:lang w:val="es-ES"/>
        </w:rPr>
        <w:t xml:space="preserve"> </w:t>
      </w:r>
      <w:r w:rsidRPr="000D5434">
        <w:rPr>
          <w:iCs/>
          <w:szCs w:val="22"/>
          <w:lang w:val="es-ES"/>
        </w:rPr>
        <w:t>por lo general se trata de sociedades no industrializadas o tecnológicamente no muy avanzadas, la mayoría de ellas indígenas o tribales”</w:t>
      </w:r>
      <w:r w:rsidRPr="000D5434">
        <w:rPr>
          <w:i/>
          <w:iCs/>
          <w:szCs w:val="22"/>
          <w:lang w:val="es-ES"/>
        </w:rPr>
        <w:t>.</w:t>
      </w:r>
      <w:r w:rsidR="00B834A4" w:rsidRPr="000D5434">
        <w:rPr>
          <w:i/>
          <w:iCs/>
          <w:szCs w:val="22"/>
          <w:lang w:val="es-ES"/>
        </w:rPr>
        <w:t xml:space="preserve"> </w:t>
      </w:r>
      <w:r w:rsidRPr="000D5434">
        <w:rPr>
          <w:szCs w:val="22"/>
          <w:lang w:val="es-ES"/>
        </w:rPr>
        <w:t>(Traducción oficiosa de la Oficina Internacional).</w:t>
      </w:r>
      <w:r w:rsidRPr="000D5434">
        <w:rPr>
          <w:rStyle w:val="FootnoteReference"/>
          <w:szCs w:val="22"/>
          <w:lang w:val="es-ES"/>
        </w:rPr>
        <w:footnoteReference w:id="160"/>
      </w:r>
    </w:p>
    <w:p w:rsidR="00C0409B" w:rsidRPr="000D5434" w:rsidRDefault="00C0409B" w:rsidP="00103D66">
      <w:pPr>
        <w:pStyle w:val="ONUMFS"/>
        <w:numPr>
          <w:ilvl w:val="0"/>
          <w:numId w:val="0"/>
        </w:numPr>
        <w:rPr>
          <w:b/>
          <w:bCs/>
          <w:szCs w:val="22"/>
          <w:lang w:val="es-ES"/>
        </w:rPr>
      </w:pPr>
      <w:r w:rsidRPr="000D5434">
        <w:rPr>
          <w:b/>
          <w:bCs/>
          <w:szCs w:val="22"/>
          <w:lang w:val="es-ES"/>
        </w:rPr>
        <w:t>Conocimientos tradicionales</w:t>
      </w:r>
    </w:p>
    <w:p w:rsidR="00C0409B" w:rsidRPr="000D5434" w:rsidRDefault="00C0409B" w:rsidP="00103D66">
      <w:pPr>
        <w:pStyle w:val="ONUMFS"/>
        <w:numPr>
          <w:ilvl w:val="0"/>
          <w:numId w:val="0"/>
        </w:numPr>
        <w:rPr>
          <w:szCs w:val="22"/>
          <w:lang w:val="es-ES"/>
        </w:rPr>
      </w:pPr>
      <w:r w:rsidRPr="000D5434">
        <w:rPr>
          <w:szCs w:val="22"/>
          <w:lang w:val="es-ES"/>
        </w:rPr>
        <w:t>Hasta el momento no se ha aceptado una definición estándar de “conocimientos tradicionales” en el ámbito internacional.</w:t>
      </w:r>
    </w:p>
    <w:p w:rsidR="00C0409B" w:rsidRPr="000D5434" w:rsidRDefault="00C0409B" w:rsidP="00103D66">
      <w:pPr>
        <w:pStyle w:val="ONUMFS"/>
        <w:numPr>
          <w:ilvl w:val="0"/>
          <w:numId w:val="0"/>
        </w:numPr>
        <w:rPr>
          <w:szCs w:val="22"/>
          <w:lang w:val="es-ES"/>
        </w:rPr>
      </w:pPr>
      <w:r w:rsidRPr="000D5434">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B834A4" w:rsidRPr="000D5434">
        <w:rPr>
          <w:szCs w:val="22"/>
          <w:lang w:val="es-ES"/>
        </w:rPr>
        <w:t xml:space="preserve"> </w:t>
      </w:r>
      <w:r w:rsidRPr="000D5434">
        <w:rPr>
          <w:szCs w:val="22"/>
          <w:lang w:val="es-ES"/>
        </w:rPr>
        <w:t>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0D5434" w:rsidRDefault="00C0409B" w:rsidP="00103D66">
      <w:pPr>
        <w:pStyle w:val="ONUMFS"/>
        <w:numPr>
          <w:ilvl w:val="0"/>
          <w:numId w:val="0"/>
        </w:numPr>
        <w:rPr>
          <w:szCs w:val="22"/>
          <w:lang w:val="es-ES"/>
        </w:rPr>
      </w:pPr>
      <w:r w:rsidRPr="000D5434">
        <w:rPr>
          <w:szCs w:val="22"/>
          <w:lang w:val="es-ES"/>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w:t>
      </w:r>
      <w:r w:rsidR="00B834A4" w:rsidRPr="000D5434">
        <w:rPr>
          <w:szCs w:val="22"/>
          <w:lang w:val="es-ES"/>
        </w:rPr>
        <w:t xml:space="preserve"> </w:t>
      </w:r>
      <w:r w:rsidRPr="000D5434">
        <w:rPr>
          <w:szCs w:val="22"/>
          <w:lang w:val="es-ES"/>
        </w:rPr>
        <w:t>Los conocimientos tradicionales pueden darse en una gran variedad de contextos, como por ejemplo:</w:t>
      </w:r>
      <w:r w:rsidR="00B834A4" w:rsidRPr="000D5434">
        <w:rPr>
          <w:szCs w:val="22"/>
          <w:lang w:val="es-ES"/>
        </w:rPr>
        <w:t xml:space="preserve"> </w:t>
      </w:r>
      <w:r w:rsidRPr="000D5434">
        <w:rPr>
          <w:szCs w:val="22"/>
          <w:lang w:val="es-ES"/>
        </w:rPr>
        <w:t>conocimientos agrícolas, científicos, técnicos, ecológicos, medicinales, incluidos los medicamentos y remedios medicinales, conocimientos relacionados con la biodiversidad, etcétera.</w:t>
      </w:r>
      <w:r w:rsidRPr="000D5434">
        <w:rPr>
          <w:rStyle w:val="FootnoteReference"/>
          <w:szCs w:val="22"/>
          <w:lang w:val="es-ES"/>
        </w:rPr>
        <w:footnoteReference w:id="161"/>
      </w:r>
    </w:p>
    <w:p w:rsidR="00C0409B" w:rsidRPr="000D5434" w:rsidRDefault="00C0409B" w:rsidP="00103D66">
      <w:pPr>
        <w:pStyle w:val="ONUMFS"/>
        <w:numPr>
          <w:ilvl w:val="0"/>
          <w:numId w:val="0"/>
        </w:numPr>
        <w:tabs>
          <w:tab w:val="left" w:pos="7230"/>
        </w:tabs>
        <w:rPr>
          <w:b/>
          <w:bCs/>
          <w:szCs w:val="22"/>
          <w:lang w:val="es-ES"/>
        </w:rPr>
      </w:pPr>
      <w:r w:rsidRPr="000D5434">
        <w:rPr>
          <w:b/>
          <w:bCs/>
          <w:szCs w:val="22"/>
          <w:lang w:val="es-ES"/>
        </w:rPr>
        <w:t>Biblioteca digital sobre Conocimientos Tradicionales</w:t>
      </w:r>
    </w:p>
    <w:p w:rsidR="00C0409B" w:rsidRPr="000D5434" w:rsidRDefault="00C0409B" w:rsidP="00103D66">
      <w:pPr>
        <w:pStyle w:val="ONUMFS"/>
        <w:numPr>
          <w:ilvl w:val="0"/>
          <w:numId w:val="0"/>
        </w:numPr>
        <w:tabs>
          <w:tab w:val="left" w:pos="7230"/>
        </w:tabs>
        <w:rPr>
          <w:szCs w:val="22"/>
          <w:lang w:val="es-ES"/>
        </w:rPr>
      </w:pPr>
      <w:r w:rsidRPr="000D5434">
        <w:rPr>
          <w:szCs w:val="22"/>
          <w:lang w:val="es-ES"/>
        </w:rPr>
        <w:t>La Biblioteca digital sobre Conocimientos Tradicionales (TKDL) es un</w:t>
      </w:r>
      <w:r w:rsidR="005E60D3" w:rsidRPr="000D5434">
        <w:rPr>
          <w:szCs w:val="22"/>
          <w:lang w:val="es-ES"/>
        </w:rPr>
        <w:t>a iniciativa pionera de la India, destinada a impedir la apropiación indebida de los conocimientos médicos tradicionales del país</w:t>
      </w:r>
      <w:r w:rsidRPr="000D5434">
        <w:rPr>
          <w:szCs w:val="22"/>
          <w:lang w:val="es-ES"/>
        </w:rPr>
        <w:t>.</w:t>
      </w:r>
      <w:r w:rsidR="00B834A4" w:rsidRPr="000D5434">
        <w:rPr>
          <w:szCs w:val="22"/>
          <w:lang w:val="es-ES"/>
        </w:rPr>
        <w:t xml:space="preserve"> </w:t>
      </w:r>
      <w:r w:rsidRPr="000D5434">
        <w:rPr>
          <w:szCs w:val="22"/>
          <w:lang w:val="es-ES"/>
        </w:rPr>
        <w:t>Un equipo interdisciplinario de expertos en medicina tradicional (Ayurveda, Unani, Siddha y Yoga), examinadores de patentes, expertos en TI, científicos y funcionarios técnicos participaron en la creación de la biblioteca digital sobre los sistemas de medicina de la India.</w:t>
      </w:r>
      <w:r w:rsidR="00B834A4" w:rsidRPr="000D5434">
        <w:rPr>
          <w:szCs w:val="22"/>
          <w:lang w:val="es-ES"/>
        </w:rPr>
        <w:t xml:space="preserve"> </w:t>
      </w:r>
      <w:r w:rsidRPr="000D5434">
        <w:rPr>
          <w:szCs w:val="22"/>
          <w:lang w:val="es-ES"/>
        </w:rPr>
        <w:t>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w:t>
      </w:r>
      <w:r w:rsidR="00B834A4" w:rsidRPr="000D5434">
        <w:rPr>
          <w:szCs w:val="22"/>
          <w:lang w:val="es-ES"/>
        </w:rPr>
        <w:t xml:space="preserve"> </w:t>
      </w:r>
      <w:r w:rsidRPr="000D5434">
        <w:rPr>
          <w:szCs w:val="22"/>
          <w:lang w:val="es-ES"/>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0D5434">
        <w:rPr>
          <w:rStyle w:val="FootnoteReference"/>
          <w:szCs w:val="22"/>
          <w:lang w:val="es-ES"/>
        </w:rPr>
        <w:footnoteReference w:id="162"/>
      </w:r>
    </w:p>
    <w:p w:rsidR="00C0409B" w:rsidRPr="000D5434" w:rsidRDefault="00C0409B" w:rsidP="00103D66">
      <w:pPr>
        <w:pStyle w:val="ONUMFS"/>
        <w:numPr>
          <w:ilvl w:val="0"/>
          <w:numId w:val="0"/>
        </w:numPr>
        <w:rPr>
          <w:szCs w:val="22"/>
          <w:lang w:val="es-ES"/>
        </w:rPr>
      </w:pPr>
      <w:r w:rsidRPr="000D5434">
        <w:rPr>
          <w:szCs w:val="22"/>
          <w:lang w:val="es-ES"/>
        </w:rPr>
        <w:t>La Biblioteca digital tiene un doble objetivo.</w:t>
      </w:r>
      <w:r w:rsidR="00B834A4" w:rsidRPr="000D5434">
        <w:rPr>
          <w:szCs w:val="22"/>
          <w:lang w:val="es-ES"/>
        </w:rPr>
        <w:t xml:space="preserve"> </w:t>
      </w:r>
      <w:r w:rsidRPr="000D5434">
        <w:rPr>
          <w:szCs w:val="22"/>
          <w:lang w:val="es-ES"/>
        </w:rPr>
        <w:t>En primer lugar, persigue evitar la concesión de patentes por productos elaborados utilizando conocimientos tradicionales y que impliquen poca, o ninguna, actividad inventiva.</w:t>
      </w:r>
      <w:r w:rsidR="00B834A4" w:rsidRPr="000D5434">
        <w:rPr>
          <w:szCs w:val="22"/>
          <w:lang w:val="es-ES"/>
        </w:rPr>
        <w:t xml:space="preserve"> </w:t>
      </w:r>
      <w:r w:rsidRPr="000D5434">
        <w:rPr>
          <w:szCs w:val="22"/>
          <w:lang w:val="es-ES"/>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B834A4" w:rsidRPr="000D5434">
        <w:rPr>
          <w:szCs w:val="22"/>
          <w:lang w:val="es-ES"/>
        </w:rPr>
        <w:t xml:space="preserve"> </w:t>
      </w:r>
      <w:r w:rsidRPr="000D5434">
        <w:rPr>
          <w:szCs w:val="22"/>
          <w:lang w:val="es-ES"/>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B834A4" w:rsidRPr="000D5434">
        <w:rPr>
          <w:szCs w:val="22"/>
          <w:lang w:val="es-ES"/>
        </w:rPr>
        <w:t xml:space="preserve"> </w:t>
      </w:r>
      <w:r w:rsidRPr="000D5434">
        <w:rPr>
          <w:szCs w:val="22"/>
          <w:lang w:val="es-ES"/>
        </w:rPr>
        <w:t>Así, se espera colmar la brecha de conocimientos sobre el estado de la técnica.</w:t>
      </w:r>
      <w:r w:rsidR="00B834A4" w:rsidRPr="000D5434">
        <w:rPr>
          <w:szCs w:val="22"/>
          <w:lang w:val="es-ES"/>
        </w:rPr>
        <w:t xml:space="preserve"> </w:t>
      </w:r>
      <w:r w:rsidRPr="000D5434">
        <w:rPr>
          <w:szCs w:val="22"/>
          <w:lang w:val="es-ES"/>
        </w:rPr>
        <w:t>La base de datos proporcionará suficientes detalles sobre las definiciones, principios y conceptos para minimizar la posibilidad de conceder patentes por “invenciones” relativas a modificaciones menores o insignificantes.</w:t>
      </w:r>
      <w:r w:rsidRPr="000D5434">
        <w:rPr>
          <w:rStyle w:val="FootnoteReference"/>
          <w:szCs w:val="22"/>
          <w:lang w:val="es-ES"/>
        </w:rPr>
        <w:footnoteReference w:id="163"/>
      </w:r>
    </w:p>
    <w:p w:rsidR="00C0409B" w:rsidRPr="000D5434" w:rsidRDefault="00C0409B" w:rsidP="00103D66">
      <w:pPr>
        <w:pStyle w:val="ONUMFS"/>
        <w:numPr>
          <w:ilvl w:val="0"/>
          <w:numId w:val="0"/>
        </w:numPr>
        <w:rPr>
          <w:b/>
          <w:bCs/>
          <w:szCs w:val="22"/>
          <w:lang w:val="es-ES"/>
        </w:rPr>
      </w:pPr>
      <w:r w:rsidRPr="000D5434">
        <w:rPr>
          <w:b/>
          <w:bCs/>
          <w:szCs w:val="22"/>
          <w:lang w:val="es-ES"/>
        </w:rPr>
        <w:t>Clasificación de Recursos sobre Conocimientos Tradicionales</w:t>
      </w:r>
    </w:p>
    <w:p w:rsidR="00C0409B" w:rsidRPr="000D5434" w:rsidRDefault="00C0409B" w:rsidP="00103D66">
      <w:pPr>
        <w:pStyle w:val="ONUMFS"/>
        <w:numPr>
          <w:ilvl w:val="0"/>
          <w:numId w:val="0"/>
        </w:numPr>
        <w:rPr>
          <w:szCs w:val="22"/>
          <w:lang w:val="es-ES"/>
        </w:rPr>
      </w:pPr>
      <w:r w:rsidRPr="000D5434">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0D5434">
        <w:rPr>
          <w:rStyle w:val="FootnoteReference"/>
          <w:szCs w:val="22"/>
          <w:lang w:val="es-ES"/>
        </w:rPr>
        <w:footnoteReference w:id="164"/>
      </w:r>
      <w:r w:rsidR="00B834A4" w:rsidRPr="000D5434">
        <w:rPr>
          <w:szCs w:val="22"/>
          <w:lang w:val="es-ES"/>
        </w:rPr>
        <w:t xml:space="preserve"> </w:t>
      </w:r>
      <w:r w:rsidRPr="000D5434">
        <w:rPr>
          <w:szCs w:val="22"/>
          <w:lang w:val="es-ES"/>
        </w:rPr>
        <w:t>Esta clasificación, cuya aplicación está destinada a los sistemas de la medicina de la India (Ayurveda, Unani, Siddha y Yoga), goza ahora de renombre internacional y está asociada a la CIP.</w:t>
      </w:r>
      <w:r w:rsidR="00B834A4" w:rsidRPr="000D5434">
        <w:rPr>
          <w:szCs w:val="22"/>
          <w:lang w:val="es-ES"/>
        </w:rPr>
        <w:t xml:space="preserve"> </w:t>
      </w:r>
      <w:r w:rsidRPr="000D5434">
        <w:rPr>
          <w:szCs w:val="22"/>
          <w:lang w:val="es-ES"/>
        </w:rPr>
        <w:t>La utilización de sistemas modernos de divulgación, a saber, las tecnologías de la información, en particular, las tecnologías relativas a Internet y a la Web permitirán incrementar el reconocimiento general de la importancia de los sistemas de conocimientos tradicionales.</w:t>
      </w:r>
      <w:r w:rsidR="00B834A4" w:rsidRPr="000D5434">
        <w:rPr>
          <w:szCs w:val="22"/>
          <w:lang w:val="es-ES"/>
        </w:rPr>
        <w:t xml:space="preserve"> </w:t>
      </w:r>
      <w:r w:rsidRPr="000D5434">
        <w:rPr>
          <w:szCs w:val="22"/>
          <w:lang w:val="es-ES"/>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0D5434">
        <w:rPr>
          <w:rStyle w:val="FootnoteReference"/>
          <w:szCs w:val="22"/>
          <w:lang w:val="es-ES"/>
        </w:rPr>
        <w:footnoteReference w:id="165"/>
      </w:r>
    </w:p>
    <w:p w:rsidR="00C0409B" w:rsidRPr="000D5434" w:rsidRDefault="00C0409B" w:rsidP="00103D66">
      <w:pPr>
        <w:pStyle w:val="ONUMFS"/>
        <w:numPr>
          <w:ilvl w:val="0"/>
          <w:numId w:val="0"/>
        </w:numPr>
        <w:tabs>
          <w:tab w:val="left" w:pos="6804"/>
        </w:tabs>
        <w:rPr>
          <w:b/>
          <w:bCs/>
          <w:szCs w:val="22"/>
          <w:lang w:val="es-ES"/>
        </w:rPr>
      </w:pPr>
      <w:r w:rsidRPr="000D5434">
        <w:rPr>
          <w:b/>
          <w:bCs/>
          <w:szCs w:val="22"/>
          <w:lang w:val="es-ES"/>
        </w:rPr>
        <w:t>Medicina tradicional</w:t>
      </w:r>
    </w:p>
    <w:p w:rsidR="00C0409B" w:rsidRPr="000D5434" w:rsidRDefault="00C0409B" w:rsidP="00103D66">
      <w:pPr>
        <w:pStyle w:val="ONUMFS"/>
        <w:numPr>
          <w:ilvl w:val="0"/>
          <w:numId w:val="0"/>
        </w:numPr>
        <w:rPr>
          <w:szCs w:val="22"/>
          <w:lang w:val="es-ES"/>
        </w:rPr>
      </w:pPr>
      <w:r w:rsidRPr="000D5434">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0D5434">
        <w:rPr>
          <w:rStyle w:val="FootnoteReference"/>
          <w:szCs w:val="22"/>
          <w:lang w:val="es-ES"/>
        </w:rPr>
        <w:footnoteReference w:id="166"/>
      </w:r>
      <w:r w:rsidR="00B834A4" w:rsidRPr="000D5434">
        <w:rPr>
          <w:szCs w:val="22"/>
          <w:lang w:val="es-ES"/>
        </w:rPr>
        <w:t xml:space="preserve"> </w:t>
      </w:r>
      <w:r w:rsidRPr="000D5434">
        <w:rPr>
          <w:szCs w:val="22"/>
          <w:lang w:val="es-ES"/>
        </w:rPr>
        <w:t>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0D5434">
        <w:rPr>
          <w:rStyle w:val="FootnoteReference"/>
          <w:szCs w:val="22"/>
          <w:lang w:val="es-ES"/>
        </w:rPr>
        <w:footnoteReference w:id="167"/>
      </w:r>
    </w:p>
    <w:p w:rsidR="00C0409B" w:rsidRPr="000D5434" w:rsidRDefault="00C0409B" w:rsidP="00B16297">
      <w:pPr>
        <w:pStyle w:val="ONUMFS"/>
        <w:numPr>
          <w:ilvl w:val="0"/>
          <w:numId w:val="0"/>
        </w:numPr>
        <w:rPr>
          <w:b/>
          <w:bCs/>
          <w:szCs w:val="22"/>
          <w:lang w:val="es-ES"/>
        </w:rPr>
      </w:pPr>
      <w:r w:rsidRPr="000D5434">
        <w:rPr>
          <w:b/>
          <w:bCs/>
          <w:szCs w:val="22"/>
          <w:lang w:val="es-ES"/>
        </w:rPr>
        <w:t>Innovaciones y creaciones basadas en la tradición</w:t>
      </w:r>
    </w:p>
    <w:p w:rsidR="00C0409B" w:rsidRPr="000D5434" w:rsidRDefault="00C0409B" w:rsidP="00103D66">
      <w:pPr>
        <w:pStyle w:val="ONUMFS"/>
        <w:numPr>
          <w:ilvl w:val="0"/>
          <w:numId w:val="0"/>
        </w:numPr>
        <w:rPr>
          <w:szCs w:val="22"/>
          <w:lang w:val="es-ES"/>
        </w:rPr>
      </w:pPr>
      <w:r w:rsidRPr="000D5434">
        <w:rPr>
          <w:szCs w:val="22"/>
          <w:lang w:val="es-ES"/>
        </w:rPr>
        <w:t>Las tradiciones constituyen un conjunto de ideas y prácticas culturales que pertenecen al pasado y a las cuales se les atribuye determinada categoría.</w:t>
      </w:r>
      <w:r w:rsidR="00B834A4" w:rsidRPr="000D5434">
        <w:rPr>
          <w:szCs w:val="22"/>
          <w:lang w:val="es-ES"/>
        </w:rPr>
        <w:t xml:space="preserve"> </w:t>
      </w:r>
      <w:r w:rsidRPr="000D5434">
        <w:rPr>
          <w:szCs w:val="22"/>
          <w:lang w:val="es-ES"/>
        </w:rPr>
        <w:t>La expresión “creaciones o innovaciones basadas en la tradición” hace referencia a las innovaciones y las creaciones basadas en “CC.TT. como tales”, es decir que han sido objeto de elaboración e innovación más allá de un “contexto tradicional”.</w:t>
      </w:r>
      <w:r w:rsidRPr="000D5434">
        <w:rPr>
          <w:rStyle w:val="FootnoteReference"/>
          <w:szCs w:val="22"/>
          <w:lang w:val="es-ES"/>
        </w:rPr>
        <w:footnoteReference w:id="168"/>
      </w:r>
      <w:r w:rsidR="00B834A4" w:rsidRPr="000D5434">
        <w:rPr>
          <w:szCs w:val="22"/>
          <w:lang w:val="es-ES"/>
        </w:rPr>
        <w:t xml:space="preserve"> </w:t>
      </w:r>
      <w:r w:rsidRPr="000D5434">
        <w:rPr>
          <w:szCs w:val="22"/>
          <w:lang w:val="es-ES"/>
        </w:rPr>
        <w:t>Mediante la expresión “conocimientos tradicionales como tales” se hace referencia a “los sistemas de conocimientos, las creaciones, innovaciones y expresiones culturales que se han transmitido generalmente de generación en generación;</w:t>
      </w:r>
      <w:r w:rsidR="00B834A4" w:rsidRPr="000D5434">
        <w:rPr>
          <w:szCs w:val="22"/>
          <w:lang w:val="es-ES"/>
        </w:rPr>
        <w:t xml:space="preserve"> </w:t>
      </w:r>
      <w:r w:rsidRPr="000D5434">
        <w:rPr>
          <w:szCs w:val="22"/>
          <w:lang w:val="es-ES"/>
        </w:rPr>
        <w:t>se considera generalmente que pertenecen a un pueblo en particular o a su territorio y evolucionan constantemente en respuesta a los cambios que se producen en su entorno.”</w:t>
      </w:r>
      <w:r w:rsidRPr="000D5434">
        <w:rPr>
          <w:rStyle w:val="FootnoteReference"/>
          <w:szCs w:val="22"/>
          <w:lang w:val="es-ES"/>
        </w:rPr>
        <w:footnoteReference w:id="169"/>
      </w:r>
      <w:r w:rsidR="00B834A4" w:rsidRPr="000D5434">
        <w:rPr>
          <w:szCs w:val="22"/>
          <w:lang w:val="es-ES"/>
        </w:rPr>
        <w:t xml:space="preserve"> </w:t>
      </w:r>
      <w:r w:rsidRPr="000D5434">
        <w:rPr>
          <w:szCs w:val="22"/>
          <w:lang w:val="es-ES"/>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0D5434">
        <w:rPr>
          <w:szCs w:val="22"/>
          <w:vertAlign w:val="superscript"/>
          <w:lang w:val="es-ES"/>
        </w:rPr>
        <w:footnoteReference w:id="170"/>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0D5434">
        <w:rPr>
          <w:color w:val="000000"/>
          <w:szCs w:val="22"/>
          <w:lang w:val="es-ES"/>
        </w:rPr>
        <w:t>.</w:t>
      </w:r>
      <w:r w:rsidRPr="000D5434">
        <w:rPr>
          <w:rStyle w:val="FootnoteReference"/>
          <w:color w:val="000000"/>
          <w:szCs w:val="22"/>
          <w:lang w:val="es-ES"/>
        </w:rPr>
        <w:footnoteReference w:id="171"/>
      </w:r>
    </w:p>
    <w:p w:rsidR="00C0409B" w:rsidRPr="000D5434" w:rsidRDefault="00C0409B" w:rsidP="00103D66">
      <w:pPr>
        <w:pStyle w:val="ONUMFS"/>
        <w:numPr>
          <w:ilvl w:val="0"/>
          <w:numId w:val="0"/>
        </w:numPr>
        <w:rPr>
          <w:b/>
          <w:bCs/>
          <w:szCs w:val="22"/>
          <w:lang w:val="es-ES"/>
        </w:rPr>
      </w:pPr>
      <w:r w:rsidRPr="000D5434">
        <w:rPr>
          <w:b/>
          <w:bCs/>
          <w:szCs w:val="22"/>
          <w:lang w:val="es-ES"/>
        </w:rPr>
        <w:t>Convención de la UNESCO sobre las medidas que deben adoptarse para prohibir e impedir la importación, la exportación y la transferencia de propiedad ilícitas de bienes culturales</w:t>
      </w:r>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w:t>
      </w:r>
      <w:r w:rsidR="00B834A4" w:rsidRPr="000D5434">
        <w:rPr>
          <w:szCs w:val="22"/>
          <w:lang w:val="es-ES"/>
        </w:rPr>
        <w:t xml:space="preserve"> </w:t>
      </w:r>
      <w:r w:rsidRPr="000D5434">
        <w:rPr>
          <w:szCs w:val="22"/>
          <w:lang w:val="es-ES"/>
        </w:rPr>
        <w:t>Entró en vigor en 1972.</w:t>
      </w:r>
    </w:p>
    <w:p w:rsidR="00C0409B" w:rsidRPr="000D5434" w:rsidRDefault="00C0409B" w:rsidP="00D87BB6">
      <w:pPr>
        <w:pStyle w:val="ONUMFS"/>
        <w:keepNext/>
        <w:keepLines/>
        <w:numPr>
          <w:ilvl w:val="0"/>
          <w:numId w:val="0"/>
        </w:numPr>
        <w:rPr>
          <w:szCs w:val="22"/>
          <w:lang w:val="es-ES"/>
        </w:rPr>
      </w:pPr>
      <w:r w:rsidRPr="000D5434">
        <w:rPr>
          <w:szCs w:val="22"/>
          <w:lang w:val="es-ES"/>
        </w:rPr>
        <w:t>“La Convención solicita a sus Estados Partes actuar esencialmente en los siguientes aspectos:</w:t>
      </w:r>
    </w:p>
    <w:p w:rsidR="00C0409B" w:rsidRPr="000D5434" w:rsidRDefault="00C0409B" w:rsidP="00D87BB6">
      <w:pPr>
        <w:pStyle w:val="ONUMFS"/>
        <w:keepNext/>
        <w:keepLines/>
        <w:numPr>
          <w:ilvl w:val="0"/>
          <w:numId w:val="0"/>
        </w:numPr>
        <w:ind w:left="567"/>
        <w:rPr>
          <w:szCs w:val="22"/>
          <w:lang w:val="es-ES"/>
        </w:rPr>
      </w:pPr>
      <w:r w:rsidRPr="000D5434">
        <w:rPr>
          <w:szCs w:val="22"/>
          <w:lang w:val="es-ES"/>
        </w:rPr>
        <w:t>1 - Medidas preventivas:</w:t>
      </w:r>
      <w:r w:rsidR="00B834A4" w:rsidRPr="000D5434">
        <w:rPr>
          <w:szCs w:val="22"/>
          <w:lang w:val="es-ES"/>
        </w:rPr>
        <w:t xml:space="preserve"> </w:t>
      </w:r>
      <w:r w:rsidRPr="000D5434">
        <w:rPr>
          <w:szCs w:val="22"/>
          <w:lang w:val="es-ES"/>
        </w:rPr>
        <w:t>inventarios, certificados de exportación, medidas de control y aprobación de los negociantes de bienes culturales, aplicación de sanciones penales o administrativas, campañas de información, etcétera.</w:t>
      </w:r>
    </w:p>
    <w:p w:rsidR="00C0409B" w:rsidRPr="000D5434" w:rsidRDefault="00C0409B" w:rsidP="00103D66">
      <w:pPr>
        <w:pStyle w:val="ONUMFS"/>
        <w:numPr>
          <w:ilvl w:val="0"/>
          <w:numId w:val="0"/>
        </w:numPr>
        <w:ind w:left="567"/>
        <w:rPr>
          <w:szCs w:val="22"/>
          <w:lang w:val="es-ES"/>
        </w:rPr>
      </w:pPr>
      <w:r w:rsidRPr="000D5434">
        <w:rPr>
          <w:szCs w:val="22"/>
          <w:lang w:val="es-ES"/>
        </w:rPr>
        <w:t>2 - Disposiciones en materia de restitución:</w:t>
      </w:r>
      <w:r w:rsidR="00B834A4" w:rsidRPr="000D5434">
        <w:rPr>
          <w:szCs w:val="22"/>
          <w:lang w:val="es-ES"/>
        </w:rPr>
        <w:t xml:space="preserve"> </w:t>
      </w:r>
      <w:r w:rsidRPr="000D5434">
        <w:rPr>
          <w:szCs w:val="22"/>
          <w:lang w:val="es-ES"/>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B834A4" w:rsidRPr="000D5434">
        <w:rPr>
          <w:szCs w:val="22"/>
          <w:lang w:val="es-ES"/>
        </w:rPr>
        <w:t xml:space="preserve"> </w:t>
      </w:r>
      <w:r w:rsidRPr="000D5434">
        <w:rPr>
          <w:szCs w:val="22"/>
          <w:lang w:val="es-ES"/>
        </w:rPr>
        <w:t>De manera más indirecta y bajo reserva del derecho nacional, el artículo 13 prevé de igual forma disposiciones en materia de restitución y cooperación.</w:t>
      </w:r>
    </w:p>
    <w:p w:rsidR="00C0409B" w:rsidRPr="000D5434" w:rsidRDefault="00C0409B" w:rsidP="00103D66">
      <w:pPr>
        <w:pStyle w:val="ONUMFS"/>
        <w:numPr>
          <w:ilvl w:val="0"/>
          <w:numId w:val="0"/>
        </w:numPr>
        <w:ind w:left="567"/>
        <w:rPr>
          <w:szCs w:val="22"/>
          <w:lang w:val="es-ES"/>
        </w:rPr>
      </w:pPr>
      <w:r w:rsidRPr="000D5434">
        <w:rPr>
          <w:szCs w:val="22"/>
          <w:lang w:val="es-ES"/>
        </w:rPr>
        <w:t>3 - Cooperación internacional:</w:t>
      </w:r>
      <w:r w:rsidR="00B834A4" w:rsidRPr="000D5434">
        <w:rPr>
          <w:szCs w:val="22"/>
          <w:lang w:val="es-ES"/>
        </w:rPr>
        <w:t xml:space="preserve"> </w:t>
      </w:r>
      <w:r w:rsidRPr="000D5434">
        <w:rPr>
          <w:szCs w:val="22"/>
          <w:lang w:val="es-ES"/>
        </w:rPr>
        <w:t>la idea del fortalecimiento de la cooperación entre los Estados Partes está presente en toda la Convención.</w:t>
      </w:r>
      <w:r w:rsidR="00B834A4" w:rsidRPr="000D5434">
        <w:rPr>
          <w:szCs w:val="22"/>
          <w:lang w:val="es-ES"/>
        </w:rPr>
        <w:t xml:space="preserve"> </w:t>
      </w:r>
      <w:r w:rsidRPr="000D5434">
        <w:rPr>
          <w:szCs w:val="22"/>
          <w:lang w:val="es-ES"/>
        </w:rPr>
        <w:t>En caso de que se ponga en peligro el patrimonio cultural mediante actos de saqueo, el artículo 9 prevé incluso la posibilidad de acciones más específicas, tales como el control de las exportaciones e importaciones.”</w:t>
      </w:r>
    </w:p>
    <w:p w:rsidR="00C0409B" w:rsidRPr="000D5434" w:rsidRDefault="00C0409B" w:rsidP="00103D66">
      <w:pPr>
        <w:pStyle w:val="ONUMFS"/>
        <w:numPr>
          <w:ilvl w:val="0"/>
          <w:numId w:val="0"/>
        </w:numPr>
        <w:rPr>
          <w:b/>
          <w:bCs/>
          <w:szCs w:val="22"/>
          <w:lang w:val="es-ES"/>
        </w:rPr>
      </w:pPr>
      <w:r w:rsidRPr="000D5434">
        <w:rPr>
          <w:b/>
          <w:bCs/>
          <w:szCs w:val="22"/>
          <w:lang w:val="es-ES"/>
        </w:rPr>
        <w:t>Convención de la UNESCO sobre la protección y la promoción de la diversidad de las expresiones culturales</w:t>
      </w:r>
    </w:p>
    <w:p w:rsidR="00C0409B" w:rsidRPr="000D5434" w:rsidRDefault="00C0409B" w:rsidP="00103D66">
      <w:pPr>
        <w:pStyle w:val="ONUMFS"/>
        <w:numPr>
          <w:ilvl w:val="0"/>
          <w:numId w:val="0"/>
        </w:numPr>
        <w:rPr>
          <w:szCs w:val="22"/>
          <w:lang w:val="es-ES"/>
        </w:rPr>
      </w:pPr>
      <w:r w:rsidRPr="000D5434">
        <w:rPr>
          <w:szCs w:val="22"/>
          <w:lang w:val="es-ES"/>
        </w:rPr>
        <w:t>La Convención sobre la protección y la promoción de la diversidad de las expresiones culturales es una convención internacional que fue adoptada por la UNESCO en 2005.</w:t>
      </w:r>
      <w:r w:rsidR="00B834A4" w:rsidRPr="000D5434">
        <w:rPr>
          <w:szCs w:val="22"/>
          <w:lang w:val="es-ES"/>
        </w:rPr>
        <w:t xml:space="preserve"> </w:t>
      </w:r>
      <w:r w:rsidRPr="000D5434">
        <w:rPr>
          <w:szCs w:val="22"/>
          <w:lang w:val="es-ES"/>
        </w:rPr>
        <w:t>Entró en vigor el 18 de marzo de 2007.</w:t>
      </w:r>
    </w:p>
    <w:p w:rsidR="00C0409B" w:rsidRPr="000D5434" w:rsidRDefault="00C0409B" w:rsidP="00103D66">
      <w:pPr>
        <w:pStyle w:val="ONUMFS"/>
        <w:numPr>
          <w:ilvl w:val="0"/>
          <w:numId w:val="0"/>
        </w:numPr>
        <w:rPr>
          <w:szCs w:val="22"/>
          <w:lang w:val="es-ES"/>
        </w:rPr>
      </w:pPr>
      <w:r w:rsidRPr="000D5434">
        <w:rPr>
          <w:szCs w:val="22"/>
          <w:lang w:val="es-ES"/>
        </w:rPr>
        <w:t>Los objetivos de la Convención se enuncian en el artículo 1:</w:t>
      </w:r>
      <w:r w:rsidR="00B834A4" w:rsidRPr="000D5434">
        <w:rPr>
          <w:szCs w:val="22"/>
          <w:lang w:val="es-ES"/>
        </w:rPr>
        <w:t xml:space="preserve"> </w:t>
      </w:r>
      <w:r w:rsidRPr="000D5434">
        <w:rPr>
          <w:szCs w:val="22"/>
          <w:lang w:val="es-ES"/>
        </w:rPr>
        <w:t>“a) proteger y promover la diversidad de las expresiones culturales;</w:t>
      </w:r>
      <w:r w:rsidR="00B834A4" w:rsidRPr="000D5434">
        <w:rPr>
          <w:szCs w:val="22"/>
          <w:lang w:val="es-ES"/>
        </w:rPr>
        <w:t xml:space="preserve"> </w:t>
      </w:r>
      <w:r w:rsidRPr="000D5434">
        <w:rPr>
          <w:szCs w:val="22"/>
          <w:lang w:val="es-ES"/>
        </w:rPr>
        <w:t>b) crear las condiciones para que las culturas puedan prosperar y mantener interacciones libremente de forma mutuamente provechosa;</w:t>
      </w:r>
      <w:r w:rsidR="00B834A4" w:rsidRPr="000D5434">
        <w:rPr>
          <w:szCs w:val="22"/>
          <w:lang w:val="es-ES"/>
        </w:rPr>
        <w:t xml:space="preserve"> </w:t>
      </w:r>
      <w:r w:rsidRPr="000D5434">
        <w:rPr>
          <w:szCs w:val="22"/>
          <w:lang w:val="es-ES"/>
        </w:rPr>
        <w:t>c) fomentar el diálogo entre culturas a fin de garantizar intercambios culturales más amplios y equilibrados en el mundo en pro del respeto intercultural y una cultura de paz;</w:t>
      </w:r>
      <w:r w:rsidR="00B834A4" w:rsidRPr="000D5434">
        <w:rPr>
          <w:szCs w:val="22"/>
          <w:lang w:val="es-ES"/>
        </w:rPr>
        <w:t xml:space="preserve"> </w:t>
      </w:r>
      <w:r w:rsidRPr="000D5434">
        <w:rPr>
          <w:szCs w:val="22"/>
          <w:lang w:val="es-ES"/>
        </w:rPr>
        <w:t>d) fomentar la interculturalidad con el fin de desarrollar la interacción cultural, con el espíritu de construir puentes entre los pueblos;</w:t>
      </w:r>
      <w:r w:rsidR="00B834A4" w:rsidRPr="000D5434">
        <w:rPr>
          <w:szCs w:val="22"/>
          <w:lang w:val="es-ES"/>
        </w:rPr>
        <w:t xml:space="preserve"> </w:t>
      </w:r>
      <w:r w:rsidRPr="000D5434">
        <w:rPr>
          <w:szCs w:val="22"/>
          <w:lang w:val="es-ES"/>
        </w:rPr>
        <w:t>e) promover el respeto de la diversidad de las expresiones culturales y hacer cobrar conciencia de su valor en el plano local, nacional e internacional;</w:t>
      </w:r>
      <w:r w:rsidR="00B834A4" w:rsidRPr="000D5434">
        <w:rPr>
          <w:szCs w:val="22"/>
          <w:lang w:val="es-ES"/>
        </w:rPr>
        <w:t xml:space="preserve"> </w:t>
      </w:r>
      <w:r w:rsidRPr="000D5434">
        <w:rPr>
          <w:szCs w:val="22"/>
          <w:lang w:val="es-ES"/>
        </w:rPr>
        <w:t>f) reafirmar la importancia del vínculo existente entre la cultura y el desarrollo para todos los países, en especial los países en desarrollo, y apoyar las actividades realizadas en el plano nacional e internacional para que se reconozca el auténtico valor de ese vínculo;</w:t>
      </w:r>
      <w:r w:rsidR="00B834A4" w:rsidRPr="000D5434">
        <w:rPr>
          <w:szCs w:val="22"/>
          <w:lang w:val="es-ES"/>
        </w:rPr>
        <w:t xml:space="preserve"> </w:t>
      </w:r>
      <w:r w:rsidRPr="000D5434">
        <w:rPr>
          <w:szCs w:val="22"/>
          <w:lang w:val="es-ES"/>
        </w:rPr>
        <w:t>g) reconocer la índole específica de las actividades y los bienes y servicios culturales en su calidad de portadores de identidad, valores y significado;</w:t>
      </w:r>
      <w:r w:rsidR="00B834A4" w:rsidRPr="000D5434">
        <w:rPr>
          <w:szCs w:val="22"/>
          <w:lang w:val="es-ES"/>
        </w:rPr>
        <w:t xml:space="preserve"> </w:t>
      </w:r>
      <w:r w:rsidRPr="000D5434">
        <w:rPr>
          <w:szCs w:val="22"/>
          <w:lang w:val="es-ES"/>
        </w:rPr>
        <w:t>h) reiterar los derechos soberanos de los Estados a conservar, adoptar y aplicar las políticas y medidas que estimen necesarias para proteger y promover la diversidad de las expresiones culturales en sus respectivos territorios;</w:t>
      </w:r>
      <w:r w:rsidR="00B834A4" w:rsidRPr="000D5434">
        <w:rPr>
          <w:szCs w:val="22"/>
          <w:lang w:val="es-ES"/>
        </w:rPr>
        <w:t xml:space="preserve"> </w:t>
      </w:r>
      <w:r w:rsidRPr="000D5434">
        <w:rPr>
          <w:szCs w:val="22"/>
          <w:lang w:val="es-ES"/>
        </w:rPr>
        <w:t>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0D5434" w:rsidRDefault="00C0409B" w:rsidP="00103D66">
      <w:pPr>
        <w:pStyle w:val="ONUMFS"/>
        <w:numPr>
          <w:ilvl w:val="0"/>
          <w:numId w:val="0"/>
        </w:numPr>
        <w:rPr>
          <w:b/>
          <w:bCs/>
          <w:szCs w:val="22"/>
          <w:lang w:val="es-ES"/>
        </w:rPr>
      </w:pPr>
      <w:r w:rsidRPr="000D5434">
        <w:rPr>
          <w:b/>
          <w:bCs/>
          <w:szCs w:val="22"/>
          <w:lang w:val="es-ES"/>
        </w:rPr>
        <w:t>Convención de la UNESCO para la salvaguardia del patrimonio cultural inmaterial</w:t>
      </w:r>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2003 y entró en vigor el 20 de abril de 2006.</w:t>
      </w:r>
      <w:r w:rsidR="00B834A4" w:rsidRPr="000D5434">
        <w:rPr>
          <w:szCs w:val="22"/>
          <w:lang w:val="es-ES"/>
        </w:rPr>
        <w:t xml:space="preserve"> </w:t>
      </w:r>
      <w:r w:rsidRPr="000D5434">
        <w:rPr>
          <w:szCs w:val="22"/>
          <w:lang w:val="es-ES"/>
        </w:rPr>
        <w:t>Tiene las siguientes finalidades:</w:t>
      </w:r>
      <w:r w:rsidR="00B834A4" w:rsidRPr="000D5434">
        <w:rPr>
          <w:szCs w:val="22"/>
          <w:lang w:val="es-ES"/>
        </w:rPr>
        <w:t xml:space="preserve"> </w:t>
      </w:r>
      <w:r w:rsidRPr="000D5434">
        <w:rPr>
          <w:szCs w:val="22"/>
          <w:lang w:val="es-ES"/>
        </w:rPr>
        <w:t>la salvaguardia del patrimonio cultural inmaterial;</w:t>
      </w:r>
      <w:r w:rsidR="00B834A4" w:rsidRPr="000D5434">
        <w:rPr>
          <w:szCs w:val="22"/>
          <w:lang w:val="es-ES"/>
        </w:rPr>
        <w:t xml:space="preserve"> </w:t>
      </w:r>
      <w:r w:rsidRPr="000D5434">
        <w:rPr>
          <w:szCs w:val="22"/>
          <w:lang w:val="es-ES"/>
        </w:rPr>
        <w:t>el respeto del patrimonio cultural inmaterial de las comunidades, grupos e individuos de que se trate;</w:t>
      </w:r>
      <w:r w:rsidR="00B834A4" w:rsidRPr="000D5434">
        <w:rPr>
          <w:szCs w:val="22"/>
          <w:lang w:val="es-ES"/>
        </w:rPr>
        <w:t xml:space="preserve"> </w:t>
      </w:r>
      <w:r w:rsidRPr="000D5434">
        <w:rPr>
          <w:szCs w:val="22"/>
          <w:lang w:val="es-ES"/>
        </w:rPr>
        <w:t>la sensibilización en el plano local, nacional e internacional a la importancia del patrimonio cultural inmaterial y de su reconocimiento recíproco;</w:t>
      </w:r>
      <w:r w:rsidR="00B834A4" w:rsidRPr="000D5434">
        <w:rPr>
          <w:szCs w:val="22"/>
          <w:lang w:val="es-ES"/>
        </w:rPr>
        <w:t xml:space="preserve"> </w:t>
      </w:r>
      <w:r w:rsidRPr="000D5434">
        <w:rPr>
          <w:szCs w:val="22"/>
          <w:lang w:val="es-ES"/>
        </w:rPr>
        <w:t>y la cooperación y asistencia internacionales.</w:t>
      </w:r>
    </w:p>
    <w:p w:rsidR="00C0409B" w:rsidRPr="000D5434" w:rsidRDefault="00C0409B" w:rsidP="00E1039C">
      <w:pPr>
        <w:pStyle w:val="ONUMFS"/>
        <w:keepNext/>
        <w:keepLines/>
        <w:numPr>
          <w:ilvl w:val="0"/>
          <w:numId w:val="0"/>
        </w:numPr>
        <w:rPr>
          <w:b/>
          <w:bCs/>
          <w:szCs w:val="22"/>
          <w:lang w:val="es-ES"/>
        </w:rPr>
      </w:pPr>
      <w:bookmarkStart w:id="17" w:name="sdfootnote13anc"/>
      <w:r w:rsidRPr="000D5434">
        <w:rPr>
          <w:b/>
          <w:bCs/>
          <w:szCs w:val="22"/>
          <w:lang w:val="es-ES"/>
        </w:rPr>
        <w:t>Competencia desleal</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de Derecho</w:t>
      </w:r>
      <w:r w:rsidRPr="000D5434">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w:t>
      </w:r>
      <w:r w:rsidR="00B834A4" w:rsidRPr="000D5434">
        <w:rPr>
          <w:szCs w:val="22"/>
          <w:lang w:val="es-ES"/>
        </w:rPr>
        <w:t xml:space="preserve"> </w:t>
      </w:r>
      <w:r w:rsidRPr="000D5434">
        <w:rPr>
          <w:szCs w:val="22"/>
          <w:lang w:val="es-ES"/>
        </w:rPr>
        <w:t>Entre otros actos, se consideran de competencia desleal los capaces de crear confusión por cualquier medio respecto del establecimiento, los productos o la actividad económica de un competidor”.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“unfair competition”</w:t>
      </w:r>
      <w:r w:rsidRPr="000D5434">
        <w:rPr>
          <w:szCs w:val="22"/>
          <w:lang w:val="es-ES"/>
        </w:rPr>
        <w:t xml:space="preserve"> se define como una práctica deshonesta o fraudulenta en el comercio;</w:t>
      </w:r>
      <w:r w:rsidR="00B834A4" w:rsidRPr="000D5434">
        <w:rPr>
          <w:szCs w:val="22"/>
          <w:lang w:val="es-ES"/>
        </w:rPr>
        <w:t xml:space="preserve"> </w:t>
      </w:r>
      <w:r w:rsidRPr="000D5434">
        <w:rPr>
          <w:szCs w:val="22"/>
          <w:lang w:val="es-ES"/>
        </w:rPr>
        <w:t>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0D5434" w:rsidRDefault="00C0409B" w:rsidP="00103D66">
      <w:pPr>
        <w:pStyle w:val="ONUMFS"/>
        <w:numPr>
          <w:ilvl w:val="0"/>
          <w:numId w:val="0"/>
        </w:numPr>
        <w:rPr>
          <w:szCs w:val="22"/>
          <w:lang w:val="es-ES"/>
        </w:rPr>
      </w:pPr>
      <w:r w:rsidRPr="000D5434">
        <w:rPr>
          <w:szCs w:val="22"/>
          <w:lang w:val="es-ES"/>
        </w:rPr>
        <w:t>En el párrafo 2 del artículo 10</w:t>
      </w:r>
      <w:r w:rsidRPr="000D5434">
        <w:rPr>
          <w:i/>
          <w:iCs/>
          <w:szCs w:val="22"/>
          <w:lang w:val="es-ES"/>
        </w:rPr>
        <w:t>bis</w:t>
      </w:r>
      <w:r w:rsidRPr="000D5434">
        <w:rPr>
          <w:szCs w:val="22"/>
          <w:lang w:val="es-ES"/>
        </w:rPr>
        <w:t xml:space="preserve"> del </w:t>
      </w:r>
      <w:r w:rsidRPr="000D5434">
        <w:rPr>
          <w:i/>
          <w:szCs w:val="22"/>
          <w:lang w:val="es-ES"/>
        </w:rPr>
        <w:t>Convenio de París para la Protección de la Propiedad Industrial</w:t>
      </w:r>
      <w:r w:rsidRPr="000D5434">
        <w:rPr>
          <w:szCs w:val="22"/>
          <w:lang w:val="es-ES"/>
        </w:rPr>
        <w:t xml:space="preserve"> </w:t>
      </w:r>
      <w:r w:rsidR="00BE2812" w:rsidRPr="000D5434">
        <w:rPr>
          <w:szCs w:val="22"/>
          <w:lang w:val="es-ES"/>
        </w:rPr>
        <w:t xml:space="preserve">(1883) </w:t>
      </w:r>
      <w:r w:rsidRPr="000D5434">
        <w:rPr>
          <w:szCs w:val="22"/>
          <w:lang w:val="es-ES"/>
        </w:rPr>
        <w:t>se estipula que “[c]onstituye acto de competencia desleal todo acto de competencia contrario a los usos honestos en materia industrial o comercial”.</w:t>
      </w:r>
      <w:r w:rsidR="00B834A4" w:rsidRPr="000D5434">
        <w:rPr>
          <w:szCs w:val="22"/>
          <w:lang w:val="es-ES"/>
        </w:rPr>
        <w:t xml:space="preserve"> </w:t>
      </w:r>
      <w:r w:rsidRPr="000D5434">
        <w:rPr>
          <w:szCs w:val="22"/>
          <w:lang w:val="es-ES"/>
        </w:rPr>
        <w:t>En el párrafo 3 del artículo 10</w:t>
      </w:r>
      <w:r w:rsidRPr="000D5434">
        <w:rPr>
          <w:i/>
          <w:iCs/>
          <w:szCs w:val="22"/>
          <w:lang w:val="es-ES"/>
        </w:rPr>
        <w:t>bis</w:t>
      </w:r>
      <w:r w:rsidRPr="000D5434">
        <w:rPr>
          <w:szCs w:val="22"/>
          <w:lang w:val="es-ES"/>
        </w:rPr>
        <w:t xml:space="preserve"> se estipula además que “[e]n particular deberán prohibirse:</w:t>
      </w:r>
      <w:r w:rsidR="00B834A4" w:rsidRPr="000D5434">
        <w:rPr>
          <w:szCs w:val="22"/>
          <w:lang w:val="es-ES"/>
        </w:rPr>
        <w:t xml:space="preserve"> </w:t>
      </w:r>
      <w:r w:rsidRPr="000D5434">
        <w:rPr>
          <w:szCs w:val="22"/>
          <w:lang w:val="es-ES"/>
        </w:rPr>
        <w:t>i) cualquier acto capaz de crear confusión, por cualquier medio que sea, respecto del establecimiento, los productos o la actividad industrial o comercial de un competidor;</w:t>
      </w:r>
      <w:r w:rsidR="00B834A4" w:rsidRPr="000D5434">
        <w:rPr>
          <w:szCs w:val="22"/>
          <w:lang w:val="es-ES"/>
        </w:rPr>
        <w:t xml:space="preserve"> </w:t>
      </w:r>
      <w:r w:rsidRPr="000D5434">
        <w:rPr>
          <w:szCs w:val="22"/>
          <w:lang w:val="es-ES"/>
        </w:rPr>
        <w:t>ii) las aseveraciones falsas, en el ejercicio del comercio, capaces de desacreditar el establecimiento, los productos o la actividad industrial o comercial de un competidor;</w:t>
      </w:r>
      <w:r w:rsidR="00B834A4" w:rsidRPr="000D5434">
        <w:rPr>
          <w:szCs w:val="22"/>
          <w:lang w:val="es-ES"/>
        </w:rPr>
        <w:t xml:space="preserve"> </w:t>
      </w:r>
      <w:r w:rsidRPr="000D5434">
        <w:rPr>
          <w:szCs w:val="22"/>
          <w:lang w:val="es-ES"/>
        </w:rPr>
        <w:t>iii) las indicaciones o aseveraciones cuyo empleo, en el ejercicio del comercio, pudieren inducir al público a error sobre la naturaleza, el modo de fabricación, las características, la aptitud en el empleo o la cantidad de los productos.”</w:t>
      </w:r>
    </w:p>
    <w:bookmarkEnd w:id="17"/>
    <w:p w:rsidR="00C0409B" w:rsidRPr="000D5434" w:rsidRDefault="00C0409B" w:rsidP="00103D66">
      <w:pPr>
        <w:pStyle w:val="ONUMFS"/>
        <w:numPr>
          <w:ilvl w:val="0"/>
          <w:numId w:val="0"/>
        </w:numPr>
        <w:rPr>
          <w:b/>
          <w:szCs w:val="22"/>
          <w:lang w:val="es-ES"/>
        </w:rPr>
      </w:pPr>
      <w:r w:rsidRPr="000D5434">
        <w:rPr>
          <w:b/>
          <w:szCs w:val="22"/>
          <w:lang w:val="es-ES"/>
        </w:rPr>
        <w:t>Declaración de las Naciones Unidas sobre los Derechos de los Pueblos Indígenas</w:t>
      </w:r>
    </w:p>
    <w:p w:rsidR="00C0409B" w:rsidRPr="000D5434" w:rsidRDefault="00C0409B" w:rsidP="00103D66">
      <w:pPr>
        <w:pStyle w:val="ONUMFS"/>
        <w:numPr>
          <w:ilvl w:val="0"/>
          <w:numId w:val="0"/>
        </w:numPr>
        <w:rPr>
          <w:szCs w:val="22"/>
          <w:lang w:val="es-ES"/>
        </w:rPr>
      </w:pPr>
      <w:r w:rsidRPr="000D5434">
        <w:rPr>
          <w:szCs w:val="22"/>
          <w:lang w:val="es-ES"/>
        </w:rPr>
        <w:t xml:space="preserve">La Asamblea General de las Naciones Unidas adoptó la </w:t>
      </w:r>
      <w:r w:rsidRPr="000D5434">
        <w:rPr>
          <w:i/>
          <w:szCs w:val="22"/>
          <w:lang w:val="es-ES"/>
        </w:rPr>
        <w:t>Declaración de las Naciones Unidas sobre los Derechos de los Pueblos Indígenas</w:t>
      </w:r>
      <w:r w:rsidRPr="000D5434">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Pr="000D5434" w:rsidRDefault="00C0409B" w:rsidP="00103D66">
      <w:pPr>
        <w:pStyle w:val="ONUMFS"/>
        <w:numPr>
          <w:ilvl w:val="0"/>
          <w:numId w:val="0"/>
        </w:numPr>
        <w:rPr>
          <w:szCs w:val="22"/>
          <w:lang w:val="es-ES"/>
        </w:rPr>
      </w:pPr>
      <w:r w:rsidRPr="000D5434">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B834A4" w:rsidRPr="000D5434">
        <w:rPr>
          <w:szCs w:val="22"/>
          <w:lang w:val="es-ES"/>
        </w:rPr>
        <w:t xml:space="preserve"> </w:t>
      </w:r>
      <w:r w:rsidRPr="000D5434">
        <w:rPr>
          <w:szCs w:val="22"/>
          <w:lang w:val="es-ES"/>
        </w:rPr>
        <w:t>También tienen derecho a mantener, controlar, proteger y desarrollar su propiedad intelectual de dicho patrimonio cultural, sus conocimientos tradicionales y sus expresiones culturales tradicionales.”</w:t>
      </w:r>
      <w:r w:rsidR="00B834A4" w:rsidRPr="000D5434">
        <w:rPr>
          <w:szCs w:val="22"/>
          <w:lang w:val="es-ES"/>
        </w:rPr>
        <w:t xml:space="preserve"> </w:t>
      </w:r>
      <w:r w:rsidRPr="000D5434">
        <w:rPr>
          <w:szCs w:val="22"/>
          <w:lang w:val="es-ES"/>
        </w:rPr>
        <w:t>En el párrafo 2 del artículo 31 se establece además que “Conjuntamente con los pueblos indígenas, los Estados adoptarán medidas eficaces para reconocer y proteger el ejercicio de estos derechos”.</w:t>
      </w:r>
      <w:r w:rsidR="00B834A4" w:rsidRPr="000D5434">
        <w:rPr>
          <w:szCs w:val="22"/>
          <w:lang w:val="es-ES"/>
        </w:rPr>
        <w:t xml:space="preserve"> </w:t>
      </w:r>
      <w:r w:rsidRPr="000D5434">
        <w:rPr>
          <w:szCs w:val="22"/>
          <w:lang w:val="es-ES"/>
        </w:rPr>
        <w:t>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9336EB" w:rsidRPr="000D5434" w:rsidRDefault="009336EB" w:rsidP="00D87BB6">
      <w:pPr>
        <w:keepNext/>
        <w:keepLines/>
        <w:spacing w:after="220"/>
        <w:rPr>
          <w:b/>
          <w:szCs w:val="22"/>
          <w:lang w:val="es-ES"/>
        </w:rPr>
      </w:pPr>
      <w:r w:rsidRPr="000D5434">
        <w:rPr>
          <w:b/>
          <w:szCs w:val="22"/>
          <w:lang w:val="es-ES"/>
        </w:rPr>
        <w:t>Declaración Universal de Derechos Humanos</w:t>
      </w:r>
    </w:p>
    <w:p w:rsidR="00C71577" w:rsidRPr="000D5434" w:rsidRDefault="009336EB" w:rsidP="00D87BB6">
      <w:pPr>
        <w:pStyle w:val="ONUMFS"/>
        <w:keepNext/>
        <w:keepLines/>
        <w:numPr>
          <w:ilvl w:val="0"/>
          <w:numId w:val="0"/>
        </w:numPr>
        <w:rPr>
          <w:szCs w:val="22"/>
          <w:lang w:val="es-ES"/>
        </w:rPr>
      </w:pPr>
      <w:r w:rsidRPr="000D5434">
        <w:rPr>
          <w:szCs w:val="22"/>
          <w:lang w:val="es-ES"/>
        </w:rPr>
        <w:t>La Declaración Universal de Derechos Humanos es un documento que marca un hito en la historia de los derechos humanos.</w:t>
      </w:r>
      <w:r w:rsidR="00B834A4" w:rsidRPr="000D5434">
        <w:rPr>
          <w:szCs w:val="22"/>
          <w:lang w:val="es-ES"/>
        </w:rPr>
        <w:t xml:space="preserve"> </w:t>
      </w:r>
      <w:r w:rsidRPr="000D5434">
        <w:rPr>
          <w:szCs w:val="22"/>
          <w:lang w:val="es-ES"/>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w:t>
      </w:r>
      <w:r w:rsidR="00B834A4" w:rsidRPr="000D5434">
        <w:rPr>
          <w:szCs w:val="22"/>
          <w:lang w:val="es-ES"/>
        </w:rPr>
        <w:t xml:space="preserve"> </w:t>
      </w:r>
      <w:r w:rsidRPr="000D5434">
        <w:rPr>
          <w:szCs w:val="22"/>
          <w:lang w:val="es-ES"/>
        </w:rPr>
        <w:t>La Declaración establece, por primera vez, los derechos humanos fundamentales que deben protegerse en el mundo entero</w:t>
      </w:r>
      <w:r w:rsidRPr="000D5434">
        <w:rPr>
          <w:color w:val="333333"/>
          <w:szCs w:val="22"/>
          <w:lang w:val="es-ES"/>
        </w:rPr>
        <w:t>.</w:t>
      </w:r>
      <w:r w:rsidRPr="000D5434">
        <w:rPr>
          <w:rStyle w:val="FootnoteReference"/>
          <w:color w:val="333333"/>
          <w:szCs w:val="22"/>
          <w:lang w:val="es-ES"/>
        </w:rPr>
        <w:footnoteReference w:id="172"/>
      </w:r>
    </w:p>
    <w:p w:rsidR="00C0409B" w:rsidRPr="000D5434" w:rsidRDefault="00C0409B" w:rsidP="00103D66">
      <w:pPr>
        <w:pStyle w:val="ONUMFS"/>
        <w:numPr>
          <w:ilvl w:val="0"/>
          <w:numId w:val="0"/>
        </w:numPr>
        <w:rPr>
          <w:b/>
          <w:bCs/>
          <w:szCs w:val="22"/>
          <w:lang w:val="es-ES"/>
        </w:rPr>
      </w:pPr>
      <w:r w:rsidRPr="000D5434">
        <w:rPr>
          <w:b/>
          <w:bCs/>
          <w:szCs w:val="22"/>
          <w:lang w:val="es-ES"/>
        </w:rPr>
        <w:t>Uso de las expresiones culturales tradicionales</w:t>
      </w:r>
    </w:p>
    <w:p w:rsidR="00C0409B" w:rsidRPr="000D5434" w:rsidRDefault="00C0409B" w:rsidP="00103D66">
      <w:pPr>
        <w:pStyle w:val="ONUMFS"/>
        <w:numPr>
          <w:ilvl w:val="0"/>
          <w:numId w:val="0"/>
        </w:numPr>
        <w:rPr>
          <w:szCs w:val="22"/>
          <w:lang w:val="es-ES"/>
        </w:rPr>
      </w:pPr>
      <w:r w:rsidRPr="000D5434">
        <w:rPr>
          <w:szCs w:val="22"/>
          <w:lang w:val="es-ES"/>
        </w:rPr>
        <w:t>Las expresiones culturales tradicionales pueden utilizarse con distintos fines.</w:t>
      </w:r>
      <w:r w:rsidR="00B834A4" w:rsidRPr="000D5434">
        <w:rPr>
          <w:szCs w:val="22"/>
          <w:lang w:val="es-ES"/>
        </w:rPr>
        <w:t xml:space="preserve"> </w:t>
      </w:r>
      <w:r w:rsidRPr="000D5434">
        <w:rPr>
          <w:szCs w:val="22"/>
          <w:lang w:val="es-ES"/>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0D5434" w:rsidRDefault="00C0409B" w:rsidP="00103D66">
      <w:pPr>
        <w:pStyle w:val="ONUMFS"/>
        <w:numPr>
          <w:ilvl w:val="0"/>
          <w:numId w:val="0"/>
        </w:numPr>
        <w:rPr>
          <w:szCs w:val="22"/>
          <w:lang w:val="es-ES"/>
        </w:rPr>
      </w:pPr>
      <w:r w:rsidRPr="000D5434">
        <w:rPr>
          <w:i/>
          <w:iCs/>
          <w:szCs w:val="22"/>
          <w:u w:val="single"/>
          <w:lang w:val="es-ES"/>
        </w:rPr>
        <w:t>Uso comercial</w:t>
      </w:r>
    </w:p>
    <w:p w:rsidR="00C0409B" w:rsidRPr="000D5434" w:rsidRDefault="00C0409B" w:rsidP="00103D66">
      <w:pPr>
        <w:pStyle w:val="ONUMFS"/>
        <w:numPr>
          <w:ilvl w:val="0"/>
          <w:numId w:val="0"/>
        </w:numPr>
        <w:rPr>
          <w:szCs w:val="22"/>
          <w:lang w:val="es-ES"/>
        </w:rPr>
      </w:pPr>
      <w:r w:rsidRPr="000D5434">
        <w:rPr>
          <w:szCs w:val="22"/>
          <w:lang w:val="es-ES"/>
        </w:rPr>
        <w:t>Se entiende por “uso comercial” todo uso con fines de comercio.</w:t>
      </w:r>
      <w:r w:rsidR="00B834A4" w:rsidRPr="000D5434">
        <w:rPr>
          <w:szCs w:val="22"/>
          <w:lang w:val="es-ES"/>
        </w:rPr>
        <w:t xml:space="preserve"> </w:t>
      </w: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“comercio” como “negociación que busca la obtención de ganancia o lucro en la venta, permuta o compra de mercaderías”.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“commercial use”</w:t>
      </w:r>
      <w:r w:rsidRPr="000D5434">
        <w:rPr>
          <w:szCs w:val="22"/>
          <w:lang w:val="es-ES"/>
        </w:rPr>
        <w:t xml:space="preserve"> se define como todo uso relacionado con una actividad permanente con fines de lucro o que promueve dicha actividad;</w:t>
      </w:r>
      <w:r w:rsidR="00B834A4" w:rsidRPr="000D5434">
        <w:rPr>
          <w:szCs w:val="22"/>
          <w:lang w:val="es-ES"/>
        </w:rPr>
        <w:t xml:space="preserve"> </w:t>
      </w:r>
      <w:r w:rsidRPr="000D5434">
        <w:rPr>
          <w:szCs w:val="22"/>
          <w:lang w:val="es-ES"/>
        </w:rPr>
        <w:t xml:space="preserve">por otra parte, </w:t>
      </w:r>
      <w:r w:rsidRPr="000D5434">
        <w:rPr>
          <w:i/>
          <w:iCs/>
          <w:szCs w:val="22"/>
          <w:lang w:val="es-ES"/>
        </w:rPr>
        <w:t>“non-commercial use”</w:t>
      </w:r>
      <w:r w:rsidRPr="000D5434">
        <w:rPr>
          <w:szCs w:val="22"/>
          <w:lang w:val="es-ES"/>
        </w:rPr>
        <w:t xml:space="preserve"> se define como todo uso con fines privados o de negocios que no implica la generación de ingresos o el derecho a un reconocimiento u otro tipo de compensación.</w:t>
      </w:r>
    </w:p>
    <w:p w:rsidR="00C0409B" w:rsidRPr="000D5434" w:rsidRDefault="00C0409B" w:rsidP="00103D66">
      <w:pPr>
        <w:pStyle w:val="ONUMFS"/>
        <w:numPr>
          <w:ilvl w:val="0"/>
          <w:numId w:val="0"/>
        </w:numPr>
        <w:rPr>
          <w:szCs w:val="22"/>
          <w:lang w:val="es-ES"/>
        </w:rPr>
      </w:pPr>
      <w:r w:rsidRPr="000D5434">
        <w:rPr>
          <w:i/>
          <w:iCs/>
          <w:szCs w:val="22"/>
          <w:u w:val="single"/>
          <w:lang w:val="es-ES"/>
        </w:rPr>
        <w:t>Uso consuetudinario</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Marco Regional del Pacífico</w:t>
      </w:r>
      <w:r w:rsidRPr="000D5434">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0D5434" w:rsidRDefault="00C0409B" w:rsidP="00103D66">
      <w:pPr>
        <w:pStyle w:val="ONUMFS"/>
        <w:numPr>
          <w:ilvl w:val="0"/>
          <w:numId w:val="0"/>
        </w:numPr>
        <w:rPr>
          <w:szCs w:val="22"/>
          <w:lang w:val="es-ES"/>
        </w:rPr>
      </w:pPr>
      <w:r w:rsidRPr="000D5434">
        <w:rPr>
          <w:i/>
          <w:iCs/>
          <w:szCs w:val="22"/>
          <w:u w:val="single"/>
          <w:lang w:val="es-ES"/>
        </w:rPr>
        <w:t>Uso leal</w:t>
      </w:r>
    </w:p>
    <w:p w:rsidR="00C0409B" w:rsidRPr="000D5434" w:rsidRDefault="00C0409B" w:rsidP="00103D66">
      <w:pPr>
        <w:pStyle w:val="ONUMFS"/>
        <w:numPr>
          <w:ilvl w:val="0"/>
          <w:numId w:val="0"/>
        </w:numPr>
        <w:rPr>
          <w:szCs w:val="22"/>
          <w:lang w:val="es-ES"/>
        </w:rPr>
      </w:pPr>
      <w:r w:rsidRPr="000D5434">
        <w:rPr>
          <w:szCs w:val="22"/>
          <w:lang w:val="es-ES"/>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“fair use”</w:t>
      </w:r>
      <w:r w:rsidRPr="000D5434">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w:t>
      </w:r>
      <w:r w:rsidR="00B834A4" w:rsidRPr="000D5434">
        <w:rPr>
          <w:szCs w:val="22"/>
          <w:lang w:val="es-ES"/>
        </w:rPr>
        <w:t xml:space="preserve"> </w:t>
      </w:r>
      <w:r w:rsidRPr="000D5434">
        <w:rPr>
          <w:szCs w:val="22"/>
          <w:lang w:val="es-ES"/>
        </w:rPr>
        <w:t>El uso leal es un eximente en caso demanda por violación de derechos, supeditado a los siguientes factores reglamentarios:</w:t>
      </w:r>
      <w:r w:rsidR="00B834A4" w:rsidRPr="000D5434">
        <w:rPr>
          <w:szCs w:val="22"/>
          <w:lang w:val="es-ES"/>
        </w:rPr>
        <w:t xml:space="preserve"> </w:t>
      </w:r>
      <w:r w:rsidRPr="000D5434">
        <w:rPr>
          <w:szCs w:val="22"/>
          <w:lang w:val="es-ES"/>
        </w:rPr>
        <w:t>1) el propósito y el carácter del uso, 2) la naturaleza de la obra protegida por derecho de autor, 3) la cantidad de la obra que se ha utilizado, y (4) los efectos económicos del uso”.</w:t>
      </w:r>
    </w:p>
    <w:p w:rsidR="00C0409B" w:rsidRPr="000D5434" w:rsidRDefault="00C0409B" w:rsidP="00D87BB6">
      <w:pPr>
        <w:pStyle w:val="ONUMFS"/>
        <w:keepNext/>
        <w:keepLines/>
        <w:numPr>
          <w:ilvl w:val="0"/>
          <w:numId w:val="0"/>
        </w:numPr>
        <w:rPr>
          <w:szCs w:val="22"/>
          <w:lang w:val="es-ES"/>
        </w:rPr>
      </w:pPr>
      <w:r w:rsidRPr="000D5434">
        <w:rPr>
          <w:i/>
          <w:iCs/>
          <w:szCs w:val="22"/>
          <w:u w:val="single"/>
          <w:lang w:val="es-ES"/>
        </w:rPr>
        <w:t>Uso doméstico / uso con fines de salud pública</w:t>
      </w:r>
    </w:p>
    <w:p w:rsidR="00C0409B" w:rsidRPr="000D5434" w:rsidRDefault="00C0409B" w:rsidP="00D87BB6">
      <w:pPr>
        <w:pStyle w:val="ONUMFS"/>
        <w:keepNext/>
        <w:keepLines/>
        <w:numPr>
          <w:ilvl w:val="0"/>
          <w:numId w:val="0"/>
        </w:numPr>
        <w:rPr>
          <w:szCs w:val="22"/>
          <w:lang w:val="es-ES"/>
        </w:rPr>
      </w:pPr>
      <w:r w:rsidRPr="000D5434">
        <w:rPr>
          <w:szCs w:val="22"/>
          <w:lang w:val="es-ES"/>
        </w:rPr>
        <w:t xml:space="preserve">Por “uso doméstico” se entiende todo uso </w:t>
      </w:r>
      <w:r w:rsidRPr="000D5434">
        <w:rPr>
          <w:iCs/>
          <w:szCs w:val="22"/>
          <w:lang w:val="es-ES"/>
        </w:rPr>
        <w:t xml:space="preserve">“[p]erteneciente o relativo a la casa u hogar” </w:t>
      </w:r>
      <w:r w:rsidRPr="000D5434">
        <w:rPr>
          <w:szCs w:val="22"/>
          <w:lang w:val="es-ES"/>
        </w:rPr>
        <w:t>según define el término “doméstico” en el Diccionario de la lengua española de la Real Academia Española</w:t>
      </w:r>
      <w:r w:rsidRPr="000D5434">
        <w:rPr>
          <w:i/>
          <w:iCs/>
          <w:szCs w:val="22"/>
          <w:lang w:val="es-ES"/>
        </w:rPr>
        <w:t>.</w:t>
      </w:r>
      <w:r w:rsidR="00B834A4" w:rsidRPr="000D5434">
        <w:rPr>
          <w:i/>
          <w:iCs/>
          <w:szCs w:val="22"/>
          <w:lang w:val="es-ES"/>
        </w:rPr>
        <w:t xml:space="preserve"> </w:t>
      </w:r>
      <w:r w:rsidRPr="000D5434">
        <w:rPr>
          <w:szCs w:val="22"/>
          <w:lang w:val="es-ES"/>
        </w:rPr>
        <w:t>Para la referencia del término en inglés se utilizó el diccionario jurídico de Black</w:t>
      </w:r>
      <w:r w:rsidRPr="000D5434">
        <w:rPr>
          <w:i/>
          <w:iCs/>
          <w:szCs w:val="22"/>
          <w:lang w:val="es-ES"/>
        </w:rPr>
        <w:t xml:space="preserve">, </w:t>
      </w:r>
      <w:r w:rsidRPr="000D5434">
        <w:rPr>
          <w:szCs w:val="22"/>
          <w:lang w:val="es-ES"/>
        </w:rPr>
        <w:t>en el que</w:t>
      </w:r>
      <w:r w:rsidRPr="000D5434">
        <w:rPr>
          <w:i/>
          <w:iCs/>
          <w:szCs w:val="22"/>
          <w:lang w:val="es-ES"/>
        </w:rPr>
        <w:t xml:space="preserve"> “household” </w:t>
      </w:r>
      <w:r w:rsidRPr="000D5434">
        <w:rPr>
          <w:szCs w:val="22"/>
          <w:lang w:val="es-ES"/>
        </w:rPr>
        <w:t>se define como perteneciente a la casa o la familia, o doméstico.</w:t>
      </w:r>
    </w:p>
    <w:p w:rsidR="00C0409B" w:rsidRPr="000D5434" w:rsidRDefault="00C0409B" w:rsidP="00103D66">
      <w:pPr>
        <w:pStyle w:val="ONUMFS"/>
        <w:numPr>
          <w:ilvl w:val="0"/>
          <w:numId w:val="0"/>
        </w:numPr>
        <w:rPr>
          <w:szCs w:val="22"/>
          <w:lang w:val="es-ES"/>
        </w:rPr>
      </w:pPr>
      <w:r w:rsidRPr="000D5434">
        <w:rPr>
          <w:szCs w:val="22"/>
          <w:lang w:val="es-ES"/>
        </w:rPr>
        <w:t xml:space="preserve">En cuanto al término “uso con fines de salud pública”, en el párrafo 1 de la Declaración de Doha relativa al </w:t>
      </w:r>
      <w:r w:rsidR="00BE2812" w:rsidRPr="000D5434">
        <w:rPr>
          <w:szCs w:val="22"/>
          <w:lang w:val="es-ES"/>
        </w:rPr>
        <w:t xml:space="preserve">Acuerdo </w:t>
      </w:r>
      <w:r w:rsidRPr="000D5434">
        <w:rPr>
          <w:szCs w:val="22"/>
          <w:lang w:val="es-ES"/>
        </w:rPr>
        <w:t>sobre los ADPIC y la salud pública se reconoce “</w:t>
      </w:r>
      <w:r w:rsidRPr="000D5434">
        <w:rPr>
          <w:iCs/>
          <w:szCs w:val="22"/>
          <w:lang w:val="es-ES"/>
        </w:rPr>
        <w:t>la gravedad de los problemas de salud pública que afligen a muchos países en desarrollo y menos adelantados, especialmente los resultantes del VIH/SIDA, la tuberculosis, el paludismo y otras epidemias</w:t>
      </w:r>
      <w:r w:rsidRPr="000D5434">
        <w:rPr>
          <w:szCs w:val="22"/>
          <w:lang w:val="es-ES"/>
        </w:rPr>
        <w:t>”.</w:t>
      </w:r>
      <w:r w:rsidR="00B834A4" w:rsidRPr="000D5434">
        <w:rPr>
          <w:szCs w:val="22"/>
          <w:lang w:val="es-ES"/>
        </w:rPr>
        <w:t xml:space="preserve"> </w:t>
      </w:r>
      <w:r w:rsidRPr="000D5434">
        <w:rPr>
          <w:szCs w:val="22"/>
          <w:lang w:val="es-ES"/>
        </w:rPr>
        <w:t>En el párrafo 5.c) se estipula además que “</w:t>
      </w:r>
      <w:r w:rsidRPr="000D5434">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0D5434" w:rsidRDefault="00C0409B" w:rsidP="00103D66">
      <w:pPr>
        <w:pStyle w:val="ONUMFS"/>
        <w:numPr>
          <w:ilvl w:val="0"/>
          <w:numId w:val="0"/>
        </w:numPr>
        <w:rPr>
          <w:szCs w:val="22"/>
          <w:lang w:val="es-ES"/>
        </w:rPr>
      </w:pPr>
      <w:r w:rsidRPr="000D5434">
        <w:rPr>
          <w:i/>
          <w:iCs/>
          <w:szCs w:val="22"/>
          <w:u w:val="single"/>
          <w:lang w:val="es-ES"/>
        </w:rPr>
        <w:t>Uso con fines de investigación / uso educativo</w:t>
      </w:r>
    </w:p>
    <w:p w:rsidR="00C0409B" w:rsidRPr="000D5434" w:rsidRDefault="00C0409B" w:rsidP="00103D66">
      <w:pPr>
        <w:pStyle w:val="ONUMFS"/>
        <w:numPr>
          <w:ilvl w:val="0"/>
          <w:numId w:val="0"/>
        </w:numPr>
        <w:rPr>
          <w:szCs w:val="22"/>
          <w:lang w:val="es-ES"/>
        </w:rPr>
      </w:pPr>
      <w:r w:rsidRPr="000D5434">
        <w:rPr>
          <w:szCs w:val="22"/>
          <w:lang w:val="es-ES"/>
        </w:rPr>
        <w:t xml:space="preserve">En el Diccionario de la lengua española de la Real Academia Española se define “investigación” como </w:t>
      </w:r>
      <w:r w:rsidRPr="000D5434">
        <w:rPr>
          <w:iCs/>
          <w:szCs w:val="22"/>
          <w:lang w:val="es-ES"/>
        </w:rPr>
        <w:t>“[a]cción y efecto de investigar</w:t>
      </w:r>
      <w:r w:rsidRPr="000D5434">
        <w:rPr>
          <w:szCs w:val="22"/>
          <w:lang w:val="es-ES"/>
        </w:rPr>
        <w:t>”;</w:t>
      </w:r>
      <w:r w:rsidR="00B834A4" w:rsidRPr="000D5434">
        <w:rPr>
          <w:szCs w:val="22"/>
          <w:lang w:val="es-ES"/>
        </w:rPr>
        <w:t xml:space="preserve"> </w:t>
      </w:r>
      <w:r w:rsidRPr="000D5434">
        <w:rPr>
          <w:szCs w:val="22"/>
          <w:lang w:val="es-ES"/>
        </w:rPr>
        <w:t xml:space="preserve">a su vez “investigar” como </w:t>
      </w:r>
      <w:r w:rsidRPr="000D5434">
        <w:rPr>
          <w:iCs/>
          <w:szCs w:val="22"/>
          <w:lang w:val="es-ES"/>
        </w:rPr>
        <w:t>“[r]ealizar actividades intelectuales y experimentales de modo sistemático con el propósito de aumentar los conocimientos sobre una determinada materia</w:t>
      </w:r>
      <w:r w:rsidRPr="000D5434">
        <w:rPr>
          <w:szCs w:val="22"/>
          <w:lang w:val="es-ES"/>
        </w:rPr>
        <w:t xml:space="preserve">” y “experimentar” como </w:t>
      </w:r>
      <w:r w:rsidRPr="000D5434">
        <w:rPr>
          <w:iCs/>
          <w:szCs w:val="22"/>
          <w:lang w:val="es-ES"/>
        </w:rPr>
        <w:t>“[p]robar y examinar prácticamente la virtud y propiedades de algo</w:t>
      </w:r>
      <w:r w:rsidRPr="000D5434">
        <w:rPr>
          <w:szCs w:val="22"/>
          <w:lang w:val="es-ES"/>
        </w:rPr>
        <w:t>”.</w:t>
      </w:r>
      <w:r w:rsidR="00B834A4" w:rsidRPr="000D5434">
        <w:rPr>
          <w:szCs w:val="22"/>
          <w:lang w:val="es-ES"/>
        </w:rPr>
        <w:t xml:space="preserve"> </w:t>
      </w:r>
      <w:r w:rsidRPr="000D5434">
        <w:rPr>
          <w:szCs w:val="22"/>
          <w:lang w:val="es-ES"/>
        </w:rPr>
        <w:t>Para la referencia del término en inglés se utilizó el diccionario jurídico de Black</w:t>
      </w:r>
      <w:r w:rsidRPr="000D5434">
        <w:rPr>
          <w:iCs/>
          <w:szCs w:val="22"/>
          <w:lang w:val="es-ES"/>
        </w:rPr>
        <w:t>,</w:t>
      </w:r>
      <w:r w:rsidRPr="000D5434">
        <w:rPr>
          <w:szCs w:val="22"/>
          <w:lang w:val="es-ES"/>
        </w:rPr>
        <w:t xml:space="preserve"> en el que la expresión “</w:t>
      </w:r>
      <w:r w:rsidRPr="000D5434">
        <w:rPr>
          <w:iCs/>
          <w:szCs w:val="22"/>
          <w:lang w:val="es-ES"/>
        </w:rPr>
        <w:t>experimental-use defense”</w:t>
      </w:r>
      <w:r w:rsidRPr="000D5434">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w:t>
      </w:r>
      <w:r w:rsidR="00B834A4" w:rsidRPr="000D5434">
        <w:rPr>
          <w:szCs w:val="22"/>
          <w:lang w:val="es-ES"/>
        </w:rPr>
        <w:t xml:space="preserve"> </w:t>
      </w:r>
      <w:r w:rsidRPr="000D5434">
        <w:rPr>
          <w:szCs w:val="22"/>
          <w:lang w:val="es-ES"/>
        </w:rPr>
        <w:t>Si bien aún se admite este eximente, debe interpretarse de manera restrictiva y en la actualidad se aplicaría únicamente a la investigación a los fines de comprobar las reivindicaciones del inventor.</w:t>
      </w:r>
    </w:p>
    <w:p w:rsidR="00C0409B" w:rsidRPr="000D5434" w:rsidRDefault="00C0409B" w:rsidP="00103D66">
      <w:pPr>
        <w:pStyle w:val="ONUMFS"/>
        <w:numPr>
          <w:ilvl w:val="0"/>
          <w:numId w:val="0"/>
        </w:numPr>
        <w:rPr>
          <w:szCs w:val="22"/>
          <w:lang w:val="es-ES"/>
        </w:rPr>
      </w:pPr>
      <w:r w:rsidRPr="000D5434">
        <w:rPr>
          <w:szCs w:val="22"/>
          <w:lang w:val="es-ES"/>
        </w:rPr>
        <w:t>Cabe señalar que, pese a que los derechos de propiedad intelectual son exclusivos, se prevén ciertas excepciones y limitaciones a esos derechos exclusivos.</w:t>
      </w:r>
      <w:r w:rsidR="00B834A4" w:rsidRPr="000D5434">
        <w:rPr>
          <w:szCs w:val="22"/>
          <w:lang w:val="es-ES"/>
        </w:rPr>
        <w:t xml:space="preserve"> </w:t>
      </w:r>
      <w:r w:rsidRPr="000D5434">
        <w:rPr>
          <w:szCs w:val="22"/>
          <w:lang w:val="es-ES"/>
        </w:rPr>
        <w:t>Por ejemplo, en el ámbito de las patentes, algunos países prevén en sus legislaciones nacionales excepciones y limitaciones a los derechos exclusivos, entre otras, en los casos siguientes:</w:t>
      </w:r>
    </w:p>
    <w:p w:rsidR="00C0409B" w:rsidRPr="000D5434" w:rsidRDefault="00C0409B" w:rsidP="00103D66">
      <w:pPr>
        <w:pStyle w:val="ONUMFS"/>
        <w:numPr>
          <w:ilvl w:val="0"/>
          <w:numId w:val="0"/>
        </w:numPr>
        <w:spacing w:after="0"/>
        <w:ind w:left="550"/>
        <w:rPr>
          <w:szCs w:val="22"/>
          <w:lang w:val="es-ES"/>
        </w:rPr>
      </w:pPr>
      <w:r w:rsidRPr="000D5434">
        <w:rPr>
          <w:szCs w:val="22"/>
          <w:lang w:val="es-ES"/>
        </w:rPr>
        <w:t>a)</w:t>
      </w:r>
      <w:r w:rsidRPr="000D5434">
        <w:rPr>
          <w:szCs w:val="22"/>
          <w:lang w:val="es-ES"/>
        </w:rPr>
        <w:tab/>
        <w:t>actos efectuados con fines privados o no comerciales;</w:t>
      </w:r>
    </w:p>
    <w:p w:rsidR="00C0409B" w:rsidRPr="000D5434" w:rsidRDefault="00C0409B" w:rsidP="00103D66">
      <w:pPr>
        <w:pStyle w:val="ONUMFS"/>
        <w:numPr>
          <w:ilvl w:val="0"/>
          <w:numId w:val="0"/>
        </w:numPr>
        <w:rPr>
          <w:szCs w:val="22"/>
          <w:lang w:val="es-ES"/>
        </w:rPr>
      </w:pPr>
      <w:r w:rsidRPr="000D5434">
        <w:rPr>
          <w:szCs w:val="22"/>
          <w:lang w:val="es-ES"/>
        </w:rPr>
        <w:tab/>
        <w:t>b)</w:t>
      </w:r>
      <w:r w:rsidRPr="000D5434">
        <w:rPr>
          <w:szCs w:val="22"/>
          <w:lang w:val="es-ES"/>
        </w:rPr>
        <w:tab/>
        <w:t>actos efectuados con fines experimentales o de investigación.</w:t>
      </w:r>
    </w:p>
    <w:p w:rsidR="00C0409B" w:rsidRPr="000D5434" w:rsidRDefault="00C0409B" w:rsidP="00B16297">
      <w:pPr>
        <w:pStyle w:val="ONUMFS"/>
        <w:numPr>
          <w:ilvl w:val="0"/>
          <w:numId w:val="0"/>
        </w:numPr>
        <w:rPr>
          <w:b/>
          <w:bCs/>
          <w:szCs w:val="22"/>
          <w:lang w:val="es-ES"/>
        </w:rPr>
      </w:pPr>
      <w:r w:rsidRPr="000D5434">
        <w:rPr>
          <w:b/>
          <w:bCs/>
          <w:szCs w:val="22"/>
          <w:lang w:val="es-ES"/>
        </w:rPr>
        <w:t>Utilización</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2.c) del </w:t>
      </w:r>
      <w:r w:rsidRPr="000D5434">
        <w:rPr>
          <w:i/>
          <w:szCs w:val="22"/>
          <w:lang w:val="es-ES"/>
        </w:rPr>
        <w:t>Protocolo de Nagoya sobre Acceso a los Recursos Genéticos y Participación Justa y Equitativa de los Beneficios que se Deriven de su Utilización al Convenio sobre la Diversidad Biológica</w:t>
      </w:r>
      <w:r w:rsidRPr="000D5434">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0D5434" w:rsidRDefault="00C0409B" w:rsidP="00103D66">
      <w:pPr>
        <w:pStyle w:val="ONUMFS"/>
        <w:numPr>
          <w:ilvl w:val="0"/>
          <w:numId w:val="0"/>
        </w:numPr>
        <w:rPr>
          <w:b/>
          <w:bCs/>
          <w:szCs w:val="22"/>
          <w:lang w:val="es-ES"/>
        </w:rPr>
      </w:pPr>
      <w:r w:rsidRPr="000D5434">
        <w:rPr>
          <w:b/>
          <w:bCs/>
          <w:szCs w:val="22"/>
          <w:lang w:val="es-ES"/>
        </w:rPr>
        <w:t>Guía de la OMPI para la catalogación de conocimientos tradicionales</w:t>
      </w:r>
      <w:r w:rsidR="009260D2" w:rsidRPr="000D5434">
        <w:rPr>
          <w:b/>
          <w:bCs/>
          <w:szCs w:val="22"/>
          <w:lang w:val="es-ES"/>
        </w:rPr>
        <w:t xml:space="preserve"> (Guía de catalogación de los conocimientos tradicionales)</w:t>
      </w:r>
    </w:p>
    <w:p w:rsidR="00C0409B" w:rsidRPr="000D5434" w:rsidRDefault="00C0409B" w:rsidP="00103D66">
      <w:pPr>
        <w:pStyle w:val="ONUMFS"/>
        <w:numPr>
          <w:ilvl w:val="0"/>
          <w:numId w:val="0"/>
        </w:numPr>
        <w:rPr>
          <w:szCs w:val="22"/>
          <w:lang w:val="es-ES"/>
        </w:rPr>
      </w:pPr>
      <w:r w:rsidRPr="000D5434">
        <w:rPr>
          <w:szCs w:val="22"/>
          <w:lang w:val="es-ES"/>
        </w:rPr>
        <w:t>Los programas de catalogación pueden plantear a los poseedores de conocimientos tradicionales cuestiones que dilucidar con respecto a la propiedad intelectual.</w:t>
      </w:r>
      <w:r w:rsidR="00B834A4" w:rsidRPr="000D5434">
        <w:rPr>
          <w:szCs w:val="22"/>
          <w:lang w:val="es-ES"/>
        </w:rPr>
        <w:t xml:space="preserve"> </w:t>
      </w:r>
      <w:r w:rsidRPr="000D5434">
        <w:rPr>
          <w:szCs w:val="22"/>
          <w:lang w:val="es-ES"/>
        </w:rPr>
        <w:t>Durante el proceso de catalogación es especialmente importante examinar con detenimiento sus consecuencias desde el punto de vista de la propiedad intelectual.</w:t>
      </w:r>
      <w:r w:rsidR="00B834A4" w:rsidRPr="000D5434">
        <w:rPr>
          <w:szCs w:val="22"/>
          <w:lang w:val="es-ES"/>
        </w:rPr>
        <w:t xml:space="preserve"> </w:t>
      </w:r>
      <w:r w:rsidR="00E65B9C" w:rsidRPr="000D5434">
        <w:rPr>
          <w:szCs w:val="22"/>
          <w:lang w:val="es-ES"/>
        </w:rPr>
        <w:t>L</w:t>
      </w:r>
      <w:r w:rsidRPr="000D5434">
        <w:rPr>
          <w:szCs w:val="22"/>
          <w:lang w:val="es-ES"/>
        </w:rPr>
        <w:t xml:space="preserve">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w:t>
      </w:r>
      <w:r w:rsidR="00E65B9C" w:rsidRPr="000D5434">
        <w:rPr>
          <w:szCs w:val="22"/>
          <w:lang w:val="es-ES"/>
        </w:rPr>
        <w:t>e intelectual de la comunidad</w:t>
      </w:r>
      <w:r w:rsidRPr="000D5434">
        <w:rPr>
          <w:szCs w:val="22"/>
          <w:lang w:val="es-ES"/>
        </w:rPr>
        <w:t>.</w:t>
      </w:r>
      <w:r w:rsidRPr="000D5434">
        <w:rPr>
          <w:rStyle w:val="FootnoteReference"/>
          <w:szCs w:val="22"/>
          <w:lang w:val="es-ES"/>
        </w:rPr>
        <w:footnoteReference w:id="173"/>
      </w:r>
    </w:p>
    <w:p w:rsidR="00C0409B" w:rsidRPr="000D5434" w:rsidRDefault="00E65B9C" w:rsidP="00103D66">
      <w:pPr>
        <w:pStyle w:val="ONUMFS"/>
        <w:numPr>
          <w:ilvl w:val="0"/>
          <w:numId w:val="0"/>
        </w:numPr>
        <w:rPr>
          <w:szCs w:val="22"/>
          <w:lang w:val="es-ES"/>
        </w:rPr>
      </w:pPr>
      <w:r w:rsidRPr="000D5434">
        <w:rPr>
          <w:szCs w:val="22"/>
          <w:lang w:val="es-ES"/>
        </w:rPr>
        <w:t>L</w:t>
      </w:r>
      <w:r w:rsidR="00C0409B" w:rsidRPr="000D5434">
        <w:rPr>
          <w:szCs w:val="22"/>
          <w:lang w:val="es-ES"/>
        </w:rPr>
        <w:t>a guía de la OMPI para la catalogación de conocimientos tradicionales está especialmente concebid</w:t>
      </w:r>
      <w:r w:rsidR="00F20457" w:rsidRPr="000D5434">
        <w:rPr>
          <w:szCs w:val="22"/>
          <w:lang w:val="es-ES"/>
        </w:rPr>
        <w:t>a</w:t>
      </w:r>
      <w:r w:rsidR="00C0409B" w:rsidRPr="000D5434">
        <w:rPr>
          <w:szCs w:val="22"/>
          <w:lang w:val="es-ES"/>
        </w:rPr>
        <w:t xml:space="preserve"> para su consulta por las comunidades locales e indígenas.</w:t>
      </w:r>
      <w:r w:rsidR="00B834A4" w:rsidRPr="000D5434">
        <w:rPr>
          <w:szCs w:val="22"/>
          <w:lang w:val="es-ES"/>
        </w:rPr>
        <w:t xml:space="preserve"> </w:t>
      </w:r>
      <w:r w:rsidR="00C0409B" w:rsidRPr="000D5434">
        <w:rPr>
          <w:szCs w:val="22"/>
          <w:lang w:val="es-ES"/>
        </w:rPr>
        <w:t>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0D5434" w:rsidRDefault="00C0409B" w:rsidP="00103D66">
      <w:pPr>
        <w:pStyle w:val="ONUMFS"/>
        <w:numPr>
          <w:ilvl w:val="0"/>
          <w:numId w:val="0"/>
        </w:numPr>
        <w:rPr>
          <w:szCs w:val="22"/>
          <w:lang w:val="es-ES"/>
        </w:rPr>
      </w:pPr>
      <w:r w:rsidRPr="000D5434">
        <w:rPr>
          <w:szCs w:val="22"/>
          <w:lang w:val="es-ES"/>
        </w:rPr>
        <w:t>Durante el proceso de catalogación es posible proteger los conocimientos mediante derechos de propiedad intelectual y otros instrumentos jurídicos, pero únicamente si se toman las medidas adecuadas.</w:t>
      </w:r>
      <w:r w:rsidR="00B834A4" w:rsidRPr="000D5434">
        <w:rPr>
          <w:szCs w:val="22"/>
          <w:lang w:val="es-ES"/>
        </w:rPr>
        <w:t xml:space="preserve"> </w:t>
      </w:r>
      <w:r w:rsidR="00D0713E" w:rsidRPr="000D5434">
        <w:rPr>
          <w:szCs w:val="22"/>
          <w:lang w:val="es-ES"/>
        </w:rPr>
        <w:t>L</w:t>
      </w:r>
      <w:r w:rsidRPr="000D5434">
        <w:rPr>
          <w:szCs w:val="22"/>
          <w:lang w:val="es-ES"/>
        </w:rPr>
        <w:t>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0D5434" w:rsidRDefault="00C0409B" w:rsidP="00103D66">
      <w:pPr>
        <w:pStyle w:val="ONUMFS"/>
        <w:numPr>
          <w:ilvl w:val="0"/>
          <w:numId w:val="0"/>
        </w:numPr>
        <w:rPr>
          <w:b/>
          <w:bCs/>
          <w:szCs w:val="22"/>
          <w:lang w:val="es-ES"/>
        </w:rPr>
      </w:pPr>
      <w:r w:rsidRPr="000D5434">
        <w:rPr>
          <w:b/>
          <w:bCs/>
          <w:szCs w:val="22"/>
          <w:lang w:val="es-ES"/>
        </w:rPr>
        <w:t>Disposiciones Tipo OMPI-UNESCO para leyes nacionales sobre la protección de las expresiones del folclore contra la explotación ilícita y otras acciones lesivas</w:t>
      </w:r>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Disposiciones Tipo</w:t>
      </w:r>
      <w:r w:rsidRPr="000D5434">
        <w:rPr>
          <w:szCs w:val="22"/>
          <w:lang w:val="es-ES"/>
        </w:rPr>
        <w:t xml:space="preserve"> fueron aprobadas en 1982 por un Comité de Expertos Gubernamentales nombrado por la OMPI y la UNESCO.</w:t>
      </w:r>
      <w:r w:rsidR="00B834A4" w:rsidRPr="000D5434">
        <w:rPr>
          <w:szCs w:val="22"/>
          <w:lang w:val="es-ES"/>
        </w:rPr>
        <w:t xml:space="preserve"> </w:t>
      </w:r>
      <w:r w:rsidRPr="000D5434">
        <w:rPr>
          <w:szCs w:val="22"/>
          <w:lang w:val="es-ES"/>
        </w:rPr>
        <w:t xml:space="preserve">En ellas se establece un modelo </w:t>
      </w:r>
      <w:r w:rsidRPr="000D5434">
        <w:rPr>
          <w:iCs/>
          <w:szCs w:val="22"/>
          <w:lang w:val="es-ES"/>
        </w:rPr>
        <w:t>sui géneris</w:t>
      </w:r>
      <w:r w:rsidRPr="000D5434">
        <w:rPr>
          <w:i/>
          <w:iCs/>
          <w:szCs w:val="22"/>
          <w:lang w:val="es-ES"/>
        </w:rPr>
        <w:t xml:space="preserve"> </w:t>
      </w:r>
      <w:r w:rsidRPr="000D5434">
        <w:rPr>
          <w:szCs w:val="22"/>
          <w:lang w:val="es-ES"/>
        </w:rPr>
        <w:t>de protección de las expresiones culturales tradicionales/expresiones del folclore que presenta características semejantes al régimen de protección que brinda la propiedad intelectual;</w:t>
      </w:r>
      <w:r w:rsidR="00B834A4" w:rsidRPr="000D5434">
        <w:rPr>
          <w:szCs w:val="22"/>
          <w:lang w:val="es-ES"/>
        </w:rPr>
        <w:t xml:space="preserve"> </w:t>
      </w:r>
      <w:r w:rsidRPr="000D5434">
        <w:rPr>
          <w:szCs w:val="22"/>
          <w:lang w:val="es-ES"/>
        </w:rPr>
        <w:t>dicho modelo ha sido aplicado de forma extensa por los Estados miembros de la OMPI.</w:t>
      </w:r>
    </w:p>
    <w:p w:rsidR="00C0409B" w:rsidRPr="000D5434" w:rsidRDefault="00C0409B" w:rsidP="00103D66">
      <w:pPr>
        <w:pStyle w:val="ONUMFS"/>
        <w:numPr>
          <w:ilvl w:val="0"/>
          <w:numId w:val="0"/>
        </w:numPr>
        <w:rPr>
          <w:szCs w:val="22"/>
          <w:lang w:val="es-ES"/>
        </w:rPr>
      </w:pPr>
      <w:r w:rsidRPr="000D5434">
        <w:rPr>
          <w:szCs w:val="22"/>
          <w:lang w:val="es-ES"/>
        </w:rPr>
        <w:t xml:space="preserve">Con las </w:t>
      </w:r>
      <w:r w:rsidRPr="000D5434">
        <w:rPr>
          <w:i/>
          <w:szCs w:val="22"/>
          <w:lang w:val="es-ES"/>
        </w:rPr>
        <w:t>Disposiciones Tipo</w:t>
      </w:r>
      <w:r w:rsidRPr="000D5434">
        <w:rPr>
          <w:szCs w:val="22"/>
          <w:lang w:val="es-ES"/>
        </w:rPr>
        <w:t xml:space="preserve"> se pretende mantener el equilibrio adecuado entre la protección contra los abusos del folclore, por un lado, y la libertad que permita fomentar y divulgar más el folclore, por el otro.</w:t>
      </w:r>
      <w:r w:rsidR="00B834A4" w:rsidRPr="000D5434">
        <w:rPr>
          <w:szCs w:val="22"/>
          <w:lang w:val="es-ES"/>
        </w:rPr>
        <w:t xml:space="preserve"> </w:t>
      </w:r>
      <w:r w:rsidRPr="000D5434">
        <w:rPr>
          <w:szCs w:val="22"/>
          <w:lang w:val="es-ES"/>
        </w:rPr>
        <w:t>Se da por supuesto que las expresiones del folclore constituyen un elemento vivo de la cultura de la humanidad y que una protección excesiva podría asfixiarlas.</w:t>
      </w:r>
    </w:p>
    <w:p w:rsidR="00C0409B" w:rsidRPr="000D5434" w:rsidRDefault="00C0409B" w:rsidP="00B16297">
      <w:pPr>
        <w:pStyle w:val="ONUMFS"/>
        <w:numPr>
          <w:ilvl w:val="0"/>
          <w:numId w:val="0"/>
        </w:numPr>
        <w:rPr>
          <w:szCs w:val="22"/>
          <w:lang w:val="es-ES"/>
        </w:rPr>
      </w:pPr>
      <w:r w:rsidRPr="000D5434">
        <w:rPr>
          <w:szCs w:val="22"/>
          <w:lang w:val="es-ES"/>
        </w:rPr>
        <w:t>Las expresiones culturales tradicionales/expresiones del folclore están protegidas contra “la explotación ilícita y otras acciones lesivas”.</w:t>
      </w:r>
      <w:r w:rsidR="00B834A4" w:rsidRPr="000D5434">
        <w:rPr>
          <w:szCs w:val="22"/>
          <w:lang w:val="es-ES"/>
        </w:rPr>
        <w:t xml:space="preserve"> </w:t>
      </w:r>
      <w:r w:rsidRPr="000D5434">
        <w:rPr>
          <w:szCs w:val="22"/>
          <w:lang w:val="es-ES"/>
        </w:rPr>
        <w:t>En 2000 y 2001, la OMPI procedió a realizar un estudio con el fin de conocer las experiencias de los Estados miembros en lo que respecta a la aplicación de las Disposiciones Tipo.</w:t>
      </w:r>
      <w:r w:rsidR="00B834A4" w:rsidRPr="000D5434">
        <w:rPr>
          <w:szCs w:val="22"/>
          <w:lang w:val="es-ES"/>
        </w:rPr>
        <w:t xml:space="preserve"> </w:t>
      </w:r>
      <w:r w:rsidRPr="000D5434">
        <w:rPr>
          <w:szCs w:val="22"/>
          <w:lang w:val="es-ES"/>
        </w:rPr>
        <w:t>El informe correspondiente se recoge en el documento WIPO/GRTKF/IC/3/10.</w:t>
      </w:r>
    </w:p>
    <w:p w:rsidR="00C0409B" w:rsidRPr="000D5434" w:rsidRDefault="00C0409B" w:rsidP="00103D66">
      <w:pPr>
        <w:pStyle w:val="Endofdocument-Annex"/>
        <w:ind w:left="0"/>
        <w:rPr>
          <w:szCs w:val="22"/>
          <w:lang w:val="es-ES"/>
        </w:rPr>
      </w:pPr>
    </w:p>
    <w:p w:rsidR="00C0409B" w:rsidRPr="000D5434" w:rsidRDefault="00C0409B" w:rsidP="00103D66">
      <w:pPr>
        <w:pStyle w:val="Endofdocument-Annex"/>
        <w:ind w:left="0"/>
        <w:rPr>
          <w:szCs w:val="22"/>
          <w:lang w:val="es-ES"/>
        </w:rPr>
      </w:pPr>
    </w:p>
    <w:p w:rsidR="008C41FD" w:rsidRPr="000D5434" w:rsidRDefault="00C0409B" w:rsidP="008C41FD">
      <w:pPr>
        <w:pStyle w:val="Endofdocument-Annex"/>
        <w:rPr>
          <w:szCs w:val="22"/>
          <w:lang w:val="es-ES"/>
        </w:rPr>
      </w:pPr>
      <w:r w:rsidRPr="000D5434">
        <w:rPr>
          <w:szCs w:val="22"/>
          <w:lang w:val="es-ES"/>
        </w:rPr>
        <w:t>[Fin del Anexo y del documento]</w:t>
      </w:r>
    </w:p>
    <w:sectPr w:rsidR="008C41FD" w:rsidRPr="000D5434" w:rsidSect="00E1039C">
      <w:headerReference w:type="default" r:id="rId11"/>
      <w:headerReference w:type="first" r:id="rId12"/>
      <w:footnotePr>
        <w:numRestart w:val="eachSect"/>
      </w:footnotePr>
      <w:endnotePr>
        <w:numFmt w:val="decimal"/>
      </w:endnotePr>
      <w:pgSz w:w="11907" w:h="16840" w:code="9"/>
      <w:pgMar w:top="567"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FE" w:rsidRDefault="004338FE">
      <w:r>
        <w:separator/>
      </w:r>
    </w:p>
  </w:endnote>
  <w:endnote w:type="continuationSeparator" w:id="0">
    <w:p w:rsidR="004338FE" w:rsidRDefault="004338FE" w:rsidP="003B38C1">
      <w:r>
        <w:separator/>
      </w:r>
    </w:p>
    <w:p w:rsidR="004338FE" w:rsidRPr="003B38C1" w:rsidRDefault="004338FE" w:rsidP="003B38C1">
      <w:pPr>
        <w:spacing w:after="60"/>
        <w:rPr>
          <w:sz w:val="17"/>
        </w:rPr>
      </w:pPr>
      <w:r>
        <w:rPr>
          <w:sz w:val="17"/>
        </w:rPr>
        <w:t>[Endnote continued from previous page]</w:t>
      </w:r>
    </w:p>
  </w:endnote>
  <w:endnote w:type="continuationNotice" w:id="1">
    <w:p w:rsidR="004338FE" w:rsidRPr="003B38C1" w:rsidRDefault="004338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FE" w:rsidRDefault="004338FE">
      <w:r>
        <w:separator/>
      </w:r>
    </w:p>
  </w:footnote>
  <w:footnote w:type="continuationSeparator" w:id="0">
    <w:p w:rsidR="004338FE" w:rsidRDefault="004338FE" w:rsidP="008B60B2">
      <w:r>
        <w:separator/>
      </w:r>
    </w:p>
  </w:footnote>
  <w:footnote w:type="continuationNotice" w:id="1">
    <w:p w:rsidR="004338FE" w:rsidRPr="00E1039C" w:rsidRDefault="004338FE" w:rsidP="008B60B2">
      <w:pPr>
        <w:spacing w:before="60"/>
        <w:jc w:val="right"/>
        <w:rPr>
          <w:sz w:val="17"/>
          <w:szCs w:val="17"/>
          <w:lang w:val="es-ES"/>
        </w:rPr>
      </w:pPr>
      <w:r w:rsidRPr="00E1039C">
        <w:rPr>
          <w:sz w:val="17"/>
          <w:szCs w:val="17"/>
          <w:lang w:val="es-ES"/>
        </w:rPr>
        <w:t>[Contin</w:t>
      </w:r>
      <w:r>
        <w:rPr>
          <w:sz w:val="17"/>
          <w:szCs w:val="17"/>
          <w:lang w:val="es-ES"/>
        </w:rPr>
        <w:t>ú</w:t>
      </w:r>
      <w:r w:rsidRPr="00E1039C">
        <w:rPr>
          <w:sz w:val="17"/>
          <w:szCs w:val="17"/>
          <w:lang w:val="es-ES"/>
        </w:rPr>
        <w:t>a la nota en la página siguiente]</w:t>
      </w:r>
    </w:p>
  </w:footnote>
  <w:footnote w:id="2">
    <w:p w:rsidR="007B0297" w:rsidRPr="008C41FD" w:rsidRDefault="007B0297" w:rsidP="00C0409B">
      <w:pPr>
        <w:pStyle w:val="FootnoteText"/>
        <w:ind w:left="550" w:hanging="550"/>
        <w:rPr>
          <w:lang w:val="es-ES"/>
        </w:rPr>
      </w:pPr>
      <w:r w:rsidRPr="008C41FD">
        <w:rPr>
          <w:rStyle w:val="FootnoteReference"/>
          <w:lang w:val="es-ES"/>
        </w:rPr>
        <w:footnoteRef/>
      </w:r>
      <w:r w:rsidRPr="008C41FD">
        <w:rPr>
          <w:lang w:val="es-ES"/>
        </w:rPr>
        <w:t xml:space="preserve"> </w:t>
      </w:r>
      <w:r w:rsidRPr="008C41FD">
        <w:rPr>
          <w:lang w:val="es-ES"/>
        </w:rPr>
        <w:tab/>
        <w:t>Informe de la decimosexta sesión del Comité (WIPO/GRTKF/IC/16/8) y de la decimoséptima sesión del Comité (WIPO/GRTKF/IC/17/12).</w:t>
      </w:r>
    </w:p>
  </w:footnote>
  <w:footnote w:id="3">
    <w:p w:rsidR="007B0297" w:rsidRPr="008C41FD" w:rsidRDefault="007B0297" w:rsidP="00C0409B">
      <w:pPr>
        <w:pStyle w:val="FootnoteText"/>
        <w:rPr>
          <w:lang w:val="es-ES"/>
        </w:rPr>
      </w:pPr>
      <w:r w:rsidRPr="008C41FD">
        <w:rPr>
          <w:rStyle w:val="FootnoteReference"/>
          <w:lang w:val="es-ES"/>
        </w:rPr>
        <w:footnoteRef/>
      </w:r>
      <w:r w:rsidRPr="008C41FD">
        <w:rPr>
          <w:lang w:val="es-ES"/>
        </w:rPr>
        <w:t xml:space="preserve"> </w:t>
      </w:r>
      <w:r w:rsidRPr="008C41FD">
        <w:rPr>
          <w:lang w:val="es-ES"/>
        </w:rPr>
        <w:tab/>
        <w:t>Informe de la decimonovena sesión del Comité (WIPO/GRTKF/IC/19/12).</w:t>
      </w:r>
    </w:p>
  </w:footnote>
  <w:footnote w:id="4">
    <w:p w:rsidR="007B0297" w:rsidRPr="008C41FD" w:rsidRDefault="007B0297" w:rsidP="00C0409B">
      <w:pPr>
        <w:pStyle w:val="FootnoteText"/>
        <w:rPr>
          <w:lang w:val="es-ES"/>
        </w:rPr>
      </w:pPr>
      <w:r w:rsidRPr="008C41FD">
        <w:rPr>
          <w:rStyle w:val="FootnoteReference"/>
          <w:lang w:val="es-ES"/>
        </w:rPr>
        <w:t>*</w:t>
      </w:r>
      <w:r w:rsidRPr="008C41FD">
        <w:rPr>
          <w:lang w:val="es-ES"/>
        </w:rPr>
        <w:t xml:space="preserve"> </w:t>
      </w:r>
      <w:r w:rsidRPr="008C41FD">
        <w:rPr>
          <w:lang w:val="es-ES"/>
        </w:rPr>
        <w:tab/>
        <w:t>Los términos aparecen en el orden alfabético de la versión en inglés.</w:t>
      </w:r>
    </w:p>
  </w:footnote>
  <w:footnote w:id="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Directrices de Bonn sobre Acceso a los Recursos Genéticos y Distribución Justa y Equitativa de los Beneficios Provenientes de su Utilización, párr. 23.</w:t>
      </w:r>
    </w:p>
  </w:footnote>
  <w:footnote w:id="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Guía sobre los tratados de derecho de autor y derechos conexos administrados por la OMPI</w:t>
      </w:r>
      <w:r w:rsidRPr="008C41FD">
        <w:rPr>
          <w:szCs w:val="18"/>
          <w:lang w:val="es-ES"/>
        </w:rPr>
        <w:t xml:space="preserve"> y Glosario de términos y expresiones sobre derecho de autor y derechos conexos, pág. 273, OMPI.</w:t>
      </w:r>
    </w:p>
  </w:footnote>
  <w:footnote w:id="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La edición consultada del </w:t>
      </w:r>
      <w:r w:rsidRPr="008C41FD">
        <w:rPr>
          <w:i/>
          <w:iCs/>
          <w:szCs w:val="18"/>
          <w:lang w:val="es-ES"/>
        </w:rPr>
        <w:t>Black’s Law Dictionary</w:t>
      </w:r>
      <w:r w:rsidRPr="008C41FD">
        <w:rPr>
          <w:szCs w:val="18"/>
          <w:lang w:val="es-ES"/>
        </w:rPr>
        <w:t xml:space="preserve"> es la 8ª, a cargo de Bryan A. Garner.</w:t>
      </w:r>
    </w:p>
  </w:footnote>
  <w:footnote w:id="9">
    <w:p w:rsidR="007B0297" w:rsidRPr="008C41FD" w:rsidRDefault="007B0297" w:rsidP="006F56A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1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 xml:space="preserve">Recommendations </w:t>
      </w:r>
      <w:r w:rsidRPr="007B0297">
        <w:rPr>
          <w:i/>
          <w:iCs/>
          <w:szCs w:val="18"/>
        </w:rPr>
        <w:t>for</w:t>
      </w:r>
      <w:r w:rsidRPr="007B0297">
        <w:rPr>
          <w:i/>
          <w:szCs w:val="18"/>
        </w:rPr>
        <w:t xml:space="preserve"> African Negotiators from the 2nd Preparatory Meeting of African Indigenous Peoples and Local Communities</w:t>
      </w:r>
      <w:r w:rsidRPr="007B0297">
        <w:rPr>
          <w:szCs w:val="18"/>
        </w:rPr>
        <w:t xml:space="preserve"> (UNEP/CBD/COP/10/INF/37) 14 de octubre de 2010.</w:t>
      </w:r>
    </w:p>
  </w:footnote>
  <w:footnote w:id="1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w:t>
      </w:r>
    </w:p>
  </w:footnote>
  <w:footnote w:id="1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Directiva 98/44/CE del Parlamento Europeo y del Consejo de 6 de julio de 1998 relativa a la protección jurídica de las invenciones biotecnológicas, art. 3.1.</w:t>
      </w:r>
    </w:p>
  </w:footnote>
  <w:footnote w:id="1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WIPO/GRTKF/IC/1/3, párr.16.</w:t>
      </w:r>
    </w:p>
  </w:footnote>
  <w:footnote w:id="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Declaración de la FAO sobre biotecnología, disponible en:</w:t>
      </w:r>
      <w:r w:rsidR="004B6959">
        <w:rPr>
          <w:szCs w:val="18"/>
          <w:lang w:val="es-ES"/>
        </w:rPr>
        <w:t xml:space="preserve"> </w:t>
      </w:r>
      <w:hyperlink r:id="rId1" w:history="1">
        <w:r w:rsidRPr="008C41FD">
          <w:rPr>
            <w:rStyle w:val="Hyperlink"/>
            <w:szCs w:val="18"/>
            <w:lang w:val="es-ES"/>
          </w:rPr>
          <w:t>http://www.fao.org/biotech/fao-statement-on-biotechnology/es/</w:t>
        </w:r>
      </w:hyperlink>
    </w:p>
  </w:footnote>
  <w:footnote w:id="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definición y la definición basada en la lista completa en:</w:t>
      </w:r>
      <w:r w:rsidR="004B6959">
        <w:rPr>
          <w:szCs w:val="18"/>
          <w:lang w:val="es-ES"/>
        </w:rPr>
        <w:t xml:space="preserve"> </w:t>
      </w:r>
      <w:hyperlink r:id="rId2" w:history="1">
        <w:r w:rsidRPr="008C41FD">
          <w:rPr>
            <w:rStyle w:val="Hyperlink"/>
            <w:szCs w:val="18"/>
            <w:lang w:val="es-ES"/>
          </w:rPr>
          <w:t>http://www.oecd.org/sti/biotechnologypolicies/statisticaldefinitionofbiotechnology.htm</w:t>
        </w:r>
      </w:hyperlink>
      <w:r w:rsidRPr="008C41FD">
        <w:rPr>
          <w:szCs w:val="18"/>
          <w:lang w:val="es-ES"/>
        </w:rPr>
        <w:t>.</w:t>
      </w:r>
    </w:p>
  </w:footnote>
  <w:footnote w:id="1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1, 7.a) y 17 a 21.</w:t>
      </w:r>
    </w:p>
  </w:footnote>
  <w:footnote w:id="1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24 a 50, Apéndice II.</w:t>
      </w:r>
    </w:p>
  </w:footnote>
  <w:footnote w:id="18">
    <w:p w:rsidR="007B0297" w:rsidRPr="008C41FD" w:rsidRDefault="007B0297" w:rsidP="00886929">
      <w:pPr>
        <w:pStyle w:val="FootnoteText"/>
        <w:ind w:left="600" w:hanging="60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página 22 del </w:t>
      </w:r>
      <w:r w:rsidRPr="008C41FD">
        <w:rPr>
          <w:i/>
          <w:szCs w:val="18"/>
          <w:lang w:val="es-ES"/>
        </w:rPr>
        <w:t>Glossary of Terms for Negotiators of Multilateral Environmental Agreements</w:t>
      </w:r>
      <w:r w:rsidRPr="008C41FD">
        <w:rPr>
          <w:szCs w:val="18"/>
          <w:lang w:val="es-ES"/>
        </w:rPr>
        <w:t xml:space="preserve">, del PNUMA, que puede consultarse en </w:t>
      </w:r>
      <w:hyperlink r:id="rId3" w:history="1">
        <w:r w:rsidRPr="008C41FD">
          <w:rPr>
            <w:rStyle w:val="Hyperlink"/>
            <w:color w:val="auto"/>
            <w:szCs w:val="18"/>
            <w:lang w:val="es-ES"/>
          </w:rPr>
          <w:t>https://www.unenvironment.org/resources/report/glossary-terms-negotiators-multilateral-environmental-agreements</w:t>
        </w:r>
      </w:hyperlink>
      <w:r w:rsidRPr="008C41FD">
        <w:rPr>
          <w:szCs w:val="18"/>
          <w:lang w:val="es-ES"/>
        </w:rPr>
        <w:t xml:space="preserve">. </w:t>
      </w:r>
    </w:p>
  </w:footnote>
  <w:footnote w:id="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“Lista y breve descripción técnica de las diferentes formas que pueden presentar los conocimientos tradicionales” (WIPO/GRTKF/IC/17/INF/9), párr. 16 del Anexo.</w:t>
      </w:r>
    </w:p>
  </w:footnote>
  <w:footnote w:id="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C41FD">
        <w:rPr>
          <w:i/>
          <w:iCs/>
          <w:szCs w:val="18"/>
          <w:lang w:val="es-ES"/>
        </w:rPr>
        <w:t>Rigveda</w:t>
      </w:r>
      <w:r w:rsidRPr="008C41FD">
        <w:rPr>
          <w:szCs w:val="18"/>
          <w:lang w:val="es-ES"/>
        </w:rPr>
        <w:t xml:space="preserve"> y el </w:t>
      </w:r>
      <w:r w:rsidRPr="008C41FD">
        <w:rPr>
          <w:i/>
          <w:iCs/>
          <w:szCs w:val="18"/>
          <w:lang w:val="es-ES"/>
        </w:rPr>
        <w:t>Atharvaveda.</w:t>
      </w:r>
    </w:p>
  </w:footnote>
  <w:footnote w:id="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tradicional china fue codificada y se divulgó inicialmente por escrito en el </w:t>
      </w:r>
      <w:r w:rsidRPr="008C41FD">
        <w:rPr>
          <w:i/>
          <w:iCs/>
          <w:szCs w:val="18"/>
          <w:lang w:val="es-ES"/>
        </w:rPr>
        <w:t>Canon de Medicina Interna del Emperador Amarillo</w:t>
      </w:r>
      <w:r w:rsidRPr="008C41FD">
        <w:rPr>
          <w:szCs w:val="18"/>
          <w:lang w:val="es-ES"/>
        </w:rPr>
        <w:t>, primer clásico monumental que estableció la medicina tradicional china.</w:t>
      </w:r>
      <w:r w:rsidR="004B6959">
        <w:rPr>
          <w:szCs w:val="18"/>
          <w:lang w:val="es-ES"/>
        </w:rPr>
        <w:t xml:space="preserve"> </w:t>
      </w:r>
      <w:r w:rsidRPr="008C41FD">
        <w:rPr>
          <w:szCs w:val="18"/>
          <w:lang w:val="es-ES"/>
        </w:rPr>
        <w:t>El Canon se compiló durante varios cientos de años y apareció entre los años 300 y 100 A.C.</w:t>
      </w:r>
    </w:p>
  </w:footnote>
  <w:footnote w:id="2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En la India, la primera lista de la Ley de Fármacos y Cosméticos, Nº 23 de 1940, modificada por la Ley de Fármacos y Cosméticos (enmienda) Nº 71 de 1986, especifica los libros autorizados de los sistemas Ayurvédico, Siddha y Unani Tibb.</w:t>
      </w:r>
      <w:r w:rsidR="004B6959">
        <w:rPr>
          <w:szCs w:val="18"/>
          <w:lang w:val="es-ES"/>
        </w:rPr>
        <w:t xml:space="preserve"> </w:t>
      </w:r>
      <w:r w:rsidRPr="008C41FD">
        <w:rPr>
          <w:szCs w:val="18"/>
          <w:lang w:val="es-ES"/>
        </w:rPr>
        <w:t>Véase el Inventario de bases de datos en línea de catalogación de conocimientos tradicionales” (WIPO/GRTKF/IC/3/6), párr. </w:t>
      </w:r>
      <w:r w:rsidRPr="007B0297">
        <w:rPr>
          <w:szCs w:val="18"/>
        </w:rPr>
        <w:t>8.</w:t>
      </w:r>
      <w:r w:rsidR="004B6959">
        <w:rPr>
          <w:szCs w:val="18"/>
        </w:rPr>
        <w:t xml:space="preserve"> </w:t>
      </w:r>
      <w:r w:rsidRPr="007B0297">
        <w:rPr>
          <w:szCs w:val="18"/>
        </w:rPr>
        <w:t>Véase también, Karin Timmermans y Togi Hutadjulu:</w:t>
      </w:r>
      <w:r w:rsidR="004B6959">
        <w:rPr>
          <w:szCs w:val="18"/>
        </w:rPr>
        <w:t xml:space="preserve"> </w:t>
      </w:r>
      <w:r w:rsidRPr="007B0297">
        <w:rPr>
          <w:szCs w:val="18"/>
        </w:rPr>
        <w:t>“The TRIPs Agreement and Pharmaceuticals:</w:t>
      </w:r>
      <w:r w:rsidR="004B6959">
        <w:rPr>
          <w:szCs w:val="18"/>
        </w:rPr>
        <w:t xml:space="preserve"> </w:t>
      </w:r>
      <w:r w:rsidRPr="007B0297">
        <w:rPr>
          <w:szCs w:val="18"/>
        </w:rPr>
        <w:t>Report of an ASEAN Workshop on the TRIPs Agreement and its Impact on Pharmaceuticals”, pág. 45.</w:t>
      </w:r>
    </w:p>
  </w:footnote>
  <w:footnote w:id="2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Intervención de la Delegación del Canadá.</w:t>
      </w:r>
      <w:r w:rsidR="004B6959">
        <w:rPr>
          <w:szCs w:val="18"/>
          <w:lang w:val="es-ES"/>
        </w:rPr>
        <w:t xml:space="preserve"> </w:t>
      </w:r>
      <w:r w:rsidRPr="008C41FD">
        <w:rPr>
          <w:szCs w:val="18"/>
          <w:lang w:val="es-ES"/>
        </w:rPr>
        <w:t>Véase el informe de la segunda sesión (OMPI/GRTKF/IC/2/16), párr. </w:t>
      </w:r>
      <w:r w:rsidRPr="007B0297">
        <w:rPr>
          <w:szCs w:val="18"/>
        </w:rPr>
        <w:t>131.</w:t>
      </w:r>
    </w:p>
  </w:footnote>
  <w:footnote w:id="24">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Terri Janke, </w:t>
      </w:r>
      <w:r w:rsidRPr="007B0297">
        <w:rPr>
          <w:i/>
          <w:iCs/>
          <w:szCs w:val="18"/>
        </w:rPr>
        <w:t>Pathways &amp; Protocols – A Filmaker’s guide to Working with Indigenous People, Culture and Concepts</w:t>
      </w:r>
      <w:r w:rsidRPr="007B0297">
        <w:rPr>
          <w:iCs/>
          <w:szCs w:val="18"/>
        </w:rPr>
        <w:t>, pág. 51.</w:t>
      </w:r>
    </w:p>
  </w:footnote>
  <w:footnote w:id="2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Proyecto de glosario encargado por la Comisión Nacional de los Países Bajos ante la UNESCO a un grupo de expertos de dicho país (TER/CH/2002/WD/4) 2002.</w:t>
      </w:r>
      <w:r w:rsidR="004B6959">
        <w:rPr>
          <w:szCs w:val="18"/>
          <w:lang w:val="es-ES"/>
        </w:rPr>
        <w:t xml:space="preserve"> </w:t>
      </w:r>
      <w:r w:rsidRPr="008C41FD">
        <w:rPr>
          <w:szCs w:val="18"/>
          <w:lang w:val="es-ES"/>
        </w:rPr>
        <w:t>(Traducción oficiosa de la Oficina Internacional).</w:t>
      </w:r>
    </w:p>
  </w:footnote>
  <w:footnote w:id="2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4.1.</w:t>
      </w:r>
    </w:p>
  </w:footnote>
  <w:footnote w:id="2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4.3).</w:t>
      </w:r>
    </w:p>
  </w:footnote>
  <w:footnote w:id="2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 xml:space="preserve">Tesauro de la UNESCO, </w:t>
      </w:r>
      <w:hyperlink r:id="rId4" w:history="1">
        <w:r w:rsidRPr="008C41FD">
          <w:rPr>
            <w:rStyle w:val="Hyperlink"/>
            <w:szCs w:val="18"/>
            <w:lang w:val="es-ES"/>
          </w:rPr>
          <w:t>http://www.vocabularyserver.com/unesco/en/index.php?tema=2526&amp;/cultural-identity</w:t>
        </w:r>
      </w:hyperlink>
      <w:r w:rsidRPr="008C41FD">
        <w:rPr>
          <w:szCs w:val="18"/>
          <w:lang w:val="es-ES"/>
        </w:rPr>
        <w:t>.</w:t>
      </w:r>
      <w:r w:rsidR="004B6959">
        <w:rPr>
          <w:szCs w:val="18"/>
          <w:lang w:val="es-ES"/>
        </w:rPr>
        <w:t xml:space="preserve"> </w:t>
      </w:r>
      <w:r w:rsidRPr="008C41FD">
        <w:rPr>
          <w:szCs w:val="18"/>
          <w:lang w:val="es-ES"/>
        </w:rPr>
        <w:t>(Traducción oficiosa de la Oficina Internacional).</w:t>
      </w:r>
    </w:p>
  </w:footnote>
  <w:footnote w:id="2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Convenio Nº 169 de la OIT sobre pueblos indígenas y tribales en países independientes, 1989, art. 2.2)b).</w:t>
      </w:r>
    </w:p>
  </w:footnote>
  <w:footnote w:id="3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Disposiciones Tipo para leyes nacionales sobre la protección de las expresiones del folclore contra la explotación ilícita y otras acciones lesivas (1982), Parte III, párr. 42.</w:t>
      </w:r>
    </w:p>
  </w:footnote>
  <w:footnote w:id="3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Proteger los derechos de la comunidad sobre los conocimientos tradicionales:</w:t>
      </w:r>
      <w:r w:rsidR="004B6959">
        <w:rPr>
          <w:szCs w:val="18"/>
          <w:lang w:val="es-ES"/>
        </w:rPr>
        <w:t xml:space="preserve"> </w:t>
      </w:r>
      <w:r w:rsidRPr="008C41FD">
        <w:rPr>
          <w:szCs w:val="18"/>
          <w:lang w:val="es-ES"/>
        </w:rPr>
        <w:t>repercusiones de las leyes y prácticas consuetudinarias.</w:t>
      </w:r>
      <w:r w:rsidR="004B6959">
        <w:rPr>
          <w:szCs w:val="18"/>
          <w:lang w:val="es-ES"/>
        </w:rPr>
        <w:t xml:space="preserve"> </w:t>
      </w:r>
      <w:r w:rsidRPr="008C41FD">
        <w:rPr>
          <w:szCs w:val="18"/>
          <w:lang w:val="es-ES"/>
        </w:rPr>
        <w:t>Seminario de planificación de la investigación, Cuzco (Perú), 20 a 25 de mayo de 2005.</w:t>
      </w:r>
    </w:p>
  </w:footnote>
  <w:footnote w:id="3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5" w:history="1">
        <w:r w:rsidRPr="007B0297">
          <w:rPr>
            <w:rStyle w:val="Hyperlink"/>
            <w:szCs w:val="18"/>
          </w:rPr>
          <w:t>http://www.wipo.int/export/sites/www/tk/en/resources/pdf/overview_customary_law.pdf</w:t>
        </w:r>
      </w:hyperlink>
    </w:p>
  </w:footnote>
  <w:footnote w:id="3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Paul Kuruk, “El derecho consuetudinario en África y la protección del folclore”, en </w:t>
      </w:r>
      <w:r w:rsidRPr="008C41FD">
        <w:rPr>
          <w:i/>
          <w:iCs/>
          <w:szCs w:val="18"/>
          <w:lang w:val="es-ES"/>
        </w:rPr>
        <w:t>Boletín de Derecho de Autor,</w:t>
      </w:r>
      <w:r w:rsidRPr="008C41FD">
        <w:rPr>
          <w:szCs w:val="18"/>
          <w:lang w:val="es-ES"/>
        </w:rPr>
        <w:t xml:space="preserve"> XXXVI, No.2, 2002, pág. 6 (</w:t>
      </w:r>
      <w:hyperlink r:id="rId6" w:history="1">
        <w:r w:rsidRPr="008C41FD">
          <w:rPr>
            <w:rStyle w:val="Hyperlink"/>
            <w:szCs w:val="18"/>
            <w:lang w:val="es-ES"/>
          </w:rPr>
          <w:t>http://unesdoc.unesco.org/images/0012/001277/127784s.pdf</w:t>
        </w:r>
      </w:hyperlink>
      <w:r w:rsidRPr="008C41FD">
        <w:rPr>
          <w:szCs w:val="18"/>
          <w:lang w:val="es-ES"/>
        </w:rPr>
        <w:t xml:space="preserve">), extraído </w:t>
      </w:r>
      <w:r w:rsidRPr="008C41FD">
        <w:rPr>
          <w:iCs/>
          <w:szCs w:val="18"/>
          <w:lang w:val="es-ES"/>
        </w:rPr>
        <w:t xml:space="preserve">en parte, París, 15 de junio de 1982, </w:t>
      </w:r>
      <w:r w:rsidRPr="008C41FD">
        <w:rPr>
          <w:i/>
          <w:iCs/>
          <w:szCs w:val="18"/>
          <w:lang w:val="es-ES"/>
        </w:rPr>
        <w:t>Gazette du Palais</w:t>
      </w:r>
      <w:r w:rsidRPr="008C41FD">
        <w:rPr>
          <w:iCs/>
          <w:szCs w:val="18"/>
          <w:lang w:val="es-ES"/>
        </w:rPr>
        <w:t xml:space="preserve">, 1982.2, Resumen, pág. 378, o París, 25 de abril de 1978, </w:t>
      </w:r>
      <w:r w:rsidRPr="008C41FD">
        <w:rPr>
          <w:i/>
          <w:iCs/>
          <w:szCs w:val="18"/>
          <w:lang w:val="es-ES"/>
        </w:rPr>
        <w:t>Gazette du Palais</w:t>
      </w:r>
      <w:r w:rsidRPr="008C41FD">
        <w:rPr>
          <w:iCs/>
          <w:szCs w:val="18"/>
          <w:lang w:val="es-ES"/>
        </w:rPr>
        <w:t>,</w:t>
      </w:r>
      <w:r w:rsidRPr="008C41FD">
        <w:rPr>
          <w:szCs w:val="18"/>
          <w:lang w:val="es-ES"/>
        </w:rPr>
        <w:t xml:space="preserve"> 1978,2, pág. 448.</w:t>
      </w:r>
    </w:p>
  </w:footnote>
  <w:footnote w:id="34">
    <w:p w:rsidR="007B0297" w:rsidRPr="007B0297" w:rsidRDefault="007B0297" w:rsidP="00C0409B">
      <w:pPr>
        <w:pStyle w:val="FootnoteText"/>
        <w:tabs>
          <w:tab w:val="left" w:pos="550"/>
        </w:tabs>
        <w:ind w:left="550" w:hanging="550"/>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7" w:history="1">
        <w:r w:rsidRPr="007B0297">
          <w:rPr>
            <w:rStyle w:val="Hyperlink"/>
            <w:szCs w:val="18"/>
          </w:rPr>
          <w:t>http://www.wipo.int/export/sites/www/tk/en/resources/pdf/overview_customary_law.pdf</w:t>
        </w:r>
      </w:hyperlink>
      <w:r w:rsidRPr="007B0297">
        <w:t>.</w:t>
      </w:r>
    </w:p>
  </w:footnote>
  <w:footnote w:id="3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WIPO/GRTKF/IC/2/3, párr. 2;</w:t>
      </w:r>
      <w:r w:rsidR="004B6959">
        <w:rPr>
          <w:szCs w:val="18"/>
          <w:lang w:val="es-ES"/>
        </w:rPr>
        <w:t xml:space="preserve"> </w:t>
      </w:r>
      <w:r w:rsidRPr="008C41FD">
        <w:rPr>
          <w:szCs w:val="18"/>
          <w:lang w:val="es-ES"/>
        </w:rPr>
        <w:t>la base de datos de Internet está disponible en:</w:t>
      </w:r>
      <w:r w:rsidR="004B6959">
        <w:rPr>
          <w:szCs w:val="18"/>
          <w:lang w:val="es-ES"/>
        </w:rPr>
        <w:t xml:space="preserve"> </w:t>
      </w:r>
      <w:hyperlink r:id="rId8" w:history="1">
        <w:r w:rsidRPr="008C41FD">
          <w:rPr>
            <w:rStyle w:val="Hyperlink"/>
            <w:szCs w:val="18"/>
            <w:lang w:val="es-ES"/>
          </w:rPr>
          <w:t>http://www.wipo.int/tk/es/databases/contracts/index.html</w:t>
        </w:r>
      </w:hyperlink>
      <w:r w:rsidRPr="008C41FD">
        <w:rPr>
          <w:szCs w:val="18"/>
          <w:lang w:val="es-ES"/>
        </w:rPr>
        <w:t xml:space="preserve">. </w:t>
      </w:r>
    </w:p>
  </w:footnote>
  <w:footnote w:id="3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WIPO/GRTKF/IC/17/INF/11.</w:t>
      </w:r>
    </w:p>
  </w:footnote>
  <w:footnote w:id="3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2.3):</w:t>
      </w:r>
      <w:r w:rsidR="004B6959">
        <w:rPr>
          <w:szCs w:val="18"/>
          <w:lang w:val="es-ES"/>
        </w:rPr>
        <w:t xml:space="preserve"> </w:t>
      </w:r>
      <w:r w:rsidRPr="008C41FD">
        <w:rPr>
          <w:szCs w:val="18"/>
          <w:lang w:val="es-ES"/>
        </w:rPr>
        <w:t>“Estarán protegidas como obras originales, sin perjuicio de los derechos del autor de la obra original, las traducciones, adaptaciones, arreglos musicales y demás transformaciones de una obra literaria o artística”.</w:t>
      </w:r>
    </w:p>
  </w:footnote>
  <w:footnote w:id="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 xml:space="preserve">Guía de la OMPI sobre los tratados de derecho de autor y </w:t>
      </w:r>
      <w:r w:rsidRPr="008C41FD">
        <w:rPr>
          <w:iCs/>
          <w:snapToGrid w:val="0"/>
          <w:szCs w:val="18"/>
          <w:lang w:val="es-ES"/>
        </w:rPr>
        <w:t>derechos conexos</w:t>
      </w:r>
      <w:r w:rsidRPr="008C41FD">
        <w:rPr>
          <w:iCs/>
          <w:szCs w:val="18"/>
          <w:lang w:val="es-ES"/>
        </w:rPr>
        <w:t xml:space="preserve"> administrados por la OMPI (Capítulo 7:</w:t>
      </w:r>
      <w:r w:rsidR="004B6959">
        <w:rPr>
          <w:iCs/>
          <w:szCs w:val="18"/>
          <w:lang w:val="es-ES"/>
        </w:rPr>
        <w:t xml:space="preserve"> </w:t>
      </w:r>
      <w:r w:rsidRPr="008C41FD">
        <w:rPr>
          <w:iCs/>
          <w:szCs w:val="18"/>
          <w:lang w:val="es-ES"/>
        </w:rPr>
        <w:t xml:space="preserve">“Glosario de términos y expresiones sobre derecho de autor y </w:t>
      </w:r>
      <w:r w:rsidRPr="008C41FD">
        <w:rPr>
          <w:iCs/>
          <w:snapToGrid w:val="0"/>
          <w:szCs w:val="18"/>
          <w:lang w:val="es-ES"/>
        </w:rPr>
        <w:t>derechos conexos</w:t>
      </w:r>
      <w:r w:rsidRPr="008C41FD">
        <w:rPr>
          <w:i/>
          <w:iCs/>
          <w:szCs w:val="18"/>
          <w:lang w:val="es-ES"/>
        </w:rPr>
        <w:t>”</w:t>
      </w:r>
      <w:r w:rsidRPr="008C41FD">
        <w:rPr>
          <w:iCs/>
          <w:szCs w:val="18"/>
          <w:lang w:val="es-ES"/>
        </w:rPr>
        <w:t>), OMPI.</w:t>
      </w:r>
    </w:p>
  </w:footnote>
  <w:footnote w:id="3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2.5), Acuerdo sobre los ADPIC, art. 10.2) y Tratado de la OMPI sobre Derecho de Autor, art. 6</w:t>
      </w:r>
    </w:p>
  </w:footnote>
  <w:footnote w:id="4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Sam Ricketson y Jane C. Ginsburg, </w:t>
      </w:r>
      <w:r w:rsidRPr="007B0297">
        <w:rPr>
          <w:i/>
          <w:iCs/>
          <w:szCs w:val="18"/>
        </w:rPr>
        <w:t xml:space="preserve">International Copyright and Neighboring Rights—The Berne Convention and Beyond, </w:t>
      </w:r>
      <w:r w:rsidRPr="007B0297">
        <w:rPr>
          <w:szCs w:val="18"/>
        </w:rPr>
        <w:t>Oxford, Vol. I., pág. 485.</w:t>
      </w:r>
    </w:p>
  </w:footnote>
  <w:footnote w:id="4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r w:rsidR="004B6959">
        <w:rPr>
          <w:szCs w:val="18"/>
          <w:lang w:val="es-ES"/>
        </w:rPr>
        <w:t xml:space="preserve"> </w:t>
      </w:r>
      <w:r w:rsidRPr="008C41FD">
        <w:rPr>
          <w:szCs w:val="18"/>
          <w:lang w:val="es-ES"/>
        </w:rPr>
        <w:t>(Traducción oficiosa de la Oficina Internacional).</w:t>
      </w:r>
    </w:p>
  </w:footnote>
  <w:footnote w:id="4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Sam Ricketson y Jane C. Ginsburg, </w:t>
      </w:r>
      <w:r w:rsidRPr="008C41FD">
        <w:rPr>
          <w:i/>
          <w:iCs/>
          <w:szCs w:val="18"/>
          <w:lang w:val="es-ES"/>
        </w:rPr>
        <w:t>op. cit.</w:t>
      </w:r>
      <w:r w:rsidRPr="008C41FD">
        <w:rPr>
          <w:szCs w:val="18"/>
          <w:lang w:val="es-ES"/>
        </w:rPr>
        <w:t xml:space="preserve"> en la nota 46, pág. 603.</w:t>
      </w:r>
    </w:p>
  </w:footnote>
  <w:footnote w:id="4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“Lista y breve descripción técnica de las diferentes formas que pueden presentar los conocimientos tradicionales” (WIPO/GRTKF/IC/17/INF/9), párr. 4 del Anexo.</w:t>
      </w:r>
    </w:p>
  </w:footnote>
  <w:footnote w:id="4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i/>
          <w:iCs/>
          <w:szCs w:val="18"/>
          <w:lang w:val="es-ES"/>
        </w:rPr>
        <w:t>,</w:t>
      </w:r>
      <w:r w:rsidRPr="008C41FD">
        <w:rPr>
          <w:szCs w:val="18"/>
          <w:lang w:val="es-ES"/>
        </w:rPr>
        <w:t xml:space="preserve"> </w:t>
      </w:r>
      <w:r w:rsidRPr="008C41FD">
        <w:rPr>
          <w:i/>
          <w:iCs/>
          <w:szCs w:val="18"/>
          <w:lang w:val="es-ES"/>
        </w:rPr>
        <w:t>op. cit.</w:t>
      </w:r>
      <w:r w:rsidRPr="008C41FD">
        <w:rPr>
          <w:szCs w:val="18"/>
          <w:lang w:val="es-ES"/>
        </w:rPr>
        <w:t xml:space="preserve"> en la nota 44, pág. 291.</w:t>
      </w:r>
    </w:p>
  </w:footnote>
  <w:footnote w:id="4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ab/>
        <w:t>Art. 10</w:t>
      </w:r>
      <w:r w:rsidRPr="008C41FD">
        <w:rPr>
          <w:i/>
          <w:iCs/>
          <w:szCs w:val="18"/>
          <w:lang w:val="es-ES"/>
        </w:rPr>
        <w:t>bis</w:t>
      </w:r>
      <w:r w:rsidRPr="008C41FD">
        <w:rPr>
          <w:szCs w:val="18"/>
          <w:lang w:val="es-ES"/>
        </w:rPr>
        <w:t xml:space="preserve"> y 11.</w:t>
      </w:r>
      <w:r w:rsidR="004B6959">
        <w:rPr>
          <w:szCs w:val="18"/>
          <w:lang w:val="es-ES"/>
        </w:rPr>
        <w:t xml:space="preserve"> </w:t>
      </w:r>
      <w:r w:rsidRPr="008C41FD">
        <w:rPr>
          <w:szCs w:val="18"/>
          <w:lang w:val="es-ES"/>
        </w:rPr>
        <w:t xml:space="preserve">Véase asimismo Sam Ricketson y Jane C. Ginsburg, </w:t>
      </w:r>
      <w:r w:rsidRPr="008C41FD">
        <w:rPr>
          <w:i/>
          <w:iCs/>
          <w:szCs w:val="18"/>
          <w:lang w:val="es-ES"/>
        </w:rPr>
        <w:t>op. cit.</w:t>
      </w:r>
      <w:r w:rsidRPr="008C41FD">
        <w:rPr>
          <w:szCs w:val="18"/>
          <w:lang w:val="es-ES"/>
        </w:rPr>
        <w:t xml:space="preserve"> en la nota 46, pág. 614.</w:t>
      </w:r>
    </w:p>
  </w:footnote>
  <w:footnote w:id="4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WO/GA/32/8, párr. 75 del Anexo.</w:t>
      </w:r>
    </w:p>
  </w:footnote>
  <w:footnote w:id="4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Para más información, véanse las págs. 7 a 11 del Anexo I del documento WIPO/GRTKF/IC/16/6.</w:t>
      </w:r>
    </w:p>
  </w:footnote>
  <w:footnote w:id="4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Publicación Nº 786 de la OMPI, </w:t>
      </w:r>
      <w:r w:rsidRPr="007B0297">
        <w:rPr>
          <w:i/>
          <w:szCs w:val="18"/>
        </w:rPr>
        <w:t>WIPO Technical Study on Patent Disclosure Requirements related to Genetic Resources and Traditional Knowledge</w:t>
      </w:r>
      <w:r w:rsidRPr="007B0297">
        <w:rPr>
          <w:szCs w:val="18"/>
        </w:rPr>
        <w:t>, pág. 65.</w:t>
      </w:r>
      <w:r w:rsidR="004B6959">
        <w:rPr>
          <w:szCs w:val="18"/>
        </w:rPr>
        <w:t xml:space="preserve"> </w:t>
      </w:r>
      <w:r w:rsidRPr="008C41FD">
        <w:rPr>
          <w:szCs w:val="18"/>
          <w:lang w:val="es-ES"/>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WIPO/GRTKF/IC/9/13 (propuesta alternativa).</w:t>
      </w:r>
    </w:p>
  </w:footnote>
  <w:footnote w:id="5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TN/C/W/52.</w:t>
      </w:r>
    </w:p>
  </w:footnote>
  <w:footnote w:id="5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“Informe sobre la Guía para la gestión de la propiedad intelectual en la catalogación de conocimientos tradicionales y recursos genéticos” (WIPO/GRTKF/IC/5/5), pág. 4 del Anexo.</w:t>
      </w:r>
    </w:p>
  </w:footnote>
  <w:footnote w:id="5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w:t>
      </w:r>
    </w:p>
  </w:footnote>
  <w:footnote w:id="5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Excepciones y limitaciones al derecho de autor y los derechos conexos</w:t>
      </w:r>
      <w:r w:rsidRPr="008C41FD">
        <w:rPr>
          <w:szCs w:val="18"/>
          <w:lang w:val="es-ES"/>
        </w:rPr>
        <w:t>, estudio preparado por Pierre Sirinelli (WCT-WPPT/IMP/1), 1999, pág. 2.</w:t>
      </w:r>
    </w:p>
  </w:footnote>
  <w:footnote w:id="5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5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párr. 37.</w:t>
      </w:r>
    </w:p>
  </w:footnote>
  <w:footnote w:id="5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Ibíd.</w:t>
      </w:r>
      <w:r w:rsidRPr="008C41FD">
        <w:rPr>
          <w:szCs w:val="18"/>
          <w:lang w:val="es-ES"/>
        </w:rPr>
        <w:t xml:space="preserve"> </w:t>
      </w:r>
    </w:p>
  </w:footnote>
  <w:footnote w:id="5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art. 2.</w:t>
      </w:r>
    </w:p>
  </w:footnote>
  <w:footnote w:id="5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289.</w:t>
      </w:r>
    </w:p>
  </w:footnote>
  <w:footnote w:id="5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294.</w:t>
      </w:r>
    </w:p>
  </w:footnote>
  <w:footnote w:id="6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2.2) del Convenio de Berna.</w:t>
      </w:r>
    </w:p>
  </w:footnote>
  <w:footnote w:id="6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Terri Janke, “</w:t>
      </w:r>
      <w:r w:rsidRPr="007B0297">
        <w:rPr>
          <w:i/>
          <w:szCs w:val="18"/>
        </w:rPr>
        <w:t>Unauthorized Reproduction of Rock Art</w:t>
      </w:r>
      <w:r w:rsidRPr="007B0297">
        <w:rPr>
          <w:szCs w:val="18"/>
        </w:rPr>
        <w:t xml:space="preserve">”, en </w:t>
      </w:r>
      <w:r w:rsidRPr="007B0297">
        <w:rPr>
          <w:i/>
          <w:iCs/>
          <w:szCs w:val="18"/>
        </w:rPr>
        <w:t>Minding Culture:</w:t>
      </w:r>
      <w:r w:rsidR="004B6959">
        <w:rPr>
          <w:i/>
          <w:iCs/>
          <w:szCs w:val="18"/>
        </w:rPr>
        <w:t xml:space="preserve"> </w:t>
      </w:r>
      <w:r w:rsidRPr="007B0297">
        <w:rPr>
          <w:i/>
          <w:iCs/>
          <w:szCs w:val="18"/>
        </w:rPr>
        <w:t>Case Studies on Intellectual Property and Traditional Cultural Expressions</w:t>
      </w:r>
      <w:r w:rsidRPr="007B0297">
        <w:rPr>
          <w:szCs w:val="18"/>
        </w:rPr>
        <w:t>, OMPI, 2003.</w:t>
      </w:r>
    </w:p>
  </w:footnote>
  <w:footnote w:id="6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 párr. 50.</w:t>
      </w:r>
    </w:p>
  </w:footnote>
  <w:footnote w:id="6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 (1982), </w:t>
      </w:r>
      <w:r w:rsidRPr="008C41FD">
        <w:rPr>
          <w:i/>
          <w:iCs/>
          <w:szCs w:val="18"/>
          <w:lang w:val="es-ES"/>
        </w:rPr>
        <w:t>op. cit.</w:t>
      </w:r>
      <w:r w:rsidRPr="008C41FD">
        <w:rPr>
          <w:szCs w:val="18"/>
          <w:lang w:val="es-ES"/>
        </w:rPr>
        <w:t xml:space="preserve"> en la nota 36, Parte I, párrafos 5, 6 y 7.</w:t>
      </w:r>
    </w:p>
  </w:footnote>
  <w:footnote w:id="6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295.</w:t>
      </w:r>
    </w:p>
  </w:footnote>
  <w:footnote w:id="6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5.2 del Convenio de Berna, artículo 9.1 del Acuerdo sobre los ADPIC, artículo 25.10 del Tratado de la OMPI sobre el Derecho de Autor y artículo 20 del Tratado de la OMPI sobre Interpretación o Ejecución y Fonogramas.</w:t>
      </w:r>
      <w:r w:rsidR="004B6959">
        <w:rPr>
          <w:szCs w:val="18"/>
          <w:lang w:val="es-ES"/>
        </w:rPr>
        <w:t xml:space="preserve"> </w:t>
      </w:r>
      <w:r w:rsidRPr="008C41FD">
        <w:rPr>
          <w:szCs w:val="18"/>
          <w:lang w:val="es-ES"/>
        </w:rPr>
        <w:t>Véase la Guía de la OMPI sobre los tratados de derecho de autor y derechos conexos administrados por la OMPI y el Glosario de términos y expresiones sobre derecho de autor y derechos conexos.</w:t>
      </w:r>
    </w:p>
  </w:footnote>
  <w:footnote w:id="6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6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“Actividades normativas:</w:t>
      </w:r>
      <w:r w:rsidR="004B6959">
        <w:rPr>
          <w:szCs w:val="18"/>
          <w:lang w:val="es-ES"/>
        </w:rPr>
        <w:t xml:space="preserve"> </w:t>
      </w:r>
      <w:r w:rsidRPr="008C41FD">
        <w:rPr>
          <w:szCs w:val="18"/>
          <w:lang w:val="es-ES"/>
        </w:rPr>
        <w:t>Prioridades futuras para las actividades normativas.</w:t>
      </w:r>
      <w:r w:rsidR="004B6959">
        <w:rPr>
          <w:szCs w:val="18"/>
          <w:lang w:val="es-ES"/>
        </w:rPr>
        <w:t xml:space="preserve"> </w:t>
      </w:r>
      <w:r w:rsidRPr="008C41FD">
        <w:rPr>
          <w:szCs w:val="18"/>
          <w:lang w:val="es-ES"/>
        </w:rPr>
        <w:t>Examen del proyecto de principios y directrices sobre el patrimonio de los pueblos indígenas”, documento de trabajo presentado por Yozo Yokota y el Consejo Same, documento E/CN.4/Sub.2/AC.4/2006/5, 16 de junio de 2006.</w:t>
      </w:r>
    </w:p>
  </w:footnote>
  <w:footnote w:id="68">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“Informe de la OMPI relativo a las misiones exploratorias sobre propiedad intelectual y conocimientos tradicionales (1998 1999):</w:t>
      </w:r>
      <w:r w:rsidR="004B6959">
        <w:rPr>
          <w:lang w:val="es-ES"/>
        </w:rPr>
        <w:t xml:space="preserve"> </w:t>
      </w:r>
      <w:r w:rsidRPr="008C41FD">
        <w:rPr>
          <w:lang w:val="es-ES"/>
        </w:rPr>
        <w:t>Conocimientos tradicionales:</w:t>
      </w:r>
      <w:r w:rsidR="004B6959">
        <w:rPr>
          <w:lang w:val="es-ES"/>
        </w:rPr>
        <w:t xml:space="preserve"> </w:t>
      </w:r>
      <w:r w:rsidRPr="008C41FD">
        <w:rPr>
          <w:lang w:val="es-ES"/>
        </w:rPr>
        <w:t>Necesidades y expectativas en materia de propiedad intelectual”, pág. 27.</w:t>
      </w:r>
    </w:p>
  </w:footnote>
  <w:footnote w:id="69">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r>
      <w:r w:rsidRPr="008C41FD">
        <w:rPr>
          <w:szCs w:val="22"/>
          <w:lang w:val="es-ES"/>
        </w:rPr>
        <w:t>Lista y breve descripción técnica de las diversas formas que pueden presentar los conocimientos tradicionales (WIPO/GRTKF/IC/17/INF/9), párrafos 43 y 44 del Anexo.</w:t>
      </w:r>
    </w:p>
  </w:footnote>
  <w:footnote w:id="7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 concepto de comunidades locales”, documento preparado por la Secretaría del Foro Permanente para las Cuestiones Indígenas en el Taller de expertos sobre la desagregación de datos (PFII/2004/WS.1/3/Add.1).</w:t>
      </w:r>
      <w:r w:rsidR="004B6959">
        <w:rPr>
          <w:szCs w:val="18"/>
          <w:lang w:val="es-ES"/>
        </w:rPr>
        <w:t xml:space="preserve"> </w:t>
      </w:r>
      <w:r w:rsidRPr="008C41FD">
        <w:rPr>
          <w:szCs w:val="18"/>
          <w:lang w:val="es-ES"/>
        </w:rPr>
        <w:t>Véase también el documento</w:t>
      </w:r>
      <w:r w:rsidRPr="008C41FD">
        <w:rPr>
          <w:i/>
          <w:szCs w:val="18"/>
          <w:lang w:val="es-ES"/>
        </w:rPr>
        <w:t xml:space="preserve"> </w:t>
      </w:r>
      <w:r w:rsidRPr="008C41FD">
        <w:rPr>
          <w:szCs w:val="18"/>
          <w:lang w:val="es-ES"/>
        </w:rPr>
        <w:t>UNEP/CBD/WS-CB/LAC/1/INF/5.</w:t>
      </w:r>
    </w:p>
  </w:footnote>
  <w:footnote w:id="7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 xml:space="preserve">Véase el documento </w:t>
      </w:r>
      <w:r w:rsidRPr="007B0297">
        <w:rPr>
          <w:i/>
          <w:iCs/>
          <w:szCs w:val="18"/>
        </w:rPr>
        <w:t>Development of Elements of Sui Generis Systems for the Protection of Traditional Knowledge, Innovations and Practices</w:t>
      </w:r>
      <w:r w:rsidRPr="007B0297">
        <w:rPr>
          <w:szCs w:val="18"/>
        </w:rPr>
        <w:t xml:space="preserve"> (documento UNEP/CBD/WG8J/4/INF/18), pág. 5 (Traducción oficiosa de la Oficina Internacional).</w:t>
      </w:r>
    </w:p>
  </w:footnote>
  <w:footnote w:id="7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23.</w:t>
      </w:r>
      <w:r w:rsidR="004B6959">
        <w:rPr>
          <w:szCs w:val="18"/>
          <w:lang w:val="es-ES"/>
        </w:rPr>
        <w:t xml:space="preserve"> </w:t>
      </w:r>
      <w:r w:rsidRPr="008C41FD">
        <w:rPr>
          <w:szCs w:val="18"/>
          <w:lang w:val="es-ES"/>
        </w:rPr>
        <w:t>Véase también “Lista y breve explicación técnica de las diversas formas que pueden presentar los conocimientos tradicionales (WIPO/GRTKF/IC/17/INF/9, párr. 41 del Anexo.</w:t>
      </w:r>
    </w:p>
  </w:footnote>
  <w:footnote w:id="7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Artículo 1 del Convenio Nº 169 de la OIT sobre pueblos indígenas y tribales en países independientes.</w:t>
      </w:r>
    </w:p>
  </w:footnote>
  <w:footnote w:id="7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del PNUMA de términos para negociadores de acuerdos ambientales multilaterales, disponible en:</w:t>
      </w:r>
      <w:r w:rsidR="004B6959">
        <w:rPr>
          <w:szCs w:val="18"/>
          <w:lang w:val="es-ES"/>
        </w:rPr>
        <w:t xml:space="preserve"> </w:t>
      </w:r>
      <w:hyperlink r:id="rId9" w:history="1">
        <w:r w:rsidRPr="008C41FD">
          <w:rPr>
            <w:rStyle w:val="Hyperlink"/>
            <w:szCs w:val="18"/>
            <w:lang w:val="es-ES"/>
          </w:rPr>
          <w:t>http://wedocs.unep.org/handle/20.500.11822/7569</w:t>
        </w:r>
      </w:hyperlink>
    </w:p>
  </w:footnote>
  <w:footnote w:id="7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Política Operacional 4.10, sobre pueblos indígenas, del Banco Mundial (2005);</w:t>
      </w:r>
      <w:r w:rsidR="004B6959">
        <w:rPr>
          <w:szCs w:val="18"/>
          <w:lang w:val="es-ES"/>
        </w:rPr>
        <w:t xml:space="preserve"> </w:t>
      </w:r>
      <w:r w:rsidRPr="008C41FD">
        <w:rPr>
          <w:szCs w:val="18"/>
          <w:lang w:val="es-ES"/>
        </w:rPr>
        <w:t xml:space="preserve">John Henriksen, </w:t>
      </w:r>
      <w:r w:rsidRPr="008C41FD">
        <w:rPr>
          <w:i/>
          <w:iCs/>
          <w:szCs w:val="18"/>
          <w:lang w:val="es-ES"/>
        </w:rPr>
        <w:t>Key Principles in Implementing ILO Convention Nº 169,</w:t>
      </w:r>
      <w:r w:rsidRPr="008C41FD">
        <w:rPr>
          <w:szCs w:val="18"/>
          <w:lang w:val="es-ES"/>
        </w:rPr>
        <w:t xml:space="preserve"> 2008.</w:t>
      </w:r>
    </w:p>
  </w:footnote>
  <w:footnote w:id="7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[Esta nota de pie de página forma parte de la definición] Convenio Nº 169 de la OIT sobre pueblos indígenas y tribales (1989);</w:t>
      </w:r>
      <w:r w:rsidR="004B6959">
        <w:rPr>
          <w:szCs w:val="18"/>
          <w:lang w:val="es-ES"/>
        </w:rPr>
        <w:t xml:space="preserve"> </w:t>
      </w:r>
      <w:r w:rsidRPr="008C41FD">
        <w:rPr>
          <w:szCs w:val="18"/>
          <w:lang w:val="es-ES"/>
        </w:rPr>
        <w:t>Declaración de las Naciones Unidas sobre los Derechos de los Pueblos Indígenas (2007);</w:t>
      </w:r>
      <w:r w:rsidR="004B6959">
        <w:rPr>
          <w:szCs w:val="18"/>
          <w:lang w:val="es-ES"/>
        </w:rPr>
        <w:t xml:space="preserve"> </w:t>
      </w:r>
      <w:r w:rsidRPr="008C41FD">
        <w:rPr>
          <w:szCs w:val="18"/>
          <w:lang w:val="es-ES"/>
        </w:rPr>
        <w:t>Directrices sobre las cuestiones relativas a los pueblos indígenas – Grupo de las Naciones Unidas para el Desarrollo (2008);</w:t>
      </w:r>
      <w:r w:rsidR="004B6959">
        <w:rPr>
          <w:szCs w:val="18"/>
          <w:lang w:val="es-ES"/>
        </w:rPr>
        <w:t xml:space="preserve"> </w:t>
      </w:r>
      <w:r w:rsidRPr="008C41FD">
        <w:rPr>
          <w:szCs w:val="18"/>
          <w:lang w:val="es-ES"/>
        </w:rPr>
        <w:t>Foro Permanente de las Naciones Unidas sobre Cuestiones Indígenas (Departamento de Asuntos Económicos y Sociales);</w:t>
      </w:r>
      <w:r w:rsidR="004B6959">
        <w:rPr>
          <w:szCs w:val="18"/>
          <w:lang w:val="es-ES"/>
        </w:rPr>
        <w:t xml:space="preserve"> </w:t>
      </w:r>
      <w:r w:rsidRPr="008C41FD">
        <w:rPr>
          <w:szCs w:val="18"/>
          <w:lang w:val="es-ES"/>
        </w:rPr>
        <w:t>Grupo Interinstitucional de Apoyo al Foro sobre Cuestiones Indígenas, Segunda Década Internacional de las Naciones Unidas del Plan de Acción de los Pueblos Indígenas del Mundo (véase el Anexo I).</w:t>
      </w:r>
      <w:r w:rsidR="004B6959">
        <w:rPr>
          <w:szCs w:val="18"/>
          <w:lang w:val="es-ES"/>
        </w:rPr>
        <w:t xml:space="preserve"> </w:t>
      </w:r>
      <w:r w:rsidRPr="008C41FD">
        <w:rPr>
          <w:szCs w:val="18"/>
          <w:lang w:val="es-ES"/>
        </w:rPr>
        <w:t>La FAO aplica los mismos criterios en su política sobre pueblos indígenas y tribales (disponible en http://www.fao.org/docrep/013/i1857e00.pdf).</w:t>
      </w:r>
    </w:p>
  </w:footnote>
  <w:footnote w:id="7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http://www.ifad.org./english/indigenous/documents/ip_policy_s.pdf.</w:t>
      </w:r>
    </w:p>
  </w:footnote>
  <w:footnote w:id="78">
    <w:p w:rsidR="007B0297" w:rsidRPr="008C41FD" w:rsidRDefault="007B0297" w:rsidP="00C0409B">
      <w:pPr>
        <w:tabs>
          <w:tab w:val="left" w:pos="550"/>
        </w:tabs>
        <w:ind w:left="567" w:hanging="550"/>
        <w:rPr>
          <w:sz w:val="18"/>
          <w:szCs w:val="18"/>
          <w:lang w:val="es-ES"/>
        </w:rPr>
      </w:pPr>
      <w:r w:rsidRPr="008C41FD">
        <w:rPr>
          <w:rStyle w:val="FootnoteReference"/>
          <w:sz w:val="18"/>
          <w:szCs w:val="18"/>
          <w:lang w:val="es-ES"/>
        </w:rPr>
        <w:footnoteRef/>
      </w:r>
      <w:r w:rsidRPr="008C41FD">
        <w:rPr>
          <w:sz w:val="18"/>
          <w:szCs w:val="18"/>
          <w:lang w:val="es-ES"/>
        </w:rPr>
        <w:t xml:space="preserve"> </w:t>
      </w:r>
      <w:r w:rsidRPr="008C41FD">
        <w:rPr>
          <w:rStyle w:val="FootnoteReference"/>
          <w:szCs w:val="18"/>
          <w:lang w:val="es-ES"/>
        </w:rPr>
        <w:tab/>
      </w:r>
      <w:r w:rsidRPr="008C41FD">
        <w:rPr>
          <w:sz w:val="18"/>
          <w:szCs w:val="18"/>
          <w:lang w:val="es-ES"/>
        </w:rPr>
        <w:t>Disponible en:</w:t>
      </w:r>
      <w:r w:rsidR="004B6959">
        <w:rPr>
          <w:sz w:val="18"/>
          <w:szCs w:val="18"/>
          <w:lang w:val="es-ES"/>
        </w:rPr>
        <w:t xml:space="preserve"> </w:t>
      </w:r>
      <w:r w:rsidRPr="008C41FD">
        <w:rPr>
          <w:sz w:val="18"/>
          <w:szCs w:val="18"/>
          <w:lang w:val="es-ES"/>
        </w:rPr>
        <w:t>http://www.undp.org/content/undp/en/home/librarypage/environment-energy/local_development/undp-and-indigenous-peoples-a-policy-of-engagement.html.</w:t>
      </w:r>
    </w:p>
  </w:footnote>
  <w:footnote w:id="7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Subcomisión de las Naciones Unidas de Prevención de Discriminaciones y Protección a las Minorías:</w:t>
      </w:r>
      <w:r w:rsidR="004B6959">
        <w:rPr>
          <w:szCs w:val="18"/>
          <w:lang w:val="es-ES"/>
        </w:rPr>
        <w:t xml:space="preserve"> </w:t>
      </w:r>
      <w:r w:rsidRPr="008C41FD">
        <w:rPr>
          <w:szCs w:val="18"/>
          <w:lang w:val="es-ES"/>
        </w:rPr>
        <w:t>“Estudio del problema de la discriminación contra las poblaciones indígenas" (documento E/CN.4/Sub.2/1986/7/Add.4.), párr. 379 (1986).</w:t>
      </w:r>
    </w:p>
  </w:footnote>
  <w:footnote w:id="8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 pág. 298.</w:t>
      </w:r>
    </w:p>
  </w:footnote>
  <w:footnote w:id="8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Ricketson y Ginsburg, </w:t>
      </w:r>
      <w:r w:rsidRPr="007B0297">
        <w:rPr>
          <w:i/>
          <w:szCs w:val="18"/>
        </w:rPr>
        <w:t xml:space="preserve">International Copyright and Neighboring Rights-The Berne Convention and Beyond, </w:t>
      </w:r>
      <w:r w:rsidRPr="007B0297">
        <w:rPr>
          <w:szCs w:val="18"/>
        </w:rPr>
        <w:t xml:space="preserve">Oxford, Vol. </w:t>
      </w:r>
      <w:r w:rsidRPr="008C41FD">
        <w:rPr>
          <w:szCs w:val="18"/>
          <w:lang w:val="es-ES"/>
        </w:rPr>
        <w:t>I, p. 602.</w:t>
      </w:r>
    </w:p>
  </w:footnote>
  <w:footnote w:id="8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WIPO/GRTKF/IC/2/3, párr. 133.</w:t>
      </w:r>
    </w:p>
  </w:footnote>
  <w:footnote w:id="8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WIPO/GRTKF/IC/7/9 “Los recursos genéticos:</w:t>
      </w:r>
      <w:r w:rsidR="004B6959">
        <w:rPr>
          <w:szCs w:val="18"/>
          <w:lang w:val="es-ES"/>
        </w:rPr>
        <w:t xml:space="preserve"> </w:t>
      </w:r>
      <w:r w:rsidRPr="008C41FD">
        <w:rPr>
          <w:szCs w:val="18"/>
          <w:lang w:val="es-ES"/>
        </w:rPr>
        <w:t>Proyecto de directrices de propiedad intelectual para el acceso a los recursos genéticos y la participación equitativa en los beneficios”.</w:t>
      </w:r>
    </w:p>
  </w:footnote>
  <w:footnote w:id="8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Véanse los principios operativos en la sección V.B del documento WIPO/GRTKF/IC/2/3.</w:t>
      </w:r>
    </w:p>
  </w:footnote>
  <w:footnote w:id="8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 “Recursos genéticos:</w:t>
      </w:r>
      <w:r w:rsidR="004B6959">
        <w:rPr>
          <w:szCs w:val="18"/>
          <w:lang w:val="es-ES"/>
        </w:rPr>
        <w:t xml:space="preserve"> </w:t>
      </w:r>
      <w:r w:rsidRPr="008C41FD">
        <w:rPr>
          <w:szCs w:val="18"/>
          <w:lang w:val="es-ES"/>
        </w:rPr>
        <w:t>Proyecto de directrices de propiedad intelectual para el acceso y la participación equitativa en los beneficios:</w:t>
      </w:r>
      <w:r w:rsidR="004B6959">
        <w:rPr>
          <w:szCs w:val="18"/>
          <w:lang w:val="es-ES"/>
        </w:rPr>
        <w:t xml:space="preserve"> </w:t>
      </w:r>
      <w:r w:rsidRPr="008C41FD">
        <w:rPr>
          <w:szCs w:val="18"/>
          <w:lang w:val="es-ES"/>
        </w:rPr>
        <w:t>versión actualizada”.</w:t>
      </w:r>
    </w:p>
  </w:footnote>
  <w:footnote w:id="8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w:t>
      </w:r>
    </w:p>
  </w:footnote>
  <w:footnote w:id="8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 pág. 4 del Anexo.</w:t>
      </w:r>
    </w:p>
  </w:footnote>
  <w:footnote w:id="8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8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PATENTSCOPE de la OMPI.</w:t>
      </w:r>
    </w:p>
  </w:footnote>
  <w:footnote w:id="90">
    <w:p w:rsidR="007B0297" w:rsidRPr="008C41FD" w:rsidRDefault="007B0297" w:rsidP="006F3206">
      <w:pPr>
        <w:pStyle w:val="FootnoteText"/>
        <w:rPr>
          <w:lang w:val="es-ES"/>
        </w:rPr>
      </w:pPr>
      <w:r w:rsidRPr="008C41FD">
        <w:rPr>
          <w:rStyle w:val="FootnoteReference"/>
          <w:lang w:val="es-ES"/>
        </w:rPr>
        <w:footnoteRef/>
      </w:r>
      <w:r w:rsidRPr="008C41FD">
        <w:rPr>
          <w:lang w:val="es-ES"/>
        </w:rPr>
        <w:t xml:space="preserve"> </w:t>
      </w:r>
      <w:r w:rsidRPr="008C41FD">
        <w:rPr>
          <w:lang w:val="es-ES"/>
        </w:rPr>
        <w:tab/>
        <w:t>Artículo 1 del ITPGRFA.</w:t>
      </w:r>
    </w:p>
  </w:footnote>
  <w:footnote w:id="91">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Publicación Nº 489 (E) de la OMPI, </w:t>
      </w:r>
      <w:r w:rsidRPr="008C41FD">
        <w:rPr>
          <w:i/>
          <w:szCs w:val="18"/>
          <w:lang w:val="es-ES"/>
        </w:rPr>
        <w:t xml:space="preserve">WIPO Intellectual Property Handbook, </w:t>
      </w:r>
      <w:r w:rsidRPr="008C41FD">
        <w:rPr>
          <w:szCs w:val="18"/>
          <w:lang w:val="es-ES"/>
        </w:rPr>
        <w:t>2008.</w:t>
      </w:r>
    </w:p>
  </w:footnote>
  <w:footnote w:id="92">
    <w:p w:rsidR="007B0297" w:rsidRPr="008C41FD" w:rsidRDefault="007B0297" w:rsidP="006F320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103 del Título 35 del Código de los Estados Unidos de América, disponible:</w:t>
      </w:r>
      <w:r w:rsidR="004B6959">
        <w:rPr>
          <w:lang w:val="es-ES"/>
        </w:rPr>
        <w:t xml:space="preserve"> </w:t>
      </w:r>
      <w:r w:rsidRPr="008C41FD">
        <w:rPr>
          <w:lang w:val="es-ES"/>
        </w:rPr>
        <w:t>https://www.uspto.gov/web/offices/pac/mpep/s2158.html</w:t>
      </w:r>
    </w:p>
  </w:footnote>
  <w:footnote w:id="93">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94">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w:t>
      </w:r>
      <w:r w:rsidRPr="008C41FD">
        <w:rPr>
          <w:iCs/>
          <w:szCs w:val="18"/>
          <w:lang w:val="es-ES"/>
        </w:rPr>
        <w:t>Excepciones y limitaciones al derecho de autor y los derechos conexos”,</w:t>
      </w:r>
      <w:r w:rsidRPr="008C41FD">
        <w:rPr>
          <w:szCs w:val="18"/>
          <w:lang w:val="es-ES"/>
        </w:rPr>
        <w:t xml:space="preserve"> documento WCT</w:t>
      </w:r>
      <w:r w:rsidRPr="008C41FD">
        <w:rPr>
          <w:szCs w:val="18"/>
          <w:lang w:val="es-ES"/>
        </w:rPr>
        <w:noBreakHyphen/>
        <w:t>WPPT/IMP/1, pág. 2.</w:t>
      </w:r>
    </w:p>
  </w:footnote>
  <w:footnote w:id="95">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Sección del sitio Web de la OMPI sobre Derecho de Autor y Derechos Conexos.(</w:t>
      </w:r>
      <w:hyperlink r:id="rId10" w:history="1">
        <w:r w:rsidRPr="007B0297">
          <w:rPr>
            <w:rStyle w:val="Hyperlink"/>
            <w:szCs w:val="18"/>
          </w:rPr>
          <w:t>http://www.wipo.int/copyright/es/limitations/index.html</w:t>
        </w:r>
      </w:hyperlink>
      <w:r w:rsidRPr="007B0297">
        <w:rPr>
          <w:szCs w:val="18"/>
        </w:rPr>
        <w:t>).</w:t>
      </w:r>
    </w:p>
  </w:footnote>
  <w:footnote w:id="96">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Art. 10.1.</w:t>
      </w:r>
    </w:p>
  </w:footnote>
  <w:footnote w:id="9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9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48, pág. 316.</w:t>
      </w:r>
    </w:p>
  </w:footnote>
  <w:footnote w:id="9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10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http://www.wipo.int/tk/es/databases/contracts/index.html.</w:t>
      </w:r>
    </w:p>
  </w:footnote>
  <w:footnote w:id="10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bCs/>
          <w:szCs w:val="18"/>
          <w:lang w:val="es-ES"/>
        </w:rPr>
        <w:t>http://www.fao.org/3/a-be623e.pdf</w:t>
      </w:r>
      <w:r w:rsidRPr="008C41FD">
        <w:rPr>
          <w:szCs w:val="18"/>
          <w:lang w:val="es-ES"/>
        </w:rPr>
        <w:t>.</w:t>
      </w:r>
    </w:p>
  </w:footnote>
  <w:footnote w:id="10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http://www.wipo.int/pct/es/texts/glossary.html#M.</w:t>
      </w:r>
    </w:p>
  </w:footnote>
  <w:footnote w:id="10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búsqueda internacional del PCT (en vigor desde el 18 de septiembre de 1998), párr. IX-2.1.</w:t>
      </w:r>
    </w:p>
  </w:footnote>
  <w:footnote w:id="10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Documentación mínima del PCT, PCT/MIA/9/4.</w:t>
      </w:r>
    </w:p>
  </w:footnote>
  <w:footnote w:id="10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Francesco Capotorti, antiguo Relator Especial de las Naciones Unidas (1979), citado por Dieter Kugelmann en </w:t>
      </w:r>
      <w:r w:rsidRPr="008C41FD">
        <w:rPr>
          <w:i/>
          <w:iCs/>
          <w:szCs w:val="18"/>
          <w:lang w:val="es-ES"/>
        </w:rPr>
        <w:t>The Protection of Minorities and Indigenous Peoples Respective Cultural Diversity</w:t>
      </w:r>
      <w:r w:rsidRPr="008C41FD">
        <w:rPr>
          <w:szCs w:val="18"/>
          <w:lang w:val="es-ES"/>
        </w:rPr>
        <w:t xml:space="preserve">, A. Von Bogdandy y R. Wolffrum (eds), </w:t>
      </w:r>
      <w:r w:rsidRPr="008C41FD">
        <w:rPr>
          <w:i/>
          <w:iCs/>
          <w:szCs w:val="18"/>
          <w:lang w:val="es-ES"/>
        </w:rPr>
        <w:t>Max Planck Yearbook of United Nations Law,</w:t>
      </w:r>
      <w:r w:rsidRPr="008C41FD">
        <w:rPr>
          <w:szCs w:val="18"/>
          <w:lang w:val="es-ES"/>
        </w:rPr>
        <w:t xml:space="preserve"> Vol. 11, 2007, pág. 237.</w:t>
      </w:r>
    </w:p>
  </w:footnote>
  <w:footnote w:id="10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0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00D87BB6">
        <w:rPr>
          <w:i/>
          <w:iCs/>
          <w:szCs w:val="18"/>
          <w:lang w:val="es-ES"/>
        </w:rPr>
        <w:t>Ibi</w:t>
      </w:r>
      <w:r w:rsidRPr="008C41FD">
        <w:rPr>
          <w:i/>
          <w:iCs/>
          <w:szCs w:val="18"/>
          <w:lang w:val="es-ES"/>
        </w:rPr>
        <w:t>d</w:t>
      </w:r>
      <w:r w:rsidRPr="008C41FD">
        <w:rPr>
          <w:szCs w:val="18"/>
          <w:lang w:val="es-ES"/>
        </w:rPr>
        <w:t>. art. 1.1).</w:t>
      </w:r>
    </w:p>
  </w:footnote>
  <w:footnote w:id="108">
    <w:p w:rsidR="007B0297" w:rsidRPr="008C41FD" w:rsidRDefault="007B0297" w:rsidP="0059568D">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jurídico de protección de los conocimientos tradicionales en Sri Lanka”, versión en documento de trabajo, 1 de enero de 2009.</w:t>
      </w:r>
    </w:p>
  </w:footnote>
  <w:footnote w:id="11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Varias Delegaciones, como la Delegación de Indonesia y la Delegación de México propusieron que se incorpore el término “utilización indebida” en el texto de “La protección de los conocimientos tradicionales:</w:t>
      </w:r>
      <w:r w:rsidR="004B6959">
        <w:rPr>
          <w:szCs w:val="18"/>
          <w:lang w:val="es-ES"/>
        </w:rPr>
        <w:t xml:space="preserve"> </w:t>
      </w:r>
      <w:r w:rsidRPr="008C41FD">
        <w:rPr>
          <w:szCs w:val="18"/>
          <w:lang w:val="es-ES"/>
        </w:rPr>
        <w:t>Objetivos y principios revisados (WIPO/GRTKF/IC/18/5).</w:t>
      </w:r>
      <w:r w:rsidR="004B6959">
        <w:rPr>
          <w:szCs w:val="18"/>
          <w:lang w:val="es-ES"/>
        </w:rPr>
        <w:t xml:space="preserve"> </w:t>
      </w:r>
      <w:r w:rsidRPr="008C41FD">
        <w:rPr>
          <w:szCs w:val="18"/>
          <w:lang w:val="es-ES"/>
        </w:rPr>
        <w:t xml:space="preserve">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C41FD">
        <w:rPr>
          <w:rStyle w:val="FootnoteReference"/>
          <w:szCs w:val="18"/>
          <w:lang w:val="es-ES"/>
        </w:rPr>
        <w:t>recursos</w:t>
      </w:r>
      <w:r w:rsidRPr="008C41FD">
        <w:rPr>
          <w:szCs w:val="18"/>
          <w:lang w:val="es-ES"/>
        </w:rPr>
        <w:t xml:space="preserve"> genéticos y conocimientos tradicionales conexos.</w:t>
      </w:r>
      <w:r w:rsidR="004B6959">
        <w:rPr>
          <w:szCs w:val="18"/>
          <w:lang w:val="es-ES"/>
        </w:rPr>
        <w:t xml:space="preserve"> </w:t>
      </w:r>
      <w:r w:rsidRPr="008C41FD">
        <w:rPr>
          <w:szCs w:val="18"/>
          <w:lang w:val="es-ES"/>
        </w:rPr>
        <w:t>Se utilizó para referirse a los actos que son contrarios a las condiciones convenidas de mutuo acuerdo, mientras que la apropiación indebida se refiere específicamente a la adquisición sin consentimiento previo.</w:t>
      </w:r>
      <w:r w:rsidR="004B6959">
        <w:rPr>
          <w:szCs w:val="18"/>
          <w:lang w:val="es-ES"/>
        </w:rPr>
        <w:t xml:space="preserve"> </w:t>
      </w:r>
      <w:r w:rsidRPr="008C41FD">
        <w:rPr>
          <w:szCs w:val="18"/>
          <w:lang w:val="es-ES"/>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UNEP/CBD/COP/4/22, párr. </w:t>
      </w:r>
      <w:r w:rsidRPr="007B0297">
        <w:rPr>
          <w:szCs w:val="18"/>
        </w:rPr>
        <w:t>32.</w:t>
      </w:r>
    </w:p>
  </w:footnote>
  <w:footnote w:id="11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Daniel Gervais, </w:t>
      </w:r>
      <w:r w:rsidRPr="007B0297">
        <w:rPr>
          <w:i/>
          <w:iCs/>
          <w:szCs w:val="18"/>
        </w:rPr>
        <w:t>The TRIPS Agreement.</w:t>
      </w:r>
      <w:r w:rsidR="004B6959">
        <w:rPr>
          <w:i/>
          <w:iCs/>
          <w:szCs w:val="18"/>
        </w:rPr>
        <w:t xml:space="preserve"> </w:t>
      </w:r>
      <w:r w:rsidRPr="007B0297">
        <w:rPr>
          <w:i/>
          <w:iCs/>
          <w:szCs w:val="18"/>
        </w:rPr>
        <w:t>Drafting and Analysis</w:t>
      </w:r>
      <w:r w:rsidRPr="007B0297">
        <w:rPr>
          <w:szCs w:val="18"/>
        </w:rPr>
        <w:t>, 3ª ed., Sweet &amp; Maxwell.</w:t>
      </w:r>
    </w:p>
  </w:footnote>
  <w:footnote w:id="11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Dieter Kugelmann, </w:t>
      </w:r>
      <w:r w:rsidRPr="007B0297">
        <w:rPr>
          <w:i/>
          <w:iCs/>
          <w:szCs w:val="18"/>
        </w:rPr>
        <w:t>The Protection of Minorities and Indigenous Peoples Respective Cultural Diversity</w:t>
      </w:r>
      <w:r w:rsidRPr="007B0297">
        <w:rPr>
          <w:szCs w:val="18"/>
        </w:rPr>
        <w:t xml:space="preserve">, A. Von Bogdandy y R. Wolffrum (eds), </w:t>
      </w:r>
      <w:r w:rsidRPr="007B0297">
        <w:rPr>
          <w:i/>
          <w:iCs/>
          <w:szCs w:val="18"/>
        </w:rPr>
        <w:t>Max Planck Yearbook of United Nations Law</w:t>
      </w:r>
      <w:r w:rsidRPr="007B0297">
        <w:rPr>
          <w:szCs w:val="18"/>
        </w:rPr>
        <w:t>, Vol. 11, 2007, pág. 235.</w:t>
      </w:r>
    </w:p>
  </w:footnote>
  <w:footnote w:id="1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w:t>
      </w:r>
      <w:r w:rsidRPr="008C41FD">
        <w:rPr>
          <w:i/>
          <w:iCs/>
          <w:szCs w:val="18"/>
          <w:lang w:val="es-ES"/>
        </w:rPr>
        <w:t>Glossary on Intangible Cultural Heritage</w:t>
      </w:r>
      <w:r w:rsidRPr="008C41FD">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w:t>
      </w:r>
      <w:r w:rsidR="004B6959">
        <w:rPr>
          <w:szCs w:val="18"/>
          <w:lang w:val="es-ES"/>
        </w:rPr>
        <w:t xml:space="preserve"> </w:t>
      </w:r>
      <w:r w:rsidRPr="008C41FD">
        <w:rPr>
          <w:szCs w:val="18"/>
          <w:lang w:val="es-ES"/>
        </w:rPr>
        <w:t>Proyecto de objetivos y principios” (documento WIPO/GRTKF/IC/17/4).</w:t>
      </w:r>
    </w:p>
  </w:footnote>
  <w:footnote w:id="1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Publicación Nº 489 de la OMPI, </w:t>
      </w:r>
      <w:r w:rsidRPr="008C41FD">
        <w:rPr>
          <w:i/>
          <w:iCs/>
          <w:szCs w:val="18"/>
          <w:lang w:val="es-ES"/>
        </w:rPr>
        <w:t>WIPO Intellectual Property Handbook</w:t>
      </w:r>
      <w:r w:rsidRPr="008C41FD">
        <w:rPr>
          <w:szCs w:val="18"/>
          <w:lang w:val="es-ES"/>
        </w:rPr>
        <w:t>.</w:t>
      </w:r>
    </w:p>
  </w:footnote>
  <w:footnote w:id="116">
    <w:p w:rsidR="007B0297" w:rsidRPr="008C41FD" w:rsidRDefault="007B0297" w:rsidP="001B0533">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1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Glosario PATENTSCOPE de la OMPI.</w:t>
      </w:r>
    </w:p>
  </w:footnote>
  <w:footnote w:id="11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“Reseña de las actividades y resultados del Comité Intergubernamental” (WIPO/GRTKF/IC/5/12), párr. 37.</w:t>
      </w:r>
    </w:p>
  </w:footnote>
  <w:footnote w:id="1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las carencias:</w:t>
      </w:r>
      <w:r w:rsidR="004B6959">
        <w:rPr>
          <w:szCs w:val="18"/>
          <w:lang w:val="es-ES"/>
        </w:rPr>
        <w:t xml:space="preserve"> </w:t>
      </w:r>
      <w:r w:rsidRPr="008C41FD">
        <w:rPr>
          <w:szCs w:val="18"/>
          <w:lang w:val="es-ES"/>
        </w:rPr>
        <w:t>Revisión” (documento WIPO/GRTKF/IC/13/5(b) Rev. Anexo I), página 7, párr. 13.</w:t>
      </w:r>
    </w:p>
  </w:footnote>
  <w:footnote w:id="1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32.2) de la Declaración de las Naciones Unidas sobre los Derechos de los Pueblos Indígenas;</w:t>
      </w:r>
      <w:r w:rsidR="004B6959">
        <w:rPr>
          <w:szCs w:val="18"/>
          <w:lang w:val="es-ES"/>
        </w:rPr>
        <w:t xml:space="preserve"> </w:t>
      </w:r>
      <w:r w:rsidRPr="008C41FD">
        <w:rPr>
          <w:szCs w:val="18"/>
          <w:lang w:val="es-ES"/>
        </w:rPr>
        <w:t>véanse asimismo las Directrices sobre los Asuntos de los Pueblos Indígenas del Grupo de Naciones Unidas para el Desarrollo.</w:t>
      </w:r>
    </w:p>
  </w:footnote>
  <w:footnote w:id="1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Stephen Allen y Alexandra Xanthaki, </w:t>
      </w:r>
      <w:r w:rsidRPr="007B0297">
        <w:rPr>
          <w:i/>
          <w:iCs/>
          <w:szCs w:val="18"/>
        </w:rPr>
        <w:t>Reflections on the UN Declaration on the Rights of Indigenous Peoples,</w:t>
      </w:r>
      <w:r w:rsidRPr="007B0297">
        <w:rPr>
          <w:szCs w:val="18"/>
        </w:rPr>
        <w:t xml:space="preserve"> Oxford y Portland, Oregon, pág. 49.</w:t>
      </w:r>
      <w:r w:rsidR="004B6959">
        <w:rPr>
          <w:szCs w:val="18"/>
        </w:rPr>
        <w:t xml:space="preserve"> </w:t>
      </w:r>
      <w:r w:rsidRPr="008C41FD">
        <w:rPr>
          <w:szCs w:val="18"/>
          <w:lang w:val="es-ES"/>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Publicación Nº 489 de la OMPI, </w:t>
      </w:r>
      <w:r w:rsidRPr="008C41FD">
        <w:rPr>
          <w:i/>
          <w:iCs/>
          <w:szCs w:val="18"/>
          <w:lang w:val="es-ES"/>
        </w:rPr>
        <w:t>WIPO Intellectual Property Handbook</w:t>
      </w:r>
      <w:r w:rsidRPr="008C41FD">
        <w:rPr>
          <w:szCs w:val="18"/>
          <w:lang w:val="es-ES"/>
        </w:rPr>
        <w:t>, pág. 19.</w:t>
      </w:r>
    </w:p>
  </w:footnote>
  <w:footnote w:id="123">
    <w:p w:rsidR="007B0297" w:rsidRPr="008C41FD" w:rsidRDefault="007B0297" w:rsidP="00992FE7">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24">
    <w:p w:rsidR="007B0297" w:rsidRPr="008C41FD" w:rsidRDefault="007B0297" w:rsidP="00992FE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Véase la Ley de Patentes del Japón, disponible en:</w:t>
      </w:r>
      <w:r w:rsidR="004B6959">
        <w:rPr>
          <w:lang w:val="es-ES"/>
        </w:rPr>
        <w:t xml:space="preserve"> </w:t>
      </w:r>
      <w:r w:rsidRPr="008C41FD">
        <w:rPr>
          <w:lang w:val="es-ES"/>
        </w:rPr>
        <w:t>http://www.wipo.int/wipolex/es/details.jsp?id=16061.</w:t>
      </w:r>
    </w:p>
  </w:footnote>
  <w:footnote w:id="125">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“Reseña de actividades y resultados del Comité Intergubernamental” (WIPO/GRTKF/IC/5/12), párr. </w:t>
      </w:r>
      <w:r w:rsidRPr="007B0297">
        <w:rPr>
          <w:szCs w:val="18"/>
        </w:rPr>
        <w:t>20.</w:t>
      </w:r>
    </w:p>
  </w:footnote>
  <w:footnote w:id="126">
    <w:p w:rsidR="007B0297" w:rsidRPr="00BE1053"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Ídem, párrafos 21 y 22.</w:t>
      </w:r>
    </w:p>
  </w:footnote>
  <w:footnote w:id="127">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 xml:space="preserve">Ídem, párr. </w:t>
      </w:r>
      <w:r w:rsidRPr="007B0297">
        <w:rPr>
          <w:szCs w:val="18"/>
        </w:rPr>
        <w:t>21.</w:t>
      </w:r>
    </w:p>
  </w:footnote>
  <w:footnote w:id="128">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t>Ídem, párr. 28.</w:t>
      </w:r>
    </w:p>
  </w:footnote>
  <w:footnote w:id="129">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Jane Anderson, “</w:t>
      </w:r>
      <w:r w:rsidRPr="007B0297">
        <w:rPr>
          <w:i/>
          <w:szCs w:val="18"/>
        </w:rPr>
        <w:t>Indigenous Knowledge/Traditional Knowledge and Intellectual Property</w:t>
      </w:r>
      <w:r w:rsidRPr="007B0297">
        <w:rPr>
          <w:szCs w:val="18"/>
        </w:rPr>
        <w:t>”, Documento de trabajo, Centre for the Public Domain, Duke University, 2011, disponible en:</w:t>
      </w:r>
      <w:r w:rsidR="004B6959">
        <w:rPr>
          <w:szCs w:val="18"/>
        </w:rPr>
        <w:t xml:space="preserve"> </w:t>
      </w:r>
      <w:r w:rsidRPr="007B0297">
        <w:rPr>
          <w:szCs w:val="18"/>
        </w:rPr>
        <w:t>http://www.law.duke.edu/cspd/itkpaper</w:t>
      </w:r>
    </w:p>
  </w:footnote>
  <w:footnote w:id="13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ab/>
        <w:t>Véase el documento WIPO/GRTKF/17/INF/12.</w:t>
      </w:r>
    </w:p>
  </w:footnote>
  <w:footnote w:id="131">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sobre los tratados de derecho de autor… </w:t>
      </w:r>
      <w:r w:rsidRPr="008C41FD">
        <w:rPr>
          <w:i/>
          <w:szCs w:val="18"/>
          <w:lang w:val="es-ES"/>
        </w:rPr>
        <w:t xml:space="preserve">op. cit. </w:t>
      </w:r>
      <w:r w:rsidRPr="008C41FD">
        <w:rPr>
          <w:szCs w:val="18"/>
          <w:lang w:val="es-ES"/>
        </w:rPr>
        <w:t>en la nota 44.</w:t>
      </w:r>
    </w:p>
  </w:footnote>
  <w:footnote w:id="133">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5">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w:t>
      </w:r>
      <w:r w:rsidRPr="007B0297">
        <w:rPr>
          <w:i/>
          <w:szCs w:val="18"/>
        </w:rPr>
        <w:t>The Role of Registers &amp; Databases in the Protection of Traditional Knowledge:</w:t>
      </w:r>
      <w:r w:rsidR="004B6959">
        <w:rPr>
          <w:i/>
          <w:szCs w:val="18"/>
        </w:rPr>
        <w:t xml:space="preserve"> </w:t>
      </w:r>
      <w:r w:rsidRPr="007B0297">
        <w:rPr>
          <w:i/>
          <w:szCs w:val="18"/>
        </w:rPr>
        <w:t>A Comparative Analysis</w:t>
      </w:r>
      <w:r w:rsidRPr="007B0297">
        <w:rPr>
          <w:szCs w:val="18"/>
        </w:rPr>
        <w:t>”, Informe UNU/IAS, enero de 2004, pág. 32.</w:t>
      </w:r>
    </w:p>
  </w:footnote>
  <w:footnote w:id="136">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16 de la Ley Nº 27811 que establece el régimen de protección de los conocimientos colectivos de los pueblos indígenas vinculados a los recursos biológicos, disponible en:</w:t>
      </w:r>
      <w:r w:rsidR="004B6959">
        <w:rPr>
          <w:szCs w:val="18"/>
          <w:lang w:val="es-ES"/>
        </w:rPr>
        <w:t xml:space="preserve"> </w:t>
      </w:r>
      <w:r w:rsidRPr="008C41FD">
        <w:rPr>
          <w:szCs w:val="18"/>
          <w:lang w:val="es-ES"/>
        </w:rPr>
        <w:t>http://www.wipo.int.wipolex/en/details.jsp?id=3420.</w:t>
      </w:r>
    </w:p>
  </w:footnote>
  <w:footnote w:id="13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6</w:t>
      </w:r>
      <w:r w:rsidRPr="008C41FD">
        <w:rPr>
          <w:i/>
          <w:iCs/>
          <w:szCs w:val="18"/>
          <w:lang w:val="es-ES"/>
        </w:rPr>
        <w:t>bis</w:t>
      </w:r>
      <w:r w:rsidRPr="008C41FD">
        <w:rPr>
          <w:szCs w:val="18"/>
          <w:lang w:val="es-ES"/>
        </w:rPr>
        <w:t xml:space="preserve"> del Convenio de Berna.</w:t>
      </w:r>
    </w:p>
  </w:footnote>
  <w:footnote w:id="14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Ricketson y Ginsburg, </w:t>
      </w:r>
      <w:r w:rsidRPr="008C41FD">
        <w:rPr>
          <w:i/>
          <w:iCs/>
          <w:szCs w:val="18"/>
          <w:lang w:val="es-ES"/>
        </w:rPr>
        <w:t>op. cit.</w:t>
      </w:r>
      <w:r w:rsidRPr="008C41FD">
        <w:rPr>
          <w:szCs w:val="18"/>
          <w:lang w:val="es-ES"/>
        </w:rPr>
        <w:t xml:space="preserve"> en la nota 46, pág. 606. </w:t>
      </w:r>
    </w:p>
  </w:footnote>
  <w:footnote w:id="14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J. Gervais, “</w:t>
      </w:r>
      <w:r w:rsidRPr="007B0297">
        <w:rPr>
          <w:i/>
          <w:szCs w:val="18"/>
        </w:rPr>
        <w:t>Spiritual But not Intellectual:</w:t>
      </w:r>
      <w:r w:rsidR="004B6959">
        <w:rPr>
          <w:i/>
          <w:szCs w:val="18"/>
        </w:rPr>
        <w:t xml:space="preserve"> </w:t>
      </w:r>
      <w:r w:rsidRPr="007B0297">
        <w:rPr>
          <w:i/>
          <w:szCs w:val="18"/>
        </w:rPr>
        <w:t>The Protection of Sacred Intangible Traditional Knowledge</w:t>
      </w:r>
      <w:r w:rsidRPr="007B0297">
        <w:rPr>
          <w:szCs w:val="18"/>
        </w:rPr>
        <w:t>”, 11 Cardozo J. Int’l &amp; Comp.</w:t>
      </w:r>
      <w:r w:rsidR="004B6959">
        <w:rPr>
          <w:szCs w:val="18"/>
        </w:rPr>
        <w:t xml:space="preserve"> </w:t>
      </w:r>
      <w:r w:rsidRPr="007B0297">
        <w:rPr>
          <w:szCs w:val="18"/>
        </w:rPr>
        <w:t>L. 467, 469-490 (2003).</w:t>
      </w:r>
    </w:p>
  </w:footnote>
  <w:footnote w:id="14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Gupta, A., “</w:t>
      </w:r>
      <w:r w:rsidRPr="007B0297">
        <w:rPr>
          <w:i/>
          <w:szCs w:val="18"/>
        </w:rPr>
        <w:t>Rewarding Traditional Knowledge and Contemporary Grassroots Creativity:</w:t>
      </w:r>
      <w:r w:rsidR="004B6959">
        <w:rPr>
          <w:i/>
          <w:szCs w:val="18"/>
        </w:rPr>
        <w:t xml:space="preserve"> </w:t>
      </w:r>
      <w:r w:rsidRPr="007B0297">
        <w:rPr>
          <w:i/>
          <w:szCs w:val="18"/>
        </w:rPr>
        <w:t>The Role of Intellectual Property Protection</w:t>
      </w:r>
      <w:r w:rsidRPr="007B0297">
        <w:rPr>
          <w:szCs w:val="18"/>
        </w:rPr>
        <w:t>”, (en los archivos de la Secretaría).</w:t>
      </w:r>
    </w:p>
  </w:footnote>
  <w:footnote w:id="14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187, disponible en:</w:t>
      </w:r>
      <w:r w:rsidR="004B6959">
        <w:rPr>
          <w:szCs w:val="18"/>
          <w:lang w:val="es-ES"/>
        </w:rPr>
        <w:t xml:space="preserve"> </w:t>
      </w:r>
      <w:r w:rsidRPr="008C41FD">
        <w:rPr>
          <w:szCs w:val="18"/>
          <w:lang w:val="es-ES"/>
        </w:rPr>
        <w:t>http://www.wipo.int/tk/en/tk/ffm/report/index.html.</w:t>
      </w:r>
    </w:p>
  </w:footnote>
  <w:footnote w:id="14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 Nueva Zelandia en la undécima sesión del Comité.</w:t>
      </w:r>
      <w:r w:rsidR="004B6959">
        <w:rPr>
          <w:szCs w:val="18"/>
          <w:lang w:val="es-ES"/>
        </w:rPr>
        <w:t xml:space="preserve"> </w:t>
      </w:r>
      <w:r w:rsidRPr="008C41FD">
        <w:rPr>
          <w:szCs w:val="18"/>
          <w:lang w:val="es-ES"/>
        </w:rPr>
        <w:t>Véase el informe aprobado de dicha sesión (documento WIPO/GRTKF/IC/11/15), párr. 220.</w:t>
      </w:r>
    </w:p>
  </w:footnote>
  <w:footnote w:id="14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del Japón en la undécima sesión del Comité.</w:t>
      </w:r>
      <w:r w:rsidR="004B6959">
        <w:rPr>
          <w:szCs w:val="18"/>
          <w:lang w:val="es-ES"/>
        </w:rPr>
        <w:t xml:space="preserve"> </w:t>
      </w:r>
      <w:r w:rsidRPr="008C41FD">
        <w:rPr>
          <w:szCs w:val="18"/>
          <w:lang w:val="es-ES"/>
        </w:rPr>
        <w:t>Véase el informe aprobado de dicha sesión (documento WIPO/GRTKF/IC/11/15), párr. 296.</w:t>
      </w:r>
    </w:p>
  </w:footnote>
  <w:footnote w:id="14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carencias:</w:t>
      </w:r>
      <w:r w:rsidR="004B6959">
        <w:rPr>
          <w:szCs w:val="18"/>
          <w:lang w:val="es-ES"/>
        </w:rPr>
        <w:t xml:space="preserve"> </w:t>
      </w:r>
      <w:r w:rsidRPr="008C41FD">
        <w:rPr>
          <w:szCs w:val="18"/>
          <w:lang w:val="es-ES"/>
        </w:rPr>
        <w:t>Revisión”, WIPO/GRTKF/IC/13/5(b) Rev., Anexo I, pág. 23, y Anexo II, págs. 12 y 18.</w:t>
      </w:r>
    </w:p>
  </w:footnote>
  <w:footnote w:id="14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p>
  </w:footnote>
  <w:footnote w:id="14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15, 16 y 19 del CDB.</w:t>
      </w:r>
    </w:p>
  </w:footnote>
  <w:footnote w:id="149">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50">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artículo 8.j) del CDB.</w:t>
      </w:r>
    </w:p>
  </w:footnote>
  <w:footnote w:id="151">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WIPO/GRTKF/IC/11/10.</w:t>
      </w:r>
    </w:p>
  </w:footnote>
  <w:footnote w:id="15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 </w:t>
      </w:r>
      <w:r w:rsidRPr="008C41FD">
        <w:rPr>
          <w:szCs w:val="18"/>
          <w:lang w:val="es-ES"/>
        </w:rPr>
        <w:t>Parte III</w:t>
      </w:r>
      <w:r w:rsidRPr="008C41FD">
        <w:rPr>
          <w:iCs/>
          <w:szCs w:val="18"/>
          <w:lang w:val="es-ES"/>
        </w:rPr>
        <w:t>.</w:t>
      </w:r>
    </w:p>
  </w:footnote>
  <w:footnote w:id="153">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w:t>
      </w:r>
      <w:r w:rsidRPr="008C41FD">
        <w:rPr>
          <w:szCs w:val="18"/>
          <w:lang w:val="es-ES"/>
        </w:rPr>
        <w:t xml:space="preserve"> artículo 2.iv)</w:t>
      </w:r>
      <w:r w:rsidRPr="008C41FD">
        <w:rPr>
          <w:iCs/>
          <w:szCs w:val="18"/>
          <w:lang w:val="es-ES"/>
        </w:rPr>
        <w:t>.</w:t>
      </w:r>
    </w:p>
  </w:footnote>
  <w:footnote w:id="154">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Nino Pires de Carvalho, “</w:t>
      </w:r>
      <w:r w:rsidRPr="007B0297">
        <w:rPr>
          <w:i/>
          <w:iCs/>
          <w:szCs w:val="18"/>
        </w:rPr>
        <w:t>From the Shaman’s Hut to the Patent Office:</w:t>
      </w:r>
      <w:r w:rsidR="004B6959">
        <w:rPr>
          <w:i/>
          <w:iCs/>
          <w:szCs w:val="18"/>
        </w:rPr>
        <w:t xml:space="preserve"> </w:t>
      </w:r>
      <w:r w:rsidRPr="007B0297">
        <w:rPr>
          <w:i/>
          <w:iCs/>
          <w:szCs w:val="18"/>
        </w:rPr>
        <w:t>A Road Under Construction”.</w:t>
      </w:r>
      <w:r w:rsidR="004B6959">
        <w:rPr>
          <w:szCs w:val="18"/>
        </w:rPr>
        <w:t xml:space="preserve"> </w:t>
      </w:r>
      <w:r w:rsidRPr="008C41FD">
        <w:rPr>
          <w:szCs w:val="18"/>
          <w:lang w:val="es-ES"/>
        </w:rPr>
        <w:t xml:space="preserve">Capítulo 18 de </w:t>
      </w:r>
      <w:r w:rsidRPr="008C41FD">
        <w:rPr>
          <w:i/>
          <w:iCs/>
          <w:szCs w:val="18"/>
          <w:lang w:val="es-ES"/>
        </w:rPr>
        <w:t>Biodiversity and the Law</w:t>
      </w:r>
      <w:r w:rsidRPr="008C41FD">
        <w:rPr>
          <w:szCs w:val="18"/>
          <w:lang w:val="es-ES"/>
        </w:rPr>
        <w:t>, pág. 244.</w:t>
      </w:r>
    </w:p>
  </w:footnote>
  <w:footnote w:id="155">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 protección jurídica </w:t>
      </w:r>
      <w:r w:rsidRPr="008C41FD">
        <w:rPr>
          <w:iCs/>
          <w:szCs w:val="18"/>
          <w:lang w:val="es-ES"/>
        </w:rPr>
        <w:t>de las</w:t>
      </w:r>
      <w:r w:rsidRPr="008C41FD">
        <w:rPr>
          <w:i/>
          <w:iCs/>
          <w:szCs w:val="18"/>
          <w:lang w:val="es-ES"/>
        </w:rPr>
        <w:t xml:space="preserve"> </w:t>
      </w:r>
      <w:r w:rsidRPr="008C41FD">
        <w:rPr>
          <w:szCs w:val="18"/>
          <w:lang w:val="es-ES"/>
        </w:rPr>
        <w:t>expresiones culturales tradicionales, WIPO/GRTKF/IC/5/3, párr. 53.</w:t>
      </w:r>
    </w:p>
  </w:footnote>
  <w:footnote w:id="156">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szCs w:val="18"/>
          <w:lang w:val="es-ES"/>
        </w:rPr>
        <w:t xml:space="preserve"> </w:t>
      </w:r>
      <w:r w:rsidRPr="008C41FD">
        <w:rPr>
          <w:iCs/>
          <w:szCs w:val="18"/>
          <w:lang w:val="es-ES"/>
        </w:rPr>
        <w:t xml:space="preserve">en la nota 36, </w:t>
      </w:r>
      <w:r w:rsidRPr="008C41FD">
        <w:rPr>
          <w:szCs w:val="18"/>
          <w:lang w:val="es-ES"/>
        </w:rPr>
        <w:t>Parte III, párr. 42.</w:t>
      </w:r>
    </w:p>
  </w:footnote>
  <w:footnote w:id="15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Elementos de un sistema sui géneris de protección de los conocimientos tradicionales (WIPO/GRTKF/IC/4/8), párr. 27.</w:t>
      </w:r>
    </w:p>
  </w:footnote>
  <w:footnote w:id="158">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las protección jurídica de las expresiones culturales tradicionales”, WIPO/GRTKF/IC/5/3, párr. </w:t>
      </w:r>
      <w:r w:rsidRPr="007B0297">
        <w:rPr>
          <w:szCs w:val="18"/>
        </w:rPr>
        <w:t>54.</w:t>
      </w:r>
    </w:p>
  </w:footnote>
  <w:footnote w:id="159">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también Marc G. Stevenson “</w:t>
      </w:r>
      <w:r w:rsidRPr="007B0297">
        <w:rPr>
          <w:i/>
          <w:iCs/>
          <w:szCs w:val="18"/>
        </w:rPr>
        <w:t>Indigenous Knowledge in Environmental Assessments”</w:t>
      </w:r>
      <w:r w:rsidRPr="007B0297">
        <w:rPr>
          <w:szCs w:val="18"/>
        </w:rPr>
        <w:t>, 49 ARCTIC 278, 1996, pág. 281.</w:t>
      </w:r>
    </w:p>
  </w:footnote>
  <w:footnote w:id="160">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7B0297">
        <w:rPr>
          <w:szCs w:val="18"/>
        </w:rPr>
        <w:tab/>
        <w:t>Véase Fikret Berkes, “</w:t>
      </w:r>
      <w:r w:rsidRPr="007B0297">
        <w:rPr>
          <w:i/>
          <w:szCs w:val="18"/>
        </w:rPr>
        <w:t>Traditional Ecological Knowledge in Perspective.</w:t>
      </w:r>
      <w:r w:rsidR="004B6959">
        <w:rPr>
          <w:i/>
          <w:szCs w:val="18"/>
        </w:rPr>
        <w:t xml:space="preserve"> </w:t>
      </w:r>
      <w:r w:rsidRPr="008C41FD">
        <w:rPr>
          <w:i/>
          <w:szCs w:val="18"/>
          <w:lang w:val="es-ES"/>
        </w:rPr>
        <w:t>Traditional Ecological Knowledge:</w:t>
      </w:r>
      <w:r w:rsidR="004B6959">
        <w:rPr>
          <w:i/>
          <w:szCs w:val="18"/>
          <w:lang w:val="es-ES"/>
        </w:rPr>
        <w:t xml:space="preserve"> </w:t>
      </w:r>
      <w:r w:rsidRPr="008C41FD">
        <w:rPr>
          <w:i/>
          <w:szCs w:val="18"/>
          <w:lang w:val="es-ES"/>
        </w:rPr>
        <w:t>Concepts and Cases”</w:t>
      </w:r>
      <w:r w:rsidRPr="008C41FD">
        <w:rPr>
          <w:szCs w:val="18"/>
          <w:lang w:val="es-ES"/>
        </w:rPr>
        <w:t>.</w:t>
      </w:r>
      <w:r w:rsidR="004B6959">
        <w:rPr>
          <w:szCs w:val="18"/>
          <w:lang w:val="es-ES"/>
        </w:rPr>
        <w:t xml:space="preserve"> </w:t>
      </w:r>
      <w:r w:rsidRPr="008C41FD">
        <w:rPr>
          <w:szCs w:val="18"/>
          <w:lang w:val="es-ES"/>
        </w:rPr>
        <w:t>Programa Internacional sobre Conocimientos Ecológicos Tradicionales Centro Internacional de Investigaciones para el Desarrollo, Otawa.</w:t>
      </w:r>
    </w:p>
  </w:footnote>
  <w:footnote w:id="161">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25, disponible en:</w:t>
      </w:r>
      <w:r w:rsidR="004B6959">
        <w:rPr>
          <w:szCs w:val="18"/>
          <w:lang w:val="es-ES"/>
        </w:rPr>
        <w:t xml:space="preserve"> </w:t>
      </w:r>
      <w:r w:rsidRPr="008C41FD">
        <w:rPr>
          <w:szCs w:val="18"/>
          <w:lang w:val="es-ES"/>
        </w:rPr>
        <w:t>http://www.wipo.int/edocs/pubdocs/es/tk/768/wipo_pub_768.pdf.</w:t>
      </w:r>
    </w:p>
  </w:footnote>
  <w:footnote w:id="16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ab/>
        <w:t xml:space="preserve">Más información disponible en </w:t>
      </w:r>
      <w:hyperlink r:id="rId11" w:history="1">
        <w:r w:rsidRPr="008C41FD">
          <w:rPr>
            <w:rStyle w:val="Hyperlink"/>
            <w:szCs w:val="18"/>
            <w:lang w:val="es-ES"/>
          </w:rPr>
          <w:t>http://www.tkdl.res.in/tkdl/langdefault/common/Abouttkdl.asp?GL=Eng</w:t>
        </w:r>
      </w:hyperlink>
      <w:r w:rsidRPr="008C41FD">
        <w:rPr>
          <w:szCs w:val="18"/>
          <w:lang w:val="es-ES"/>
        </w:rPr>
        <w:t>.</w:t>
      </w:r>
    </w:p>
  </w:footnote>
  <w:footnote w:id="163">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w:t>
      </w:r>
      <w:r w:rsidRPr="007B0297">
        <w:rPr>
          <w:i/>
          <w:iCs/>
          <w:szCs w:val="18"/>
        </w:rPr>
        <w:t>The Role of Registers &amp; Databases in the Protection of Traditional Knowledge:</w:t>
      </w:r>
      <w:r w:rsidR="004B6959">
        <w:rPr>
          <w:i/>
          <w:iCs/>
          <w:szCs w:val="18"/>
        </w:rPr>
        <w:t xml:space="preserve"> </w:t>
      </w:r>
      <w:r w:rsidRPr="007B0297">
        <w:rPr>
          <w:i/>
          <w:iCs/>
          <w:szCs w:val="18"/>
        </w:rPr>
        <w:t>A Comparative Analysis</w:t>
      </w:r>
      <w:r w:rsidRPr="007B0297">
        <w:rPr>
          <w:iCs/>
          <w:szCs w:val="18"/>
        </w:rPr>
        <w:t>”, I</w:t>
      </w:r>
      <w:r w:rsidRPr="007B0297">
        <w:rPr>
          <w:szCs w:val="18"/>
        </w:rPr>
        <w:t>nforme UNU-IAS, enero de 2004, pág. 18.</w:t>
      </w:r>
    </w:p>
  </w:footnote>
  <w:footnote w:id="164">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65">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Más información disponible en </w:t>
      </w:r>
      <w:hyperlink r:id="rId12" w:history="1">
        <w:r w:rsidRPr="008C41FD">
          <w:rPr>
            <w:rStyle w:val="Hyperlink"/>
            <w:szCs w:val="18"/>
            <w:lang w:val="es-ES"/>
          </w:rPr>
          <w:t>http://www.tkdl.res.in/tkdl/langdefault/common/TKRC.asp?GL=Eng</w:t>
        </w:r>
      </w:hyperlink>
      <w:r w:rsidRPr="008C41FD">
        <w:rPr>
          <w:szCs w:val="18"/>
          <w:lang w:val="es-ES"/>
        </w:rPr>
        <w:t>.</w:t>
      </w:r>
    </w:p>
  </w:footnote>
  <w:footnote w:id="166">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Pautas generales de la OMS para las metodologías de investigación y evaluación de la medicina tradicional, WHO/EDM/TRM/2000.1, pág. 1.</w:t>
      </w:r>
    </w:p>
  </w:footnote>
  <w:footnote w:id="16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estrategia de la OMS sobre medicina tradicional, 2002-2005.</w:t>
      </w:r>
    </w:p>
  </w:footnote>
  <w:footnote w:id="16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69">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WIPO/GRTKF/IC/3/9.</w:t>
      </w:r>
    </w:p>
  </w:footnote>
  <w:footnote w:id="170">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“Análisis consolidado de la protección jurídica de las expresiones culturales tradicionales”, WIPO/GRTKF/IC/5/3, párr. </w:t>
      </w:r>
      <w:r w:rsidRPr="007B0297">
        <w:rPr>
          <w:szCs w:val="18"/>
        </w:rPr>
        <w:t>7.</w:t>
      </w:r>
    </w:p>
  </w:footnote>
  <w:footnote w:id="171">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Gervais, “</w:t>
      </w:r>
      <w:r w:rsidRPr="007B0297">
        <w:rPr>
          <w:i/>
          <w:szCs w:val="18"/>
        </w:rPr>
        <w:t>The TRIPS Agreement.</w:t>
      </w:r>
      <w:r w:rsidR="004B6959">
        <w:rPr>
          <w:i/>
          <w:szCs w:val="18"/>
        </w:rPr>
        <w:t xml:space="preserve"> </w:t>
      </w:r>
      <w:r w:rsidRPr="007B0297">
        <w:rPr>
          <w:i/>
          <w:szCs w:val="18"/>
        </w:rPr>
        <w:t>Drafting and Analysis”</w:t>
      </w:r>
      <w:r w:rsidRPr="007B0297">
        <w:rPr>
          <w:szCs w:val="18"/>
        </w:rPr>
        <w:t>, 3ª edición, Sweet &amp; Maxwell, pág. 132.</w:t>
      </w:r>
    </w:p>
  </w:footnote>
  <w:footnote w:id="172">
    <w:p w:rsidR="007B0297" w:rsidRPr="007B0297" w:rsidRDefault="007B0297" w:rsidP="009336EB">
      <w:pPr>
        <w:pStyle w:val="FootnoteText"/>
        <w:rPr>
          <w:lang w:val="fr-FR"/>
        </w:rPr>
      </w:pPr>
      <w:r w:rsidRPr="008C41FD">
        <w:rPr>
          <w:rStyle w:val="FootnoteReference"/>
          <w:lang w:val="es-ES"/>
        </w:rPr>
        <w:footnoteRef/>
      </w:r>
      <w:r w:rsidRPr="007B0297">
        <w:rPr>
          <w:lang w:val="fr-FR"/>
        </w:rPr>
        <w:t xml:space="preserve"> </w:t>
      </w:r>
      <w:r w:rsidRPr="007B0297">
        <w:rPr>
          <w:lang w:val="fr-FR"/>
        </w:rPr>
        <w:tab/>
        <w:t>Véase http://www.un.org/es/universal-declaration-human-rights/index.html</w:t>
      </w:r>
    </w:p>
  </w:footnote>
  <w:footnote w:id="173">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ab/>
      </w:r>
      <w:r w:rsidRPr="008C41FD">
        <w:rPr>
          <w:color w:val="000000"/>
          <w:szCs w:val="18"/>
          <w:lang w:val="es-ES"/>
        </w:rPr>
        <w:t>Guía de la OMPI para la catalogación de conocimientos tradicionales, disponible en:</w:t>
      </w:r>
      <w:r w:rsidR="004B6959">
        <w:rPr>
          <w:color w:val="000000"/>
          <w:szCs w:val="18"/>
          <w:lang w:val="es-ES"/>
        </w:rPr>
        <w:t xml:space="preserve"> </w:t>
      </w:r>
      <w:hyperlink r:id="rId13" w:history="1">
        <w:r w:rsidRPr="008C41FD">
          <w:rPr>
            <w:rStyle w:val="Hyperlink"/>
            <w:szCs w:val="18"/>
            <w:lang w:val="es-ES"/>
          </w:rPr>
          <w:t>http://www.wipo.int/publications/es/details.jsp?id=4235</w:t>
        </w:r>
      </w:hyperlink>
      <w:r w:rsidRPr="008C41FD">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814353" w:rsidRDefault="007B0297" w:rsidP="00C0409B">
    <w:pPr>
      <w:jc w:val="right"/>
      <w:rPr>
        <w:lang w:val="es-ES"/>
      </w:rPr>
    </w:pPr>
    <w:r w:rsidRPr="00814353">
      <w:rPr>
        <w:lang w:val="es-ES"/>
      </w:rPr>
      <w:t>WIPO/GRTKF/IC/</w:t>
    </w:r>
    <w:r w:rsidR="00553B0D">
      <w:rPr>
        <w:lang w:val="es-ES"/>
      </w:rPr>
      <w:t>38</w:t>
    </w:r>
    <w:r w:rsidRPr="00814353">
      <w:rPr>
        <w:lang w:val="es-ES"/>
      </w:rPr>
      <w:t>/INF/7</w:t>
    </w:r>
  </w:p>
  <w:p w:rsidR="007B0297" w:rsidRPr="00814353" w:rsidRDefault="007B0297" w:rsidP="00C0409B">
    <w:pPr>
      <w:jc w:val="right"/>
      <w:rPr>
        <w:lang w:val="es-ES"/>
      </w:rPr>
    </w:pPr>
    <w:r w:rsidRPr="00814353">
      <w:rPr>
        <w:lang w:val="es-ES"/>
      </w:rPr>
      <w:t xml:space="preserve">página </w:t>
    </w:r>
    <w:r w:rsidRPr="00814353">
      <w:rPr>
        <w:lang w:val="es-ES"/>
      </w:rPr>
      <w:fldChar w:fldCharType="begin"/>
    </w:r>
    <w:r w:rsidRPr="00814353">
      <w:rPr>
        <w:lang w:val="es-ES"/>
      </w:rPr>
      <w:instrText xml:space="preserve"> PAGE  \* MERGEFORMAT </w:instrText>
    </w:r>
    <w:r w:rsidRPr="00814353">
      <w:rPr>
        <w:lang w:val="es-ES"/>
      </w:rPr>
      <w:fldChar w:fldCharType="separate"/>
    </w:r>
    <w:r w:rsidR="00E679AC">
      <w:rPr>
        <w:noProof/>
        <w:lang w:val="es-ES"/>
      </w:rPr>
      <w:t>2</w:t>
    </w:r>
    <w:r w:rsidRPr="00814353">
      <w:rPr>
        <w:lang w:val="es-ES"/>
      </w:rPr>
      <w:fldChar w:fldCharType="end"/>
    </w:r>
  </w:p>
  <w:p w:rsidR="007B0297" w:rsidRPr="00814353" w:rsidRDefault="007B0297" w:rsidP="00C0409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FD16AB" w:rsidRDefault="007B0297" w:rsidP="00FD16AB">
    <w:pPr>
      <w:pStyle w:val="Header"/>
      <w:jc w:val="right"/>
      <w:rPr>
        <w:lang w:val="es-ES"/>
      </w:rPr>
    </w:pPr>
    <w:r>
      <w:rPr>
        <w:lang w:val="es-ES"/>
      </w:rPr>
      <w:t>WIPO/GRTKF/IC/</w:t>
    </w:r>
    <w:r w:rsidR="000B032B">
      <w:rPr>
        <w:lang w:val="es-ES"/>
      </w:rPr>
      <w:t>38</w:t>
    </w:r>
    <w:r w:rsidRPr="00FD16AB">
      <w:rPr>
        <w:lang w:val="es-ES"/>
      </w:rPr>
      <w:t>/INF/</w:t>
    </w:r>
    <w:r>
      <w:rPr>
        <w:lang w:val="es-ES"/>
      </w:rPr>
      <w:t>7</w:t>
    </w:r>
  </w:p>
  <w:p w:rsidR="007B0297" w:rsidRPr="00FD16AB" w:rsidRDefault="007B0297"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F266F3">
      <w:rPr>
        <w:noProof/>
        <w:lang w:val="pt-BR"/>
      </w:rPr>
      <w:t>48</w:t>
    </w:r>
    <w:r>
      <w:fldChar w:fldCharType="end"/>
    </w:r>
  </w:p>
  <w:p w:rsidR="007B0297" w:rsidRPr="00FD16AB" w:rsidRDefault="007B0297"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7B0297" w:rsidRDefault="007B0297" w:rsidP="00FD16AB">
    <w:pPr>
      <w:pStyle w:val="Header"/>
      <w:jc w:val="right"/>
    </w:pPr>
    <w:r w:rsidRPr="007B0297">
      <w:t>WIPO/GRTKF/IC/</w:t>
    </w:r>
    <w:r w:rsidR="000B032B">
      <w:t>38</w:t>
    </w:r>
    <w:r w:rsidRPr="007B0297">
      <w:t>/INF/7</w:t>
    </w:r>
  </w:p>
  <w:p w:rsidR="007B0297" w:rsidRPr="007B0297" w:rsidRDefault="007B0297" w:rsidP="00FD16AB">
    <w:pPr>
      <w:pStyle w:val="Header"/>
      <w:jc w:val="right"/>
    </w:pPr>
    <w:r w:rsidRPr="006504FE">
      <w:t>ANEXO</w:t>
    </w:r>
  </w:p>
  <w:p w:rsidR="007B0297" w:rsidRPr="007B0297" w:rsidRDefault="007B0297" w:rsidP="000767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7FA4"/>
    <w:rsid w:val="00043CAA"/>
    <w:rsid w:val="00045FA4"/>
    <w:rsid w:val="000564DE"/>
    <w:rsid w:val="00074E67"/>
    <w:rsid w:val="00075432"/>
    <w:rsid w:val="000767BC"/>
    <w:rsid w:val="0009484E"/>
    <w:rsid w:val="00094903"/>
    <w:rsid w:val="00094E7B"/>
    <w:rsid w:val="000964E1"/>
    <w:rsid w:val="000968ED"/>
    <w:rsid w:val="000A1E7C"/>
    <w:rsid w:val="000B032B"/>
    <w:rsid w:val="000B47FC"/>
    <w:rsid w:val="000C7425"/>
    <w:rsid w:val="000D1775"/>
    <w:rsid w:val="000D44C6"/>
    <w:rsid w:val="000D52CA"/>
    <w:rsid w:val="000D5434"/>
    <w:rsid w:val="000D690A"/>
    <w:rsid w:val="000E2132"/>
    <w:rsid w:val="000E32BB"/>
    <w:rsid w:val="000E72CA"/>
    <w:rsid w:val="000F3E95"/>
    <w:rsid w:val="000F5E56"/>
    <w:rsid w:val="000F7217"/>
    <w:rsid w:val="001011D2"/>
    <w:rsid w:val="001031A1"/>
    <w:rsid w:val="0010357F"/>
    <w:rsid w:val="00103D66"/>
    <w:rsid w:val="001059FC"/>
    <w:rsid w:val="001362EE"/>
    <w:rsid w:val="00143EB0"/>
    <w:rsid w:val="0014698C"/>
    <w:rsid w:val="00146C9D"/>
    <w:rsid w:val="00155D0B"/>
    <w:rsid w:val="00156388"/>
    <w:rsid w:val="001832A6"/>
    <w:rsid w:val="001A1A38"/>
    <w:rsid w:val="001A7750"/>
    <w:rsid w:val="001B0533"/>
    <w:rsid w:val="001C1D99"/>
    <w:rsid w:val="001C2D72"/>
    <w:rsid w:val="001E1971"/>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32A2"/>
    <w:rsid w:val="002D59C0"/>
    <w:rsid w:val="002E136F"/>
    <w:rsid w:val="002F1FE6"/>
    <w:rsid w:val="002F3EBD"/>
    <w:rsid w:val="002F4E68"/>
    <w:rsid w:val="002F5651"/>
    <w:rsid w:val="002F6443"/>
    <w:rsid w:val="002F7E37"/>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7547D"/>
    <w:rsid w:val="003845C1"/>
    <w:rsid w:val="003A2633"/>
    <w:rsid w:val="003A3D0E"/>
    <w:rsid w:val="003A6F89"/>
    <w:rsid w:val="003B2B8B"/>
    <w:rsid w:val="003B38C1"/>
    <w:rsid w:val="003B3B0A"/>
    <w:rsid w:val="003F320C"/>
    <w:rsid w:val="004017AF"/>
    <w:rsid w:val="004058FC"/>
    <w:rsid w:val="00412C61"/>
    <w:rsid w:val="00416016"/>
    <w:rsid w:val="0042230B"/>
    <w:rsid w:val="0042334B"/>
    <w:rsid w:val="00423E3E"/>
    <w:rsid w:val="00427AF4"/>
    <w:rsid w:val="004338FE"/>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B6959"/>
    <w:rsid w:val="004C2215"/>
    <w:rsid w:val="004C382A"/>
    <w:rsid w:val="004C4A67"/>
    <w:rsid w:val="004D1933"/>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B0D"/>
    <w:rsid w:val="00553D5E"/>
    <w:rsid w:val="00560A29"/>
    <w:rsid w:val="0057535D"/>
    <w:rsid w:val="0059568D"/>
    <w:rsid w:val="005957EB"/>
    <w:rsid w:val="005A4A15"/>
    <w:rsid w:val="005C21FD"/>
    <w:rsid w:val="005C4DF4"/>
    <w:rsid w:val="005C6649"/>
    <w:rsid w:val="005C78D1"/>
    <w:rsid w:val="005D598D"/>
    <w:rsid w:val="005D6E7F"/>
    <w:rsid w:val="005E225C"/>
    <w:rsid w:val="005E60D3"/>
    <w:rsid w:val="006008CD"/>
    <w:rsid w:val="00604A21"/>
    <w:rsid w:val="00605827"/>
    <w:rsid w:val="0061243C"/>
    <w:rsid w:val="00622518"/>
    <w:rsid w:val="00625A46"/>
    <w:rsid w:val="006271CE"/>
    <w:rsid w:val="006375AD"/>
    <w:rsid w:val="00637CA1"/>
    <w:rsid w:val="00642D79"/>
    <w:rsid w:val="00646050"/>
    <w:rsid w:val="006504FE"/>
    <w:rsid w:val="006526C6"/>
    <w:rsid w:val="006614B8"/>
    <w:rsid w:val="006713CA"/>
    <w:rsid w:val="00672806"/>
    <w:rsid w:val="006748FD"/>
    <w:rsid w:val="00676C5C"/>
    <w:rsid w:val="006936CA"/>
    <w:rsid w:val="006B4668"/>
    <w:rsid w:val="006D6623"/>
    <w:rsid w:val="006D7A9A"/>
    <w:rsid w:val="006E1BA9"/>
    <w:rsid w:val="006F04FE"/>
    <w:rsid w:val="006F22AA"/>
    <w:rsid w:val="006F3206"/>
    <w:rsid w:val="006F56A7"/>
    <w:rsid w:val="007045E0"/>
    <w:rsid w:val="007157D1"/>
    <w:rsid w:val="00733723"/>
    <w:rsid w:val="00741D5F"/>
    <w:rsid w:val="007440DC"/>
    <w:rsid w:val="00747CEF"/>
    <w:rsid w:val="00765094"/>
    <w:rsid w:val="00774F99"/>
    <w:rsid w:val="00780036"/>
    <w:rsid w:val="00783849"/>
    <w:rsid w:val="007B0297"/>
    <w:rsid w:val="007D1613"/>
    <w:rsid w:val="007D456B"/>
    <w:rsid w:val="007E4E44"/>
    <w:rsid w:val="007F5DDF"/>
    <w:rsid w:val="008030F2"/>
    <w:rsid w:val="008040C8"/>
    <w:rsid w:val="00814353"/>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86929"/>
    <w:rsid w:val="00894779"/>
    <w:rsid w:val="008949DE"/>
    <w:rsid w:val="008A01A4"/>
    <w:rsid w:val="008B2CC1"/>
    <w:rsid w:val="008B60B2"/>
    <w:rsid w:val="008C07C1"/>
    <w:rsid w:val="008C41FD"/>
    <w:rsid w:val="008C57E4"/>
    <w:rsid w:val="008D118B"/>
    <w:rsid w:val="008D380A"/>
    <w:rsid w:val="008D49E2"/>
    <w:rsid w:val="008E0219"/>
    <w:rsid w:val="008F7FE0"/>
    <w:rsid w:val="0090646F"/>
    <w:rsid w:val="0090731E"/>
    <w:rsid w:val="00915660"/>
    <w:rsid w:val="00916EE2"/>
    <w:rsid w:val="00922372"/>
    <w:rsid w:val="009260D2"/>
    <w:rsid w:val="009318CE"/>
    <w:rsid w:val="0093362A"/>
    <w:rsid w:val="009336EB"/>
    <w:rsid w:val="00934B09"/>
    <w:rsid w:val="009441BC"/>
    <w:rsid w:val="009458A8"/>
    <w:rsid w:val="00953AB4"/>
    <w:rsid w:val="00953F7E"/>
    <w:rsid w:val="00966A22"/>
    <w:rsid w:val="0096722F"/>
    <w:rsid w:val="00972074"/>
    <w:rsid w:val="009737E4"/>
    <w:rsid w:val="00976194"/>
    <w:rsid w:val="00980843"/>
    <w:rsid w:val="00992FE7"/>
    <w:rsid w:val="009931F8"/>
    <w:rsid w:val="00993649"/>
    <w:rsid w:val="00997FCD"/>
    <w:rsid w:val="009A2ED7"/>
    <w:rsid w:val="009A58DA"/>
    <w:rsid w:val="009B3640"/>
    <w:rsid w:val="009C1E64"/>
    <w:rsid w:val="009C2916"/>
    <w:rsid w:val="009C75E5"/>
    <w:rsid w:val="009D07C4"/>
    <w:rsid w:val="009D6ADF"/>
    <w:rsid w:val="009E2791"/>
    <w:rsid w:val="009E3F6F"/>
    <w:rsid w:val="009F05E9"/>
    <w:rsid w:val="009F1322"/>
    <w:rsid w:val="009F499F"/>
    <w:rsid w:val="00A11238"/>
    <w:rsid w:val="00A11425"/>
    <w:rsid w:val="00A120FA"/>
    <w:rsid w:val="00A17561"/>
    <w:rsid w:val="00A40D33"/>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16297"/>
    <w:rsid w:val="00B213F2"/>
    <w:rsid w:val="00B30BEE"/>
    <w:rsid w:val="00B30DC2"/>
    <w:rsid w:val="00B4005E"/>
    <w:rsid w:val="00B834A4"/>
    <w:rsid w:val="00B83DA9"/>
    <w:rsid w:val="00B9589B"/>
    <w:rsid w:val="00B9734B"/>
    <w:rsid w:val="00B9789F"/>
    <w:rsid w:val="00BA6F87"/>
    <w:rsid w:val="00BB5CE9"/>
    <w:rsid w:val="00BC08BF"/>
    <w:rsid w:val="00BD1067"/>
    <w:rsid w:val="00BE1053"/>
    <w:rsid w:val="00BE1342"/>
    <w:rsid w:val="00BE2812"/>
    <w:rsid w:val="00BE2F3A"/>
    <w:rsid w:val="00BE77C3"/>
    <w:rsid w:val="00C0409B"/>
    <w:rsid w:val="00C1047B"/>
    <w:rsid w:val="00C1071C"/>
    <w:rsid w:val="00C11BFE"/>
    <w:rsid w:val="00C14B49"/>
    <w:rsid w:val="00C17F0A"/>
    <w:rsid w:val="00C24890"/>
    <w:rsid w:val="00C274E9"/>
    <w:rsid w:val="00C276B3"/>
    <w:rsid w:val="00C30FFA"/>
    <w:rsid w:val="00C54BEF"/>
    <w:rsid w:val="00C64D57"/>
    <w:rsid w:val="00C678D9"/>
    <w:rsid w:val="00C71577"/>
    <w:rsid w:val="00C760DD"/>
    <w:rsid w:val="00CB3022"/>
    <w:rsid w:val="00CB6F18"/>
    <w:rsid w:val="00CB79CA"/>
    <w:rsid w:val="00CC170C"/>
    <w:rsid w:val="00CC635A"/>
    <w:rsid w:val="00CD4ACB"/>
    <w:rsid w:val="00CF4996"/>
    <w:rsid w:val="00CF4C92"/>
    <w:rsid w:val="00D01586"/>
    <w:rsid w:val="00D043A4"/>
    <w:rsid w:val="00D0713E"/>
    <w:rsid w:val="00D14703"/>
    <w:rsid w:val="00D159DA"/>
    <w:rsid w:val="00D3631E"/>
    <w:rsid w:val="00D4348B"/>
    <w:rsid w:val="00D45252"/>
    <w:rsid w:val="00D60EDC"/>
    <w:rsid w:val="00D64FD1"/>
    <w:rsid w:val="00D71566"/>
    <w:rsid w:val="00D71B4D"/>
    <w:rsid w:val="00D77AC5"/>
    <w:rsid w:val="00D85A65"/>
    <w:rsid w:val="00D87BB6"/>
    <w:rsid w:val="00D93D55"/>
    <w:rsid w:val="00D9572E"/>
    <w:rsid w:val="00DA6D81"/>
    <w:rsid w:val="00DD1DBB"/>
    <w:rsid w:val="00DF77BC"/>
    <w:rsid w:val="00E04EE9"/>
    <w:rsid w:val="00E1039C"/>
    <w:rsid w:val="00E31B99"/>
    <w:rsid w:val="00E335FE"/>
    <w:rsid w:val="00E37C06"/>
    <w:rsid w:val="00E428EF"/>
    <w:rsid w:val="00E63C78"/>
    <w:rsid w:val="00E65B9C"/>
    <w:rsid w:val="00E6718D"/>
    <w:rsid w:val="00E679AC"/>
    <w:rsid w:val="00E7198C"/>
    <w:rsid w:val="00E7501B"/>
    <w:rsid w:val="00E92472"/>
    <w:rsid w:val="00EA20C4"/>
    <w:rsid w:val="00EB414C"/>
    <w:rsid w:val="00EC189A"/>
    <w:rsid w:val="00EC40A4"/>
    <w:rsid w:val="00EC4E49"/>
    <w:rsid w:val="00EC5F29"/>
    <w:rsid w:val="00ED77FB"/>
    <w:rsid w:val="00EE45FA"/>
    <w:rsid w:val="00EF1C60"/>
    <w:rsid w:val="00F013F7"/>
    <w:rsid w:val="00F02D51"/>
    <w:rsid w:val="00F065CA"/>
    <w:rsid w:val="00F148D4"/>
    <w:rsid w:val="00F15270"/>
    <w:rsid w:val="00F20457"/>
    <w:rsid w:val="00F266F3"/>
    <w:rsid w:val="00F43586"/>
    <w:rsid w:val="00F51375"/>
    <w:rsid w:val="00F66152"/>
    <w:rsid w:val="00F7494E"/>
    <w:rsid w:val="00F77B93"/>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databases/contracts/index.html" TargetMode="External"/><Relationship Id="rId13" Type="http://schemas.openxmlformats.org/officeDocument/2006/relationships/hyperlink" Target="http://www.wipo.int/publications/es/details.jsp?id=4235" TargetMode="External"/><Relationship Id="rId3" Type="http://schemas.openxmlformats.org/officeDocument/2006/relationships/hyperlink" Target="https://www.unenvironment.org/resources/report/glossary-terms-negotiators-multilateral-environmental-agreements" TargetMode="External"/><Relationship Id="rId7" Type="http://schemas.openxmlformats.org/officeDocument/2006/relationships/hyperlink" Target="http://www.wipo.int/export/sites/www/tk/en/resources/pdf/overview_customary_law.pdfhttp:/www.wipo.int/tk/es/consultations/customary_law/index.html" TargetMode="External"/><Relationship Id="rId12" Type="http://schemas.openxmlformats.org/officeDocument/2006/relationships/hyperlink" Target="http://www.tkdl.res.in/tkdl/langdefault/common/TKRC.asp?GL=Eng"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fao-statement-on-biotechnology/es/" TargetMode="External"/><Relationship Id="rId6" Type="http://schemas.openxmlformats.org/officeDocument/2006/relationships/hyperlink" Target="http://unesdoc.unesco.org/images/0012/001277/127784s.pdf" TargetMode="External"/><Relationship Id="rId11" Type="http://schemas.openxmlformats.org/officeDocument/2006/relationships/hyperlink" Target="http://www.tkdl.res.in/tkdl/langdefault/common/Abouttkdl.asp?GL=Eng" TargetMode="External"/><Relationship Id="rId5" Type="http://schemas.openxmlformats.org/officeDocument/2006/relationships/hyperlink" Target="http://www.wipo.int/export/sites/www/tk/en/resources/pdf/overview_customary_law.pdfhttp:/www.wipo.int/tk/es/consultations/customary_law/index.html" TargetMode="External"/><Relationship Id="rId10" Type="http://schemas.openxmlformats.org/officeDocument/2006/relationships/hyperlink" Target="http://www.wipo.int/copyright/es/limitations/index.html" TargetMode="External"/><Relationship Id="rId4" Type="http://schemas.openxmlformats.org/officeDocument/2006/relationships/hyperlink" Target="http://www.vocabularyserver.com/unesco/en/index.php?tema=2526&amp;/cultural-identity" TargetMode="External"/><Relationship Id="rId9" Type="http://schemas.openxmlformats.org/officeDocument/2006/relationships/hyperlink" Target="http://wedocs.unep.org/handle/20.500.11822/7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55D3-BAEB-4193-BA09-A399D0A7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25102</Words>
  <Characters>140639</Characters>
  <Application>Microsoft Office Word</Application>
  <DocSecurity>0</DocSecurity>
  <Lines>1171</Lines>
  <Paragraphs>330</Paragraphs>
  <ScaleCrop>false</ScaleCrop>
  <HeadingPairs>
    <vt:vector size="2" baseType="variant">
      <vt:variant>
        <vt:lpstr>Title</vt:lpstr>
      </vt:variant>
      <vt:variant>
        <vt:i4>1</vt:i4>
      </vt:variant>
    </vt:vector>
  </HeadingPairs>
  <TitlesOfParts>
    <vt:vector size="1" baseType="lpstr">
      <vt:lpstr>WIPO/GRTKF/IC/36/INF/7 - 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WIPO/GRTKF/IC/36/INF/7 - Glosario de los términos más importantes relacionados con la propiedad intelectual y los recursos genéticos, los conocimientos tradicionales y las expresiones culturales tradicionales</dc:title>
  <dc:subject>WIPO/GRTKF/IC/32/1 Prov</dc:subject>
  <dc:creator>MIGLIORE Liliana</dc:creator>
  <dc:description>Copiado del anterior.</dc:description>
  <cp:lastModifiedBy>CEVALLOS DUQUE Nilo</cp:lastModifiedBy>
  <cp:revision>2</cp:revision>
  <cp:lastPrinted>2016-08-10T11:30:00Z</cp:lastPrinted>
  <dcterms:created xsi:type="dcterms:W3CDTF">2018-10-19T09:32:00Z</dcterms:created>
  <dcterms:modified xsi:type="dcterms:W3CDTF">2018-10-19T09:32:00Z</dcterms:modified>
</cp:coreProperties>
</file>