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4698C" w:rsidRPr="000D5434" w:rsidTr="00D64FD1">
        <w:trPr>
          <w:trHeight w:val="2410"/>
        </w:trPr>
        <w:tc>
          <w:tcPr>
            <w:tcW w:w="4513" w:type="dxa"/>
            <w:tcBorders>
              <w:bottom w:val="single" w:sz="4" w:space="0" w:color="auto"/>
            </w:tcBorders>
            <w:tcMar>
              <w:bottom w:w="170" w:type="dxa"/>
            </w:tcMar>
          </w:tcPr>
          <w:p w:rsidR="00EC4E49" w:rsidRPr="000D5434" w:rsidRDefault="00EC4E49" w:rsidP="00103D66">
            <w:pPr>
              <w:rPr>
                <w:lang w:val="es-ES"/>
              </w:rPr>
            </w:pPr>
          </w:p>
        </w:tc>
        <w:tc>
          <w:tcPr>
            <w:tcW w:w="4337" w:type="dxa"/>
            <w:tcBorders>
              <w:bottom w:val="single" w:sz="4" w:space="0" w:color="auto"/>
            </w:tcBorders>
            <w:tcMar>
              <w:left w:w="0" w:type="dxa"/>
              <w:right w:w="0" w:type="dxa"/>
            </w:tcMar>
          </w:tcPr>
          <w:p w:rsidR="00EC4E49" w:rsidRPr="000D5434" w:rsidRDefault="00A11425" w:rsidP="00103D66">
            <w:pPr>
              <w:rPr>
                <w:lang w:val="es-ES"/>
              </w:rPr>
            </w:pPr>
            <w:r w:rsidRPr="000D5434">
              <w:rPr>
                <w:noProof/>
                <w:lang w:val="en-GB" w:eastAsia="en-GB"/>
              </w:rPr>
              <w:drawing>
                <wp:inline distT="0" distB="0" distL="0" distR="0" wp14:anchorId="56657DA3" wp14:editId="0E91B32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D5434" w:rsidRDefault="00A11425" w:rsidP="00103D66">
            <w:pPr>
              <w:jc w:val="right"/>
              <w:rPr>
                <w:lang w:val="es-ES"/>
              </w:rPr>
            </w:pPr>
            <w:r w:rsidRPr="000D5434">
              <w:rPr>
                <w:b/>
                <w:sz w:val="40"/>
                <w:szCs w:val="40"/>
                <w:lang w:val="es-ES"/>
              </w:rPr>
              <w:t>S</w:t>
            </w:r>
          </w:p>
        </w:tc>
      </w:tr>
      <w:tr w:rsidR="0014698C" w:rsidRPr="000D543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D5434" w:rsidRDefault="00231FD1" w:rsidP="000D5434">
            <w:pPr>
              <w:jc w:val="right"/>
              <w:rPr>
                <w:rFonts w:ascii="Arial Black" w:hAnsi="Arial Black"/>
                <w:caps/>
                <w:sz w:val="15"/>
                <w:lang w:val="es-ES"/>
              </w:rPr>
            </w:pPr>
            <w:bookmarkStart w:id="0" w:name="Code"/>
            <w:bookmarkEnd w:id="0"/>
            <w:r w:rsidRPr="000D5434">
              <w:rPr>
                <w:rFonts w:ascii="Arial Black" w:hAnsi="Arial Black"/>
                <w:caps/>
                <w:sz w:val="15"/>
                <w:lang w:val="es-ES"/>
              </w:rPr>
              <w:t>WIPO/GRTKF/IC/</w:t>
            </w:r>
            <w:r w:rsidR="00CC1AFF">
              <w:rPr>
                <w:rFonts w:ascii="Arial Black" w:hAnsi="Arial Black"/>
                <w:caps/>
                <w:sz w:val="15"/>
                <w:lang w:val="es-ES"/>
              </w:rPr>
              <w:t>39</w:t>
            </w:r>
            <w:r w:rsidR="00FB1F55" w:rsidRPr="000D5434">
              <w:rPr>
                <w:rFonts w:ascii="Arial Black" w:hAnsi="Arial Black"/>
                <w:caps/>
                <w:sz w:val="15"/>
                <w:lang w:val="es-ES"/>
              </w:rPr>
              <w:t>/</w:t>
            </w:r>
            <w:r w:rsidR="00FD16AB" w:rsidRPr="000D5434">
              <w:rPr>
                <w:rFonts w:ascii="Arial Black" w:hAnsi="Arial Black"/>
                <w:caps/>
                <w:sz w:val="15"/>
                <w:lang w:val="es-ES"/>
              </w:rPr>
              <w:t>INF/</w:t>
            </w:r>
            <w:r w:rsidR="008F7FE0" w:rsidRPr="000D5434">
              <w:rPr>
                <w:rFonts w:ascii="Arial Black" w:hAnsi="Arial Black"/>
                <w:caps/>
                <w:sz w:val="15"/>
                <w:lang w:val="es-ES"/>
              </w:rPr>
              <w:t>7</w:t>
            </w:r>
          </w:p>
        </w:tc>
      </w:tr>
      <w:tr w:rsidR="0014698C" w:rsidRPr="000D5434" w:rsidTr="00916EE2">
        <w:trPr>
          <w:trHeight w:hRule="exact" w:val="170"/>
        </w:trPr>
        <w:tc>
          <w:tcPr>
            <w:tcW w:w="9356" w:type="dxa"/>
            <w:gridSpan w:val="3"/>
            <w:noWrap/>
            <w:tcMar>
              <w:left w:w="0" w:type="dxa"/>
              <w:right w:w="0" w:type="dxa"/>
            </w:tcMar>
            <w:vAlign w:val="bottom"/>
          </w:tcPr>
          <w:p w:rsidR="008B2CC1" w:rsidRPr="000D5434" w:rsidRDefault="008B2CC1" w:rsidP="00103D66">
            <w:pPr>
              <w:jc w:val="right"/>
              <w:rPr>
                <w:rFonts w:ascii="Arial Black" w:hAnsi="Arial Black"/>
                <w:caps/>
                <w:sz w:val="15"/>
                <w:lang w:val="es-ES"/>
              </w:rPr>
            </w:pPr>
            <w:r w:rsidRPr="000D5434">
              <w:rPr>
                <w:rFonts w:ascii="Arial Black" w:hAnsi="Arial Black"/>
                <w:caps/>
                <w:sz w:val="15"/>
                <w:lang w:val="es-ES"/>
              </w:rPr>
              <w:t>ORIGINAL:</w:t>
            </w:r>
            <w:r w:rsidR="00B834A4" w:rsidRPr="000D5434">
              <w:rPr>
                <w:rFonts w:ascii="Arial Black" w:hAnsi="Arial Black"/>
                <w:caps/>
                <w:sz w:val="15"/>
                <w:lang w:val="es-ES"/>
              </w:rPr>
              <w:t xml:space="preserve"> </w:t>
            </w:r>
            <w:bookmarkStart w:id="1" w:name="Original"/>
            <w:bookmarkEnd w:id="1"/>
            <w:r w:rsidR="00A11425" w:rsidRPr="000D5434">
              <w:rPr>
                <w:rFonts w:ascii="Arial Black" w:hAnsi="Arial Black"/>
                <w:caps/>
                <w:sz w:val="15"/>
                <w:lang w:val="es-ES"/>
              </w:rPr>
              <w:t>INGLÉS</w:t>
            </w:r>
          </w:p>
        </w:tc>
      </w:tr>
      <w:tr w:rsidR="0014698C" w:rsidRPr="000D5434" w:rsidTr="00916EE2">
        <w:trPr>
          <w:trHeight w:hRule="exact" w:val="198"/>
        </w:trPr>
        <w:tc>
          <w:tcPr>
            <w:tcW w:w="9356" w:type="dxa"/>
            <w:gridSpan w:val="3"/>
            <w:tcMar>
              <w:left w:w="0" w:type="dxa"/>
              <w:right w:w="0" w:type="dxa"/>
            </w:tcMar>
            <w:vAlign w:val="bottom"/>
          </w:tcPr>
          <w:p w:rsidR="008B2CC1" w:rsidRPr="000D5434" w:rsidRDefault="00A11425" w:rsidP="00CC1AFF">
            <w:pPr>
              <w:jc w:val="right"/>
              <w:rPr>
                <w:rFonts w:ascii="Arial Black" w:hAnsi="Arial Black"/>
                <w:caps/>
                <w:sz w:val="15"/>
                <w:lang w:val="es-ES"/>
              </w:rPr>
            </w:pPr>
            <w:r w:rsidRPr="000D5434">
              <w:rPr>
                <w:rFonts w:ascii="Arial Black" w:hAnsi="Arial Black"/>
                <w:caps/>
                <w:sz w:val="15"/>
                <w:lang w:val="es-ES"/>
              </w:rPr>
              <w:t>FECHA</w:t>
            </w:r>
            <w:r w:rsidR="008B2CC1" w:rsidRPr="000D5434">
              <w:rPr>
                <w:rFonts w:ascii="Arial Black" w:hAnsi="Arial Black"/>
                <w:caps/>
                <w:sz w:val="15"/>
                <w:lang w:val="es-ES"/>
              </w:rPr>
              <w:t>:</w:t>
            </w:r>
            <w:r w:rsidR="004E4447" w:rsidRPr="000D5434">
              <w:rPr>
                <w:rFonts w:ascii="Arial Black" w:hAnsi="Arial Black"/>
                <w:caps/>
                <w:sz w:val="15"/>
                <w:lang w:val="es-ES"/>
              </w:rPr>
              <w:t xml:space="preserve"> </w:t>
            </w:r>
            <w:bookmarkStart w:id="2" w:name="Date"/>
            <w:bookmarkEnd w:id="2"/>
            <w:r w:rsidR="00CC1AFF">
              <w:rPr>
                <w:rFonts w:ascii="Arial Black" w:hAnsi="Arial Black"/>
                <w:caps/>
                <w:sz w:val="15"/>
                <w:lang w:val="es-ES"/>
              </w:rPr>
              <w:t>10</w:t>
            </w:r>
            <w:r w:rsidR="000D5434" w:rsidRPr="000D5434">
              <w:rPr>
                <w:rFonts w:ascii="Arial Black" w:hAnsi="Arial Black"/>
                <w:caps/>
                <w:sz w:val="15"/>
                <w:lang w:val="es-ES"/>
              </w:rPr>
              <w:t xml:space="preserve"> DE </w:t>
            </w:r>
            <w:r w:rsidR="00CC1AFF">
              <w:rPr>
                <w:rFonts w:ascii="Arial Black" w:hAnsi="Arial Black"/>
                <w:caps/>
                <w:sz w:val="15"/>
                <w:lang w:val="es-ES"/>
              </w:rPr>
              <w:t>enero</w:t>
            </w:r>
            <w:r w:rsidRPr="000D5434">
              <w:rPr>
                <w:rFonts w:ascii="Arial Black" w:hAnsi="Arial Black"/>
                <w:caps/>
                <w:sz w:val="15"/>
                <w:lang w:val="es-ES"/>
              </w:rPr>
              <w:t xml:space="preserve"> DE</w:t>
            </w:r>
            <w:r w:rsidR="007157D1" w:rsidRPr="000D5434">
              <w:rPr>
                <w:rFonts w:ascii="Arial Black" w:hAnsi="Arial Black"/>
                <w:caps/>
                <w:sz w:val="15"/>
                <w:lang w:val="es-ES"/>
              </w:rPr>
              <w:t xml:space="preserve"> 201</w:t>
            </w:r>
            <w:r w:rsidR="00CC1AFF">
              <w:rPr>
                <w:rFonts w:ascii="Arial Black" w:hAnsi="Arial Black"/>
                <w:caps/>
                <w:sz w:val="15"/>
                <w:lang w:val="es-ES"/>
              </w:rPr>
              <w:t>9</w:t>
            </w:r>
          </w:p>
        </w:tc>
      </w:tr>
    </w:tbl>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lang w:val="es-ES"/>
        </w:rPr>
      </w:pPr>
    </w:p>
    <w:p w:rsidR="00AF565C" w:rsidRPr="000D5434" w:rsidRDefault="00AF565C" w:rsidP="00103D66">
      <w:pPr>
        <w:rPr>
          <w:b/>
          <w:sz w:val="28"/>
          <w:szCs w:val="28"/>
          <w:lang w:val="es-ES"/>
        </w:rPr>
      </w:pPr>
      <w:r w:rsidRPr="000D5434">
        <w:rPr>
          <w:b/>
          <w:sz w:val="28"/>
          <w:szCs w:val="28"/>
          <w:lang w:val="es-ES"/>
        </w:rPr>
        <w:t>Comité Intergubernamental sobre Propiedad Intelectual y Recursos Genéticos, Conocimientos Tradicionales y Folclore</w:t>
      </w:r>
    </w:p>
    <w:p w:rsidR="00AF565C" w:rsidRPr="000D5434" w:rsidRDefault="00AF565C" w:rsidP="00103D66">
      <w:pPr>
        <w:rPr>
          <w:lang w:val="es-ES"/>
        </w:rPr>
      </w:pPr>
    </w:p>
    <w:p w:rsidR="00AF565C" w:rsidRPr="000D5434" w:rsidRDefault="00AF565C" w:rsidP="00103D66">
      <w:pPr>
        <w:rPr>
          <w:lang w:val="es-ES"/>
        </w:rPr>
      </w:pPr>
    </w:p>
    <w:p w:rsidR="00AF565C" w:rsidRPr="000D5434" w:rsidRDefault="000964E1" w:rsidP="00103D66">
      <w:pPr>
        <w:rPr>
          <w:b/>
          <w:sz w:val="24"/>
          <w:szCs w:val="24"/>
          <w:lang w:val="es-ES"/>
        </w:rPr>
      </w:pPr>
      <w:r w:rsidRPr="000D5434">
        <w:rPr>
          <w:b/>
          <w:sz w:val="24"/>
          <w:szCs w:val="24"/>
          <w:lang w:val="es-ES"/>
        </w:rPr>
        <w:t xml:space="preserve">Trigésima </w:t>
      </w:r>
      <w:r w:rsidR="00CC1AFF">
        <w:rPr>
          <w:b/>
          <w:sz w:val="24"/>
          <w:szCs w:val="24"/>
          <w:lang w:val="es-ES"/>
        </w:rPr>
        <w:t>novena</w:t>
      </w:r>
      <w:r w:rsidR="00231FD1" w:rsidRPr="000D5434">
        <w:rPr>
          <w:b/>
          <w:sz w:val="24"/>
          <w:szCs w:val="24"/>
          <w:lang w:val="es-ES"/>
        </w:rPr>
        <w:t xml:space="preserve"> </w:t>
      </w:r>
      <w:r w:rsidR="00AF565C" w:rsidRPr="000D5434">
        <w:rPr>
          <w:b/>
          <w:sz w:val="24"/>
          <w:szCs w:val="24"/>
          <w:lang w:val="es-ES"/>
        </w:rPr>
        <w:t>sesión</w:t>
      </w:r>
    </w:p>
    <w:p w:rsidR="00AF565C" w:rsidRPr="000D5434" w:rsidRDefault="00B30BEE" w:rsidP="00103D66">
      <w:pPr>
        <w:rPr>
          <w:b/>
          <w:sz w:val="24"/>
          <w:szCs w:val="24"/>
          <w:lang w:val="es-ES"/>
        </w:rPr>
      </w:pPr>
      <w:r w:rsidRPr="000D5434">
        <w:rPr>
          <w:b/>
          <w:sz w:val="24"/>
          <w:szCs w:val="24"/>
          <w:lang w:val="es-ES"/>
        </w:rPr>
        <w:t xml:space="preserve">Ginebra, </w:t>
      </w:r>
      <w:r w:rsidR="00CC1AFF">
        <w:rPr>
          <w:b/>
          <w:sz w:val="24"/>
          <w:szCs w:val="24"/>
          <w:lang w:val="es-ES"/>
        </w:rPr>
        <w:t>18 a 22 de marzo</w:t>
      </w:r>
      <w:r w:rsidR="000D5434" w:rsidRPr="000D5434">
        <w:rPr>
          <w:b/>
          <w:sz w:val="24"/>
          <w:szCs w:val="24"/>
          <w:lang w:val="es-ES"/>
        </w:rPr>
        <w:t xml:space="preserve"> </w:t>
      </w:r>
      <w:r w:rsidR="00CC1AFF">
        <w:rPr>
          <w:b/>
          <w:sz w:val="24"/>
          <w:szCs w:val="24"/>
          <w:lang w:val="es-ES"/>
        </w:rPr>
        <w:t>de 2019</w:t>
      </w:r>
    </w:p>
    <w:p w:rsidR="00AF565C" w:rsidRPr="000D5434" w:rsidRDefault="00AF565C" w:rsidP="00103D66">
      <w:pPr>
        <w:rPr>
          <w:lang w:val="es-ES"/>
        </w:rPr>
      </w:pPr>
    </w:p>
    <w:p w:rsidR="00C0409B" w:rsidRPr="000D5434" w:rsidRDefault="00C0409B" w:rsidP="00103D66">
      <w:pPr>
        <w:rPr>
          <w:caps/>
          <w:sz w:val="24"/>
          <w:lang w:val="es-ES"/>
        </w:rPr>
      </w:pPr>
      <w:r w:rsidRPr="000D5434">
        <w:rPr>
          <w:caps/>
          <w:sz w:val="24"/>
          <w:lang w:val="es-ES"/>
        </w:rPr>
        <w:t>GLOSARIO DE LOS TÉRMINOS MÁS IMPORTANTES RELACIONADOS CON LA PROPIEDAD INTELECTUAL Y LOS RECURSOS GENÉTICOS, LOS CONOCIMIENTOS TRADICIONALES Y LAS EXPRESIONES CULTURALES TRADICIONALES</w:t>
      </w:r>
    </w:p>
    <w:p w:rsidR="00C0409B" w:rsidRPr="000D5434" w:rsidRDefault="00C0409B" w:rsidP="00103D66">
      <w:pPr>
        <w:rPr>
          <w:caps/>
          <w:sz w:val="24"/>
          <w:lang w:val="es-ES"/>
        </w:rPr>
      </w:pPr>
    </w:p>
    <w:p w:rsidR="00C0409B" w:rsidRPr="000D5434" w:rsidRDefault="00C0409B" w:rsidP="00103D66">
      <w:pPr>
        <w:rPr>
          <w:i/>
          <w:lang w:val="es-ES"/>
        </w:rPr>
      </w:pPr>
      <w:bookmarkStart w:id="3" w:name="Prepared"/>
      <w:bookmarkEnd w:id="3"/>
      <w:r w:rsidRPr="000D5434">
        <w:rPr>
          <w:i/>
          <w:lang w:val="es-ES"/>
        </w:rPr>
        <w:t>Documento preparado por la Secretaría</w:t>
      </w:r>
    </w:p>
    <w:p w:rsidR="00C0409B" w:rsidRPr="000D5434" w:rsidRDefault="00C0409B" w:rsidP="00103D66">
      <w:pPr>
        <w:rPr>
          <w:i/>
          <w:lang w:val="es-ES"/>
        </w:rPr>
      </w:pPr>
    </w:p>
    <w:p w:rsidR="00C0409B" w:rsidRPr="000D5434" w:rsidRDefault="00C0409B" w:rsidP="00103D66">
      <w:pPr>
        <w:rPr>
          <w:i/>
          <w:lang w:val="es-ES"/>
        </w:rPr>
      </w:pPr>
    </w:p>
    <w:p w:rsidR="003B3B0A" w:rsidRPr="000D5434" w:rsidRDefault="003B3B0A" w:rsidP="00103D66">
      <w:pPr>
        <w:rPr>
          <w:i/>
          <w:lang w:val="es-ES"/>
        </w:rPr>
      </w:pPr>
    </w:p>
    <w:p w:rsidR="003B3B0A" w:rsidRPr="000D5434" w:rsidRDefault="003B3B0A" w:rsidP="00103D66">
      <w:pPr>
        <w:rPr>
          <w:lang w:val="es-ES"/>
        </w:rPr>
      </w:pPr>
    </w:p>
    <w:p w:rsidR="00C0409B" w:rsidRPr="000D5434" w:rsidRDefault="00C0409B" w:rsidP="00103D66">
      <w:pPr>
        <w:rPr>
          <w:i/>
          <w:lang w:val="es-ES"/>
        </w:rPr>
      </w:pPr>
    </w:p>
    <w:p w:rsidR="00C0409B" w:rsidRPr="000D5434" w:rsidRDefault="00C0409B" w:rsidP="00103D66">
      <w:pPr>
        <w:rPr>
          <w:b/>
          <w:lang w:val="es-ES"/>
        </w:rPr>
      </w:pPr>
      <w:r w:rsidRPr="000D5434">
        <w:rPr>
          <w:b/>
          <w:lang w:val="es-ES"/>
        </w:rPr>
        <w:t>INTRODUCCIÓN</w:t>
      </w:r>
    </w:p>
    <w:p w:rsidR="00C0409B" w:rsidRPr="000D5434" w:rsidRDefault="00C0409B" w:rsidP="00103D66">
      <w:pPr>
        <w:rPr>
          <w:lang w:val="es-ES"/>
        </w:rPr>
      </w:pPr>
    </w:p>
    <w:p w:rsidR="00C0409B" w:rsidRPr="000D5434" w:rsidRDefault="00C0409B" w:rsidP="00103D66">
      <w:pPr>
        <w:numPr>
          <w:ilvl w:val="0"/>
          <w:numId w:val="48"/>
        </w:numPr>
        <w:rPr>
          <w:szCs w:val="22"/>
          <w:lang w:val="es-ES"/>
        </w:rPr>
      </w:pPr>
      <w:r w:rsidRPr="000D5434">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0D5434">
        <w:rPr>
          <w:vertAlign w:val="superscript"/>
          <w:lang w:val="es-ES"/>
        </w:rPr>
        <w:footnoteReference w:id="2"/>
      </w:r>
      <w:r w:rsidRPr="000D5434">
        <w:rPr>
          <w:szCs w:val="22"/>
          <w:lang w:val="es-ES"/>
        </w:rPr>
        <w:t xml:space="preserve"> y los pusiera a disposición del CIG.</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szCs w:val="22"/>
          <w:lang w:val="es-ES"/>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0D5434">
        <w:rPr>
          <w:szCs w:val="22"/>
          <w:lang w:val="es-ES"/>
        </w:rPr>
        <w:lastRenderedPageBreak/>
        <w:t>dichos glosarios en un único documento y a publicar el glosario consolidado en tanto que documento de información para la siguiente sesión del Comité.”</w:t>
      </w:r>
      <w:r w:rsidRPr="000D5434">
        <w:rPr>
          <w:rStyle w:val="FootnoteReference"/>
          <w:szCs w:val="22"/>
          <w:lang w:val="es-ES"/>
        </w:rPr>
        <w:footnoteReference w:id="3"/>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De conformidad con esa decisión y dado que varios de los términos contenidos en dichos glosarios guardaban relación con los tres temas, la Secretaría consolidó los tres glosarios en uno solo y actualizó algunas de las definiciones incluidas en él.</w:t>
      </w:r>
      <w:r w:rsidR="00B834A4" w:rsidRPr="000D5434">
        <w:rPr>
          <w:lang w:val="es-ES"/>
        </w:rPr>
        <w:t xml:space="preserve"> </w:t>
      </w:r>
      <w:r w:rsidRPr="000D5434">
        <w:rPr>
          <w:lang w:val="es-ES"/>
        </w:rPr>
        <w:t>El glosario consolidado se ha puesto a disposición como documento de información para las sesiones anteriores del CIG.</w:t>
      </w:r>
      <w:r w:rsidR="00B834A4" w:rsidRPr="000D5434">
        <w:rPr>
          <w:lang w:val="es-ES"/>
        </w:rPr>
        <w:t xml:space="preserve"> </w:t>
      </w:r>
      <w:r w:rsidR="000D5434" w:rsidRPr="000D5434">
        <w:rPr>
          <w:lang w:val="es-ES"/>
        </w:rPr>
        <w:t>F</w:t>
      </w:r>
      <w:r w:rsidRPr="000D5434">
        <w:rPr>
          <w:lang w:val="es-ES"/>
        </w:rPr>
        <w:t>igura en el Anexo del presente documento</w:t>
      </w:r>
      <w:r w:rsidRPr="000D5434">
        <w:rPr>
          <w:szCs w:val="22"/>
          <w:lang w:val="es-ES"/>
        </w:rPr>
        <w:t>.</w:t>
      </w:r>
      <w:r w:rsidR="00CC1AFF">
        <w:rPr>
          <w:szCs w:val="22"/>
          <w:lang w:val="es-ES"/>
        </w:rPr>
        <w:t xml:space="preserve"> Se incluye un índice de términos para facilitar la consulta.</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El glosario se ha elaborado, en la medida de lo posible, a partir de anteriores glosarios del CIG y de instrumentos vigentes de las Naciones Unidas y otras instancias internacionales.</w:t>
      </w:r>
      <w:r w:rsidR="00B834A4" w:rsidRPr="000D5434">
        <w:rPr>
          <w:lang w:val="es-ES"/>
        </w:rPr>
        <w:t xml:space="preserve"> </w:t>
      </w:r>
      <w:r w:rsidRPr="000D5434">
        <w:rPr>
          <w:lang w:val="es-ES"/>
        </w:rPr>
        <w:t>Además, se han tenido en cuenta las definiciones y los glosarios que figuran en las leyes y proyectos de leyes nacionales y regionales, en instrumentos multilaterales y en otras organizaciones, otros procesos y otros diccionarios.</w:t>
      </w:r>
      <w:r w:rsidR="00B834A4" w:rsidRPr="000D5434">
        <w:rPr>
          <w:lang w:val="es-ES"/>
        </w:rPr>
        <w:t xml:space="preserve"> </w:t>
      </w:r>
      <w:r w:rsidRPr="000D5434">
        <w:rPr>
          <w:lang w:val="es-ES"/>
        </w:rPr>
        <w:t>Por otra parte, las definiciones se basan en los documentos de trabajo del CIG, en otros documentos de la OMPI y en documentos de otros programas de trabajo de la Organización.</w:t>
      </w:r>
      <w:r w:rsidR="00B834A4" w:rsidRPr="000D5434">
        <w:rPr>
          <w:lang w:val="es-ES"/>
        </w:rPr>
        <w:t xml:space="preserve"> </w:t>
      </w:r>
      <w:r w:rsidRPr="000D5434">
        <w:rPr>
          <w:lang w:val="es-ES"/>
        </w:rPr>
        <w:t>Con todo, las definiciones propuestas no son exhaustivas;</w:t>
      </w:r>
      <w:r w:rsidR="00B834A4" w:rsidRPr="000D5434">
        <w:rPr>
          <w:lang w:val="es-ES"/>
        </w:rPr>
        <w:t xml:space="preserve"> </w:t>
      </w:r>
      <w:r w:rsidRPr="000D5434">
        <w:rPr>
          <w:lang w:val="es-ES"/>
        </w:rPr>
        <w:t>existen otros términos que podrían ser pertinentes para la propiedad intelectual y los recursos genéticos, los conocimientos tradicionales y las expresiones culturales tradicionales y los términos que se han elegido podrían definirse de otras maneras</w:t>
      </w:r>
      <w:r w:rsidRPr="000D5434">
        <w:rPr>
          <w:szCs w:val="22"/>
          <w:lang w:val="es-ES"/>
        </w:rPr>
        <w:t>.</w:t>
      </w:r>
    </w:p>
    <w:p w:rsidR="00C0409B" w:rsidRPr="000D5434" w:rsidRDefault="00C0409B" w:rsidP="00103D66">
      <w:pPr>
        <w:rPr>
          <w:szCs w:val="22"/>
          <w:lang w:val="es-ES"/>
        </w:rPr>
      </w:pPr>
    </w:p>
    <w:p w:rsidR="00C0409B" w:rsidRPr="000D5434" w:rsidRDefault="00C0409B" w:rsidP="00103D66">
      <w:pPr>
        <w:numPr>
          <w:ilvl w:val="0"/>
          <w:numId w:val="48"/>
        </w:numPr>
        <w:rPr>
          <w:szCs w:val="22"/>
          <w:lang w:val="es-ES"/>
        </w:rPr>
      </w:pPr>
      <w:r w:rsidRPr="000D5434">
        <w:rPr>
          <w:lang w:val="es-ES"/>
        </w:rPr>
        <w:t>Para seleccionar los términos del Glosario se han tenido en cuenta los términos que se utilizan con mayor frecuencia en los proyectos de textos del CIG y en otros documentos conexos.</w:t>
      </w:r>
      <w:r w:rsidR="00B834A4" w:rsidRPr="000D5434">
        <w:rPr>
          <w:lang w:val="es-ES"/>
        </w:rPr>
        <w:t xml:space="preserve"> </w:t>
      </w:r>
      <w:r w:rsidRPr="000D5434">
        <w:rPr>
          <w:lang w:val="es-ES"/>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B834A4" w:rsidRPr="000D5434">
        <w:rPr>
          <w:lang w:val="es-ES"/>
        </w:rPr>
        <w:t xml:space="preserve"> </w:t>
      </w:r>
      <w:r w:rsidRPr="000D5434">
        <w:rPr>
          <w:lang w:val="es-ES"/>
        </w:rPr>
        <w:t>Con tales selección y definición de términos clave no se pretende dar a entender que dicha tarea se haya efectuado con el acuerdo de todos los participantes en el CIG.</w:t>
      </w:r>
      <w:r w:rsidR="00B834A4" w:rsidRPr="000D5434">
        <w:rPr>
          <w:lang w:val="es-ES"/>
        </w:rPr>
        <w:t xml:space="preserve"> </w:t>
      </w:r>
      <w:r w:rsidRPr="000D5434">
        <w:rPr>
          <w:lang w:val="es-ES"/>
        </w:rPr>
        <w:t>Se trata de un documento informativo y no se pide al CIG que respalde o apruebe ni la selección de términos ni las definiciones propuestas</w:t>
      </w:r>
      <w:r w:rsidRPr="000D5434">
        <w:rPr>
          <w:szCs w:val="22"/>
          <w:lang w:val="es-ES"/>
        </w:rPr>
        <w:t>.</w:t>
      </w:r>
    </w:p>
    <w:p w:rsidR="00C0409B" w:rsidRPr="000D5434" w:rsidRDefault="00C0409B" w:rsidP="00103D66">
      <w:pPr>
        <w:rPr>
          <w:szCs w:val="22"/>
          <w:u w:val="single"/>
          <w:lang w:val="es-ES"/>
        </w:rPr>
      </w:pPr>
    </w:p>
    <w:p w:rsidR="00C0409B" w:rsidRPr="000D5434" w:rsidRDefault="00C0409B" w:rsidP="00103D66">
      <w:pPr>
        <w:pStyle w:val="Endofdocument-Annex"/>
        <w:tabs>
          <w:tab w:val="left" w:pos="6096"/>
        </w:tabs>
        <w:rPr>
          <w:i/>
          <w:lang w:val="es-ES"/>
        </w:rPr>
      </w:pPr>
      <w:r w:rsidRPr="000D5434">
        <w:rPr>
          <w:i/>
          <w:lang w:val="es-ES"/>
        </w:rPr>
        <w:t>6.</w:t>
      </w:r>
      <w:r w:rsidRPr="000D5434">
        <w:rPr>
          <w:lang w:val="es-ES"/>
        </w:rPr>
        <w:tab/>
      </w:r>
      <w:r w:rsidRPr="000D5434">
        <w:rPr>
          <w:i/>
          <w:lang w:val="es-ES"/>
        </w:rPr>
        <w:t>Se invita al CIG a tomar nota del presente documento y de su Anexo.</w:t>
      </w:r>
    </w:p>
    <w:p w:rsidR="00C0409B" w:rsidRPr="000D5434" w:rsidRDefault="00C0409B" w:rsidP="004D1933">
      <w:pPr>
        <w:pStyle w:val="Endofdocument-Annex"/>
        <w:ind w:left="0"/>
        <w:rPr>
          <w:i/>
          <w:lang w:val="es-ES"/>
        </w:rPr>
      </w:pPr>
    </w:p>
    <w:p w:rsidR="00C0409B" w:rsidRPr="000D5434" w:rsidRDefault="00C0409B" w:rsidP="004D1933">
      <w:pPr>
        <w:pStyle w:val="Endofdocument-Annex"/>
        <w:ind w:left="0"/>
        <w:rPr>
          <w:i/>
          <w:lang w:val="es-ES"/>
        </w:rPr>
      </w:pPr>
    </w:p>
    <w:p w:rsidR="00C0409B" w:rsidRPr="000D5434" w:rsidRDefault="00C0409B" w:rsidP="004D1933">
      <w:pPr>
        <w:pStyle w:val="Endofdocument-Annex"/>
        <w:ind w:left="0"/>
        <w:rPr>
          <w:i/>
          <w:lang w:val="es-ES"/>
        </w:rPr>
      </w:pPr>
    </w:p>
    <w:p w:rsidR="00C0409B" w:rsidRPr="000D5434" w:rsidRDefault="00C0409B" w:rsidP="00103D66">
      <w:pPr>
        <w:pStyle w:val="Endofdocument-Annex"/>
        <w:rPr>
          <w:lang w:val="es-ES"/>
        </w:rPr>
      </w:pPr>
      <w:r w:rsidRPr="000D5434">
        <w:rPr>
          <w:lang w:val="es-ES"/>
        </w:rPr>
        <w:t>[Sigue el Anexo]</w:t>
      </w:r>
    </w:p>
    <w:p w:rsidR="00C0409B" w:rsidRPr="000D5434" w:rsidRDefault="00C0409B" w:rsidP="004D1933">
      <w:pPr>
        <w:pStyle w:val="Endofdocument-Annex"/>
        <w:ind w:left="0"/>
        <w:rPr>
          <w:lang w:val="es-ES"/>
        </w:rPr>
      </w:pPr>
    </w:p>
    <w:p w:rsidR="00C0409B" w:rsidRPr="000D5434" w:rsidRDefault="00C0409B" w:rsidP="004D1933">
      <w:pPr>
        <w:pStyle w:val="Endofdocument-Annex"/>
        <w:ind w:left="0"/>
        <w:rPr>
          <w:lang w:val="es-ES"/>
        </w:rPr>
      </w:pPr>
    </w:p>
    <w:p w:rsidR="004D1933" w:rsidRPr="000D5434" w:rsidRDefault="004D1933" w:rsidP="004D1933">
      <w:pPr>
        <w:pStyle w:val="Endofdocument-Annex"/>
        <w:ind w:left="0"/>
        <w:rPr>
          <w:lang w:val="es-ES"/>
        </w:rPr>
        <w:sectPr w:rsidR="004D1933" w:rsidRPr="000D5434" w:rsidSect="00E1039C">
          <w:headerReference w:type="default" r:id="rId9"/>
          <w:pgSz w:w="11907" w:h="16840" w:code="9"/>
          <w:pgMar w:top="567" w:right="1418" w:bottom="1418" w:left="1418" w:header="510" w:footer="1021" w:gutter="0"/>
          <w:cols w:space="720"/>
          <w:titlePg/>
        </w:sectPr>
      </w:pPr>
    </w:p>
    <w:p w:rsidR="00C0409B" w:rsidRDefault="00C0409B" w:rsidP="00103D66">
      <w:pPr>
        <w:pStyle w:val="ONUMFS"/>
        <w:numPr>
          <w:ilvl w:val="0"/>
          <w:numId w:val="0"/>
        </w:numPr>
        <w:rPr>
          <w:szCs w:val="22"/>
          <w:lang w:val="es-ES"/>
        </w:rPr>
      </w:pPr>
      <w:r w:rsidRPr="000D5434">
        <w:rPr>
          <w:szCs w:val="22"/>
          <w:lang w:val="es-ES"/>
        </w:rPr>
        <w:lastRenderedPageBreak/>
        <w:t>GLOSARIO DE LOS TÉRMINOS MÁS IMPORTANTES EN RELACIÓN CON LA PROPIEDAD INTELECTUAL Y LOS R</w:t>
      </w:r>
      <w:bookmarkStart w:id="4" w:name="_GoBack"/>
      <w:bookmarkEnd w:id="4"/>
      <w:r w:rsidRPr="000D5434">
        <w:rPr>
          <w:szCs w:val="22"/>
          <w:lang w:val="es-ES"/>
        </w:rPr>
        <w:t>ECURSOS GENÉTICOS, LOS CONOCIMIENTOS TRADICIONALES Y LAS EXPRESIONES CULTURALES TRADICIONALES</w:t>
      </w:r>
    </w:p>
    <w:p w:rsidR="00AE4787" w:rsidRDefault="00AE4787">
      <w:pPr>
        <w:pStyle w:val="TOC1"/>
        <w:tabs>
          <w:tab w:val="right" w:leader="dot" w:pos="9061"/>
        </w:tabs>
        <w:rPr>
          <w:noProof/>
        </w:rPr>
      </w:pPr>
      <w:r>
        <w:rPr>
          <w:szCs w:val="22"/>
          <w:lang w:val="es-ES"/>
        </w:rPr>
        <w:fldChar w:fldCharType="begin"/>
      </w:r>
      <w:r>
        <w:rPr>
          <w:szCs w:val="22"/>
          <w:lang w:val="es-ES"/>
        </w:rPr>
        <w:instrText xml:space="preserve"> TOC \o "1-1" \h \z \u </w:instrText>
      </w:r>
      <w:r>
        <w:rPr>
          <w:szCs w:val="22"/>
          <w:lang w:val="es-ES"/>
        </w:rPr>
        <w:fldChar w:fldCharType="separate"/>
      </w:r>
      <w:hyperlink w:anchor="_Toc535584944" w:history="1">
        <w:r w:rsidRPr="004A0D9E">
          <w:rPr>
            <w:rStyle w:val="Hyperlink"/>
            <w:noProof/>
            <w:lang w:val="es-ES"/>
          </w:rPr>
          <w:t>Acceso y participación en los beneficios</w:t>
        </w:r>
        <w:r>
          <w:rPr>
            <w:noProof/>
            <w:webHidden/>
          </w:rPr>
          <w:tab/>
        </w:r>
        <w:r>
          <w:rPr>
            <w:noProof/>
            <w:webHidden/>
          </w:rPr>
          <w:fldChar w:fldCharType="begin"/>
        </w:r>
        <w:r>
          <w:rPr>
            <w:noProof/>
            <w:webHidden/>
          </w:rPr>
          <w:instrText xml:space="preserve"> PAGEREF _Toc535584944 \h </w:instrText>
        </w:r>
        <w:r>
          <w:rPr>
            <w:noProof/>
            <w:webHidden/>
          </w:rPr>
        </w:r>
        <w:r>
          <w:rPr>
            <w:noProof/>
            <w:webHidden/>
          </w:rPr>
          <w:fldChar w:fldCharType="separate"/>
        </w:r>
        <w:r>
          <w:rPr>
            <w:noProof/>
            <w:webHidden/>
          </w:rPr>
          <w:t>5</w:t>
        </w:r>
        <w:r>
          <w:rPr>
            <w:noProof/>
            <w:webHidden/>
          </w:rPr>
          <w:fldChar w:fldCharType="end"/>
        </w:r>
      </w:hyperlink>
    </w:p>
    <w:p w:rsidR="00AE4787" w:rsidRDefault="00AE4787">
      <w:pPr>
        <w:pStyle w:val="TOC1"/>
        <w:tabs>
          <w:tab w:val="right" w:leader="dot" w:pos="9061"/>
        </w:tabs>
        <w:rPr>
          <w:noProof/>
        </w:rPr>
      </w:pPr>
      <w:hyperlink w:anchor="_Toc535584945" w:history="1">
        <w:r w:rsidRPr="004A0D9E">
          <w:rPr>
            <w:rStyle w:val="Hyperlink"/>
            <w:noProof/>
            <w:lang w:val="es-ES"/>
          </w:rPr>
          <w:t>Adaptación</w:t>
        </w:r>
        <w:r>
          <w:rPr>
            <w:noProof/>
            <w:webHidden/>
          </w:rPr>
          <w:tab/>
        </w:r>
        <w:r>
          <w:rPr>
            <w:noProof/>
            <w:webHidden/>
          </w:rPr>
          <w:fldChar w:fldCharType="begin"/>
        </w:r>
        <w:r>
          <w:rPr>
            <w:noProof/>
            <w:webHidden/>
          </w:rPr>
          <w:instrText xml:space="preserve"> PAGEREF _Toc535584945 \h </w:instrText>
        </w:r>
        <w:r>
          <w:rPr>
            <w:noProof/>
            <w:webHidden/>
          </w:rPr>
        </w:r>
        <w:r>
          <w:rPr>
            <w:noProof/>
            <w:webHidden/>
          </w:rPr>
          <w:fldChar w:fldCharType="separate"/>
        </w:r>
        <w:r>
          <w:rPr>
            <w:noProof/>
            <w:webHidden/>
          </w:rPr>
          <w:t>5</w:t>
        </w:r>
        <w:r>
          <w:rPr>
            <w:noProof/>
            <w:webHidden/>
          </w:rPr>
          <w:fldChar w:fldCharType="end"/>
        </w:r>
      </w:hyperlink>
    </w:p>
    <w:p w:rsidR="00AE4787" w:rsidRDefault="00AE4787">
      <w:pPr>
        <w:pStyle w:val="TOC1"/>
        <w:tabs>
          <w:tab w:val="right" w:leader="dot" w:pos="9061"/>
        </w:tabs>
        <w:rPr>
          <w:noProof/>
        </w:rPr>
      </w:pPr>
      <w:hyperlink w:anchor="_Toc535584946" w:history="1">
        <w:r w:rsidRPr="004A0D9E">
          <w:rPr>
            <w:rStyle w:val="Hyperlink"/>
            <w:noProof/>
            <w:lang w:val="es-ES"/>
          </w:rPr>
          <w:t>Solución extrajudicial de controversias</w:t>
        </w:r>
        <w:r>
          <w:rPr>
            <w:noProof/>
            <w:webHidden/>
          </w:rPr>
          <w:tab/>
        </w:r>
        <w:r>
          <w:rPr>
            <w:noProof/>
            <w:webHidden/>
          </w:rPr>
          <w:fldChar w:fldCharType="begin"/>
        </w:r>
        <w:r>
          <w:rPr>
            <w:noProof/>
            <w:webHidden/>
          </w:rPr>
          <w:instrText xml:space="preserve"> PAGEREF _Toc535584946 \h </w:instrText>
        </w:r>
        <w:r>
          <w:rPr>
            <w:noProof/>
            <w:webHidden/>
          </w:rPr>
        </w:r>
        <w:r>
          <w:rPr>
            <w:noProof/>
            <w:webHidden/>
          </w:rPr>
          <w:fldChar w:fldCharType="separate"/>
        </w:r>
        <w:r>
          <w:rPr>
            <w:noProof/>
            <w:webHidden/>
          </w:rPr>
          <w:t>6</w:t>
        </w:r>
        <w:r>
          <w:rPr>
            <w:noProof/>
            <w:webHidden/>
          </w:rPr>
          <w:fldChar w:fldCharType="end"/>
        </w:r>
      </w:hyperlink>
    </w:p>
    <w:p w:rsidR="00AE4787" w:rsidRDefault="00AE4787">
      <w:pPr>
        <w:pStyle w:val="TOC1"/>
        <w:tabs>
          <w:tab w:val="right" w:leader="dot" w:pos="9061"/>
        </w:tabs>
        <w:rPr>
          <w:noProof/>
        </w:rPr>
      </w:pPr>
      <w:hyperlink w:anchor="_Toc535584947" w:history="1">
        <w:r w:rsidRPr="004A0D9E">
          <w:rPr>
            <w:rStyle w:val="Hyperlink"/>
            <w:noProof/>
            <w:lang w:val="es-ES"/>
          </w:rPr>
          <w:t>Aprobación y participación</w:t>
        </w:r>
        <w:r>
          <w:rPr>
            <w:noProof/>
            <w:webHidden/>
          </w:rPr>
          <w:tab/>
        </w:r>
        <w:r>
          <w:rPr>
            <w:noProof/>
            <w:webHidden/>
          </w:rPr>
          <w:fldChar w:fldCharType="begin"/>
        </w:r>
        <w:r>
          <w:rPr>
            <w:noProof/>
            <w:webHidden/>
          </w:rPr>
          <w:instrText xml:space="preserve"> PAGEREF _Toc535584947 \h </w:instrText>
        </w:r>
        <w:r>
          <w:rPr>
            <w:noProof/>
            <w:webHidden/>
          </w:rPr>
        </w:r>
        <w:r>
          <w:rPr>
            <w:noProof/>
            <w:webHidden/>
          </w:rPr>
          <w:fldChar w:fldCharType="separate"/>
        </w:r>
        <w:r>
          <w:rPr>
            <w:noProof/>
            <w:webHidden/>
          </w:rPr>
          <w:t>6</w:t>
        </w:r>
        <w:r>
          <w:rPr>
            <w:noProof/>
            <w:webHidden/>
          </w:rPr>
          <w:fldChar w:fldCharType="end"/>
        </w:r>
      </w:hyperlink>
    </w:p>
    <w:p w:rsidR="00AE4787" w:rsidRDefault="00AE4787">
      <w:pPr>
        <w:pStyle w:val="TOC1"/>
        <w:tabs>
          <w:tab w:val="right" w:leader="dot" w:pos="9061"/>
        </w:tabs>
        <w:rPr>
          <w:noProof/>
        </w:rPr>
      </w:pPr>
      <w:hyperlink w:anchor="_Toc535584948" w:history="1">
        <w:r w:rsidRPr="004A0D9E">
          <w:rPr>
            <w:rStyle w:val="Hyperlink"/>
            <w:noProof/>
            <w:lang w:val="es-ES"/>
          </w:rPr>
          <w:t>Beneficiarios</w:t>
        </w:r>
        <w:r>
          <w:rPr>
            <w:noProof/>
            <w:webHidden/>
          </w:rPr>
          <w:tab/>
        </w:r>
        <w:r>
          <w:rPr>
            <w:noProof/>
            <w:webHidden/>
          </w:rPr>
          <w:fldChar w:fldCharType="begin"/>
        </w:r>
        <w:r>
          <w:rPr>
            <w:noProof/>
            <w:webHidden/>
          </w:rPr>
          <w:instrText xml:space="preserve"> PAGEREF _Toc535584948 \h </w:instrText>
        </w:r>
        <w:r>
          <w:rPr>
            <w:noProof/>
            <w:webHidden/>
          </w:rPr>
        </w:r>
        <w:r>
          <w:rPr>
            <w:noProof/>
            <w:webHidden/>
          </w:rPr>
          <w:fldChar w:fldCharType="separate"/>
        </w:r>
        <w:r>
          <w:rPr>
            <w:noProof/>
            <w:webHidden/>
          </w:rPr>
          <w:t>6</w:t>
        </w:r>
        <w:r>
          <w:rPr>
            <w:noProof/>
            <w:webHidden/>
          </w:rPr>
          <w:fldChar w:fldCharType="end"/>
        </w:r>
      </w:hyperlink>
    </w:p>
    <w:p w:rsidR="00AE4787" w:rsidRDefault="00AE4787">
      <w:pPr>
        <w:pStyle w:val="TOC1"/>
        <w:tabs>
          <w:tab w:val="right" w:leader="dot" w:pos="9061"/>
        </w:tabs>
        <w:rPr>
          <w:noProof/>
        </w:rPr>
      </w:pPr>
      <w:hyperlink w:anchor="_Toc535584949" w:history="1">
        <w:r w:rsidRPr="004A0D9E">
          <w:rPr>
            <w:rStyle w:val="Hyperlink"/>
            <w:noProof/>
            <w:snapToGrid w:val="0"/>
            <w:lang w:val="es-ES"/>
          </w:rPr>
          <w:t>Diversidad biológica</w:t>
        </w:r>
        <w:r>
          <w:rPr>
            <w:noProof/>
            <w:webHidden/>
          </w:rPr>
          <w:tab/>
        </w:r>
        <w:r>
          <w:rPr>
            <w:noProof/>
            <w:webHidden/>
          </w:rPr>
          <w:fldChar w:fldCharType="begin"/>
        </w:r>
        <w:r>
          <w:rPr>
            <w:noProof/>
            <w:webHidden/>
          </w:rPr>
          <w:instrText xml:space="preserve"> PAGEREF _Toc535584949 \h </w:instrText>
        </w:r>
        <w:r>
          <w:rPr>
            <w:noProof/>
            <w:webHidden/>
          </w:rPr>
        </w:r>
        <w:r>
          <w:rPr>
            <w:noProof/>
            <w:webHidden/>
          </w:rPr>
          <w:fldChar w:fldCharType="separate"/>
        </w:r>
        <w:r>
          <w:rPr>
            <w:noProof/>
            <w:webHidden/>
          </w:rPr>
          <w:t>7</w:t>
        </w:r>
        <w:r>
          <w:rPr>
            <w:noProof/>
            <w:webHidden/>
          </w:rPr>
          <w:fldChar w:fldCharType="end"/>
        </w:r>
      </w:hyperlink>
    </w:p>
    <w:p w:rsidR="00AE4787" w:rsidRDefault="00AE4787">
      <w:pPr>
        <w:pStyle w:val="TOC1"/>
        <w:tabs>
          <w:tab w:val="right" w:leader="dot" w:pos="9061"/>
        </w:tabs>
        <w:rPr>
          <w:noProof/>
        </w:rPr>
      </w:pPr>
      <w:hyperlink w:anchor="_Toc535584950" w:history="1">
        <w:r w:rsidRPr="004A0D9E">
          <w:rPr>
            <w:rStyle w:val="Hyperlink"/>
            <w:noProof/>
            <w:lang w:val="es-ES"/>
          </w:rPr>
          <w:t>Recursos biológicos</w:t>
        </w:r>
        <w:r>
          <w:rPr>
            <w:noProof/>
            <w:webHidden/>
          </w:rPr>
          <w:tab/>
        </w:r>
        <w:r>
          <w:rPr>
            <w:noProof/>
            <w:webHidden/>
          </w:rPr>
          <w:fldChar w:fldCharType="begin"/>
        </w:r>
        <w:r>
          <w:rPr>
            <w:noProof/>
            <w:webHidden/>
          </w:rPr>
          <w:instrText xml:space="preserve"> PAGEREF _Toc535584950 \h </w:instrText>
        </w:r>
        <w:r>
          <w:rPr>
            <w:noProof/>
            <w:webHidden/>
          </w:rPr>
        </w:r>
        <w:r>
          <w:rPr>
            <w:noProof/>
            <w:webHidden/>
          </w:rPr>
          <w:fldChar w:fldCharType="separate"/>
        </w:r>
        <w:r>
          <w:rPr>
            <w:noProof/>
            <w:webHidden/>
          </w:rPr>
          <w:t>7</w:t>
        </w:r>
        <w:r>
          <w:rPr>
            <w:noProof/>
            <w:webHidden/>
          </w:rPr>
          <w:fldChar w:fldCharType="end"/>
        </w:r>
      </w:hyperlink>
    </w:p>
    <w:p w:rsidR="00AE4787" w:rsidRDefault="00AE4787">
      <w:pPr>
        <w:pStyle w:val="TOC1"/>
        <w:tabs>
          <w:tab w:val="right" w:leader="dot" w:pos="9061"/>
        </w:tabs>
        <w:rPr>
          <w:noProof/>
        </w:rPr>
      </w:pPr>
      <w:hyperlink w:anchor="_Toc535584951" w:history="1">
        <w:r w:rsidRPr="004A0D9E">
          <w:rPr>
            <w:rStyle w:val="Hyperlink"/>
            <w:noProof/>
            <w:lang w:val="es-ES"/>
          </w:rPr>
          <w:t>Invenciones biotecnológicas</w:t>
        </w:r>
        <w:r>
          <w:rPr>
            <w:noProof/>
            <w:webHidden/>
          </w:rPr>
          <w:tab/>
        </w:r>
        <w:r>
          <w:rPr>
            <w:noProof/>
            <w:webHidden/>
          </w:rPr>
          <w:fldChar w:fldCharType="begin"/>
        </w:r>
        <w:r>
          <w:rPr>
            <w:noProof/>
            <w:webHidden/>
          </w:rPr>
          <w:instrText xml:space="preserve"> PAGEREF _Toc535584951 \h </w:instrText>
        </w:r>
        <w:r>
          <w:rPr>
            <w:noProof/>
            <w:webHidden/>
          </w:rPr>
        </w:r>
        <w:r>
          <w:rPr>
            <w:noProof/>
            <w:webHidden/>
          </w:rPr>
          <w:fldChar w:fldCharType="separate"/>
        </w:r>
        <w:r>
          <w:rPr>
            <w:noProof/>
            <w:webHidden/>
          </w:rPr>
          <w:t>7</w:t>
        </w:r>
        <w:r>
          <w:rPr>
            <w:noProof/>
            <w:webHidden/>
          </w:rPr>
          <w:fldChar w:fldCharType="end"/>
        </w:r>
      </w:hyperlink>
    </w:p>
    <w:p w:rsidR="00AE4787" w:rsidRDefault="00AE4787">
      <w:pPr>
        <w:pStyle w:val="TOC1"/>
        <w:tabs>
          <w:tab w:val="right" w:leader="dot" w:pos="9061"/>
        </w:tabs>
        <w:rPr>
          <w:noProof/>
        </w:rPr>
      </w:pPr>
      <w:hyperlink w:anchor="_Toc535584952" w:history="1">
        <w:r w:rsidRPr="004A0D9E">
          <w:rPr>
            <w:rStyle w:val="Hyperlink"/>
            <w:noProof/>
            <w:lang w:val="es-ES"/>
          </w:rPr>
          <w:t>Biotecnología</w:t>
        </w:r>
        <w:r>
          <w:rPr>
            <w:noProof/>
            <w:webHidden/>
          </w:rPr>
          <w:tab/>
        </w:r>
        <w:r>
          <w:rPr>
            <w:noProof/>
            <w:webHidden/>
          </w:rPr>
          <w:fldChar w:fldCharType="begin"/>
        </w:r>
        <w:r>
          <w:rPr>
            <w:noProof/>
            <w:webHidden/>
          </w:rPr>
          <w:instrText xml:space="preserve"> PAGEREF _Toc535584952 \h </w:instrText>
        </w:r>
        <w:r>
          <w:rPr>
            <w:noProof/>
            <w:webHidden/>
          </w:rPr>
        </w:r>
        <w:r>
          <w:rPr>
            <w:noProof/>
            <w:webHidden/>
          </w:rPr>
          <w:fldChar w:fldCharType="separate"/>
        </w:r>
        <w:r>
          <w:rPr>
            <w:noProof/>
            <w:webHidden/>
          </w:rPr>
          <w:t>8</w:t>
        </w:r>
        <w:r>
          <w:rPr>
            <w:noProof/>
            <w:webHidden/>
          </w:rPr>
          <w:fldChar w:fldCharType="end"/>
        </w:r>
      </w:hyperlink>
    </w:p>
    <w:p w:rsidR="00AE4787" w:rsidRDefault="00AE4787">
      <w:pPr>
        <w:pStyle w:val="TOC1"/>
        <w:tabs>
          <w:tab w:val="right" w:leader="dot" w:pos="9061"/>
        </w:tabs>
        <w:rPr>
          <w:noProof/>
        </w:rPr>
      </w:pPr>
      <w:hyperlink w:anchor="_Toc535584953" w:history="1">
        <w:r w:rsidRPr="004A0D9E">
          <w:rPr>
            <w:rStyle w:val="Hyperlink"/>
            <w:noProof/>
            <w:lang w:val="es-ES"/>
          </w:rPr>
          <w:t>Directrices de Bonn sobre el Acceso a los Recursos Genéticos y la Participación Justa y Equitativa en los Beneficios Provenientes de su Utilización</w:t>
        </w:r>
        <w:r>
          <w:rPr>
            <w:noProof/>
            <w:webHidden/>
          </w:rPr>
          <w:tab/>
        </w:r>
        <w:r>
          <w:rPr>
            <w:noProof/>
            <w:webHidden/>
          </w:rPr>
          <w:fldChar w:fldCharType="begin"/>
        </w:r>
        <w:r>
          <w:rPr>
            <w:noProof/>
            <w:webHidden/>
          </w:rPr>
          <w:instrText xml:space="preserve"> PAGEREF _Toc535584953 \h </w:instrText>
        </w:r>
        <w:r>
          <w:rPr>
            <w:noProof/>
            <w:webHidden/>
          </w:rPr>
        </w:r>
        <w:r>
          <w:rPr>
            <w:noProof/>
            <w:webHidden/>
          </w:rPr>
          <w:fldChar w:fldCharType="separate"/>
        </w:r>
        <w:r>
          <w:rPr>
            <w:noProof/>
            <w:webHidden/>
          </w:rPr>
          <w:t>8</w:t>
        </w:r>
        <w:r>
          <w:rPr>
            <w:noProof/>
            <w:webHidden/>
          </w:rPr>
          <w:fldChar w:fldCharType="end"/>
        </w:r>
      </w:hyperlink>
    </w:p>
    <w:p w:rsidR="00AE4787" w:rsidRDefault="00AE4787">
      <w:pPr>
        <w:pStyle w:val="TOC1"/>
        <w:tabs>
          <w:tab w:val="right" w:leader="dot" w:pos="9061"/>
        </w:tabs>
        <w:rPr>
          <w:noProof/>
        </w:rPr>
      </w:pPr>
      <w:hyperlink w:anchor="_Toc535584954" w:history="1">
        <w:r w:rsidRPr="004A0D9E">
          <w:rPr>
            <w:rStyle w:val="Hyperlink"/>
            <w:noProof/>
            <w:lang w:val="es-ES"/>
          </w:rPr>
          <w:t>Mecanismo de facilitación del Convenio sobre la Diversidad Biológica (CDB)</w:t>
        </w:r>
        <w:r>
          <w:rPr>
            <w:noProof/>
            <w:webHidden/>
          </w:rPr>
          <w:tab/>
        </w:r>
        <w:r>
          <w:rPr>
            <w:noProof/>
            <w:webHidden/>
          </w:rPr>
          <w:fldChar w:fldCharType="begin"/>
        </w:r>
        <w:r>
          <w:rPr>
            <w:noProof/>
            <w:webHidden/>
          </w:rPr>
          <w:instrText xml:space="preserve"> PAGEREF _Toc535584954 \h </w:instrText>
        </w:r>
        <w:r>
          <w:rPr>
            <w:noProof/>
            <w:webHidden/>
          </w:rPr>
        </w:r>
        <w:r>
          <w:rPr>
            <w:noProof/>
            <w:webHidden/>
          </w:rPr>
          <w:fldChar w:fldCharType="separate"/>
        </w:r>
        <w:r>
          <w:rPr>
            <w:noProof/>
            <w:webHidden/>
          </w:rPr>
          <w:t>9</w:t>
        </w:r>
        <w:r>
          <w:rPr>
            <w:noProof/>
            <w:webHidden/>
          </w:rPr>
          <w:fldChar w:fldCharType="end"/>
        </w:r>
      </w:hyperlink>
    </w:p>
    <w:p w:rsidR="00AE4787" w:rsidRDefault="00AE4787">
      <w:pPr>
        <w:pStyle w:val="TOC1"/>
        <w:tabs>
          <w:tab w:val="right" w:leader="dot" w:pos="9061"/>
        </w:tabs>
        <w:rPr>
          <w:noProof/>
        </w:rPr>
      </w:pPr>
      <w:hyperlink w:anchor="_Toc535584955" w:history="1">
        <w:r w:rsidRPr="004A0D9E">
          <w:rPr>
            <w:rStyle w:val="Hyperlink"/>
            <w:noProof/>
            <w:lang w:val="es-ES"/>
          </w:rPr>
          <w:t>Conocimientos tradicionales codificados</w:t>
        </w:r>
        <w:r>
          <w:rPr>
            <w:noProof/>
            <w:webHidden/>
          </w:rPr>
          <w:tab/>
        </w:r>
        <w:r>
          <w:rPr>
            <w:noProof/>
            <w:webHidden/>
          </w:rPr>
          <w:fldChar w:fldCharType="begin"/>
        </w:r>
        <w:r>
          <w:rPr>
            <w:noProof/>
            <w:webHidden/>
          </w:rPr>
          <w:instrText xml:space="preserve"> PAGEREF _Toc535584955 \h </w:instrText>
        </w:r>
        <w:r>
          <w:rPr>
            <w:noProof/>
            <w:webHidden/>
          </w:rPr>
        </w:r>
        <w:r>
          <w:rPr>
            <w:noProof/>
            <w:webHidden/>
          </w:rPr>
          <w:fldChar w:fldCharType="separate"/>
        </w:r>
        <w:r>
          <w:rPr>
            <w:noProof/>
            <w:webHidden/>
          </w:rPr>
          <w:t>9</w:t>
        </w:r>
        <w:r>
          <w:rPr>
            <w:noProof/>
            <w:webHidden/>
          </w:rPr>
          <w:fldChar w:fldCharType="end"/>
        </w:r>
      </w:hyperlink>
    </w:p>
    <w:p w:rsidR="00AE4787" w:rsidRDefault="00AE4787">
      <w:pPr>
        <w:pStyle w:val="TOC1"/>
        <w:tabs>
          <w:tab w:val="right" w:leader="dot" w:pos="9061"/>
        </w:tabs>
        <w:rPr>
          <w:noProof/>
        </w:rPr>
      </w:pPr>
      <w:hyperlink w:anchor="_Toc535584956" w:history="1">
        <w:r w:rsidRPr="004A0D9E">
          <w:rPr>
            <w:rStyle w:val="Hyperlink"/>
            <w:noProof/>
            <w:lang w:val="es-ES"/>
          </w:rPr>
          <w:t>Consulta</w:t>
        </w:r>
        <w:r>
          <w:rPr>
            <w:noProof/>
            <w:webHidden/>
          </w:rPr>
          <w:tab/>
        </w:r>
        <w:r>
          <w:rPr>
            <w:noProof/>
            <w:webHidden/>
          </w:rPr>
          <w:fldChar w:fldCharType="begin"/>
        </w:r>
        <w:r>
          <w:rPr>
            <w:noProof/>
            <w:webHidden/>
          </w:rPr>
          <w:instrText xml:space="preserve"> PAGEREF _Toc535584956 \h </w:instrText>
        </w:r>
        <w:r>
          <w:rPr>
            <w:noProof/>
            <w:webHidden/>
          </w:rPr>
        </w:r>
        <w:r>
          <w:rPr>
            <w:noProof/>
            <w:webHidden/>
          </w:rPr>
          <w:fldChar w:fldCharType="separate"/>
        </w:r>
        <w:r>
          <w:rPr>
            <w:noProof/>
            <w:webHidden/>
          </w:rPr>
          <w:t>10</w:t>
        </w:r>
        <w:r>
          <w:rPr>
            <w:noProof/>
            <w:webHidden/>
          </w:rPr>
          <w:fldChar w:fldCharType="end"/>
        </w:r>
      </w:hyperlink>
    </w:p>
    <w:p w:rsidR="00AE4787" w:rsidRDefault="00AE4787">
      <w:pPr>
        <w:pStyle w:val="TOC1"/>
        <w:tabs>
          <w:tab w:val="right" w:leader="dot" w:pos="9061"/>
        </w:tabs>
        <w:rPr>
          <w:noProof/>
        </w:rPr>
      </w:pPr>
      <w:hyperlink w:anchor="_Toc535584957" w:history="1">
        <w:r w:rsidRPr="004A0D9E">
          <w:rPr>
            <w:rStyle w:val="Hyperlink"/>
            <w:noProof/>
            <w:lang w:val="es-ES"/>
          </w:rPr>
          <w:t>Convenio sobre la Diversidad Biológica (CDB)</w:t>
        </w:r>
        <w:r>
          <w:rPr>
            <w:noProof/>
            <w:webHidden/>
          </w:rPr>
          <w:tab/>
        </w:r>
        <w:r>
          <w:rPr>
            <w:noProof/>
            <w:webHidden/>
          </w:rPr>
          <w:fldChar w:fldCharType="begin"/>
        </w:r>
        <w:r>
          <w:rPr>
            <w:noProof/>
            <w:webHidden/>
          </w:rPr>
          <w:instrText xml:space="preserve"> PAGEREF _Toc535584957 \h </w:instrText>
        </w:r>
        <w:r>
          <w:rPr>
            <w:noProof/>
            <w:webHidden/>
          </w:rPr>
        </w:r>
        <w:r>
          <w:rPr>
            <w:noProof/>
            <w:webHidden/>
          </w:rPr>
          <w:fldChar w:fldCharType="separate"/>
        </w:r>
        <w:r>
          <w:rPr>
            <w:noProof/>
            <w:webHidden/>
          </w:rPr>
          <w:t>10</w:t>
        </w:r>
        <w:r>
          <w:rPr>
            <w:noProof/>
            <w:webHidden/>
          </w:rPr>
          <w:fldChar w:fldCharType="end"/>
        </w:r>
      </w:hyperlink>
    </w:p>
    <w:p w:rsidR="00AE4787" w:rsidRDefault="00AE4787">
      <w:pPr>
        <w:pStyle w:val="TOC1"/>
        <w:tabs>
          <w:tab w:val="right" w:leader="dot" w:pos="9061"/>
        </w:tabs>
        <w:rPr>
          <w:noProof/>
        </w:rPr>
      </w:pPr>
      <w:hyperlink w:anchor="_Toc535584958" w:history="1">
        <w:r w:rsidRPr="004A0D9E">
          <w:rPr>
            <w:rStyle w:val="Hyperlink"/>
            <w:noProof/>
            <w:lang w:val="es-ES"/>
          </w:rPr>
          <w:t>País de origen de los recursos genéticos</w:t>
        </w:r>
        <w:r>
          <w:rPr>
            <w:noProof/>
            <w:webHidden/>
          </w:rPr>
          <w:tab/>
        </w:r>
        <w:r>
          <w:rPr>
            <w:noProof/>
            <w:webHidden/>
          </w:rPr>
          <w:fldChar w:fldCharType="begin"/>
        </w:r>
        <w:r>
          <w:rPr>
            <w:noProof/>
            <w:webHidden/>
          </w:rPr>
          <w:instrText xml:space="preserve"> PAGEREF _Toc535584958 \h </w:instrText>
        </w:r>
        <w:r>
          <w:rPr>
            <w:noProof/>
            <w:webHidden/>
          </w:rPr>
        </w:r>
        <w:r>
          <w:rPr>
            <w:noProof/>
            <w:webHidden/>
          </w:rPr>
          <w:fldChar w:fldCharType="separate"/>
        </w:r>
        <w:r>
          <w:rPr>
            <w:noProof/>
            <w:webHidden/>
          </w:rPr>
          <w:t>10</w:t>
        </w:r>
        <w:r>
          <w:rPr>
            <w:noProof/>
            <w:webHidden/>
          </w:rPr>
          <w:fldChar w:fldCharType="end"/>
        </w:r>
      </w:hyperlink>
    </w:p>
    <w:p w:rsidR="00AE4787" w:rsidRDefault="00AE4787">
      <w:pPr>
        <w:pStyle w:val="TOC1"/>
        <w:tabs>
          <w:tab w:val="right" w:leader="dot" w:pos="9061"/>
        </w:tabs>
        <w:rPr>
          <w:noProof/>
        </w:rPr>
      </w:pPr>
      <w:hyperlink w:anchor="_Toc535584959" w:history="1">
        <w:r w:rsidRPr="004A0D9E">
          <w:rPr>
            <w:rStyle w:val="Hyperlink"/>
            <w:noProof/>
            <w:lang w:val="es-ES"/>
          </w:rPr>
          <w:t>País que aporta recursos genéticos</w:t>
        </w:r>
        <w:r>
          <w:rPr>
            <w:noProof/>
            <w:webHidden/>
          </w:rPr>
          <w:tab/>
        </w:r>
        <w:r>
          <w:rPr>
            <w:noProof/>
            <w:webHidden/>
          </w:rPr>
          <w:fldChar w:fldCharType="begin"/>
        </w:r>
        <w:r>
          <w:rPr>
            <w:noProof/>
            <w:webHidden/>
          </w:rPr>
          <w:instrText xml:space="preserve"> PAGEREF _Toc535584959 \h </w:instrText>
        </w:r>
        <w:r>
          <w:rPr>
            <w:noProof/>
            <w:webHidden/>
          </w:rPr>
        </w:r>
        <w:r>
          <w:rPr>
            <w:noProof/>
            <w:webHidden/>
          </w:rPr>
          <w:fldChar w:fldCharType="separate"/>
        </w:r>
        <w:r>
          <w:rPr>
            <w:noProof/>
            <w:webHidden/>
          </w:rPr>
          <w:t>10</w:t>
        </w:r>
        <w:r>
          <w:rPr>
            <w:noProof/>
            <w:webHidden/>
          </w:rPr>
          <w:fldChar w:fldCharType="end"/>
        </w:r>
      </w:hyperlink>
    </w:p>
    <w:p w:rsidR="00AE4787" w:rsidRDefault="00AE4787">
      <w:pPr>
        <w:pStyle w:val="TOC1"/>
        <w:tabs>
          <w:tab w:val="right" w:leader="dot" w:pos="9061"/>
        </w:tabs>
        <w:rPr>
          <w:noProof/>
        </w:rPr>
      </w:pPr>
      <w:hyperlink w:anchor="_Toc535584960" w:history="1">
        <w:r w:rsidRPr="004A0D9E">
          <w:rPr>
            <w:rStyle w:val="Hyperlink"/>
            <w:noProof/>
            <w:lang w:val="es-ES"/>
          </w:rPr>
          <w:t>Comunidad cultural</w:t>
        </w:r>
        <w:r>
          <w:rPr>
            <w:noProof/>
            <w:webHidden/>
          </w:rPr>
          <w:tab/>
        </w:r>
        <w:r>
          <w:rPr>
            <w:noProof/>
            <w:webHidden/>
          </w:rPr>
          <w:fldChar w:fldCharType="begin"/>
        </w:r>
        <w:r>
          <w:rPr>
            <w:noProof/>
            <w:webHidden/>
          </w:rPr>
          <w:instrText xml:space="preserve"> PAGEREF _Toc535584960 \h </w:instrText>
        </w:r>
        <w:r>
          <w:rPr>
            <w:noProof/>
            <w:webHidden/>
          </w:rPr>
        </w:r>
        <w:r>
          <w:rPr>
            <w:noProof/>
            <w:webHidden/>
          </w:rPr>
          <w:fldChar w:fldCharType="separate"/>
        </w:r>
        <w:r>
          <w:rPr>
            <w:noProof/>
            <w:webHidden/>
          </w:rPr>
          <w:t>11</w:t>
        </w:r>
        <w:r>
          <w:rPr>
            <w:noProof/>
            <w:webHidden/>
          </w:rPr>
          <w:fldChar w:fldCharType="end"/>
        </w:r>
      </w:hyperlink>
    </w:p>
    <w:p w:rsidR="00AE4787" w:rsidRDefault="00AE4787">
      <w:pPr>
        <w:pStyle w:val="TOC1"/>
        <w:tabs>
          <w:tab w:val="right" w:leader="dot" w:pos="9061"/>
        </w:tabs>
        <w:rPr>
          <w:noProof/>
        </w:rPr>
      </w:pPr>
      <w:hyperlink w:anchor="_Toc535584961" w:history="1">
        <w:r w:rsidRPr="004A0D9E">
          <w:rPr>
            <w:rStyle w:val="Hyperlink"/>
            <w:noProof/>
            <w:lang w:val="es-ES"/>
          </w:rPr>
          <w:t>Diversidad cultural</w:t>
        </w:r>
        <w:r>
          <w:rPr>
            <w:noProof/>
            <w:webHidden/>
          </w:rPr>
          <w:tab/>
        </w:r>
        <w:r>
          <w:rPr>
            <w:noProof/>
            <w:webHidden/>
          </w:rPr>
          <w:fldChar w:fldCharType="begin"/>
        </w:r>
        <w:r>
          <w:rPr>
            <w:noProof/>
            <w:webHidden/>
          </w:rPr>
          <w:instrText xml:space="preserve"> PAGEREF _Toc535584961 \h </w:instrText>
        </w:r>
        <w:r>
          <w:rPr>
            <w:noProof/>
            <w:webHidden/>
          </w:rPr>
        </w:r>
        <w:r>
          <w:rPr>
            <w:noProof/>
            <w:webHidden/>
          </w:rPr>
          <w:fldChar w:fldCharType="separate"/>
        </w:r>
        <w:r>
          <w:rPr>
            <w:noProof/>
            <w:webHidden/>
          </w:rPr>
          <w:t>11</w:t>
        </w:r>
        <w:r>
          <w:rPr>
            <w:noProof/>
            <w:webHidden/>
          </w:rPr>
          <w:fldChar w:fldCharType="end"/>
        </w:r>
      </w:hyperlink>
    </w:p>
    <w:p w:rsidR="00AE4787" w:rsidRDefault="00AE4787">
      <w:pPr>
        <w:pStyle w:val="TOC1"/>
        <w:tabs>
          <w:tab w:val="right" w:leader="dot" w:pos="9061"/>
        </w:tabs>
        <w:rPr>
          <w:noProof/>
        </w:rPr>
      </w:pPr>
      <w:hyperlink w:anchor="_Toc535584962" w:history="1">
        <w:r w:rsidRPr="004A0D9E">
          <w:rPr>
            <w:rStyle w:val="Hyperlink"/>
            <w:noProof/>
            <w:lang w:val="es-ES"/>
          </w:rPr>
          <w:t>Expresiones culturales</w:t>
        </w:r>
        <w:r>
          <w:rPr>
            <w:noProof/>
            <w:webHidden/>
          </w:rPr>
          <w:tab/>
        </w:r>
        <w:r>
          <w:rPr>
            <w:noProof/>
            <w:webHidden/>
          </w:rPr>
          <w:fldChar w:fldCharType="begin"/>
        </w:r>
        <w:r>
          <w:rPr>
            <w:noProof/>
            <w:webHidden/>
          </w:rPr>
          <w:instrText xml:space="preserve"> PAGEREF _Toc535584962 \h </w:instrText>
        </w:r>
        <w:r>
          <w:rPr>
            <w:noProof/>
            <w:webHidden/>
          </w:rPr>
        </w:r>
        <w:r>
          <w:rPr>
            <w:noProof/>
            <w:webHidden/>
          </w:rPr>
          <w:fldChar w:fldCharType="separate"/>
        </w:r>
        <w:r>
          <w:rPr>
            <w:noProof/>
            <w:webHidden/>
          </w:rPr>
          <w:t>11</w:t>
        </w:r>
        <w:r>
          <w:rPr>
            <w:noProof/>
            <w:webHidden/>
          </w:rPr>
          <w:fldChar w:fldCharType="end"/>
        </w:r>
      </w:hyperlink>
    </w:p>
    <w:p w:rsidR="00AE4787" w:rsidRDefault="00AE4787">
      <w:pPr>
        <w:pStyle w:val="TOC1"/>
        <w:tabs>
          <w:tab w:val="right" w:leader="dot" w:pos="9061"/>
        </w:tabs>
        <w:rPr>
          <w:noProof/>
        </w:rPr>
      </w:pPr>
      <w:hyperlink w:anchor="_Toc535584963" w:history="1">
        <w:r w:rsidRPr="004A0D9E">
          <w:rPr>
            <w:rStyle w:val="Hyperlink"/>
            <w:noProof/>
            <w:lang w:val="es-ES"/>
          </w:rPr>
          <w:t>Patrimonio cultural</w:t>
        </w:r>
        <w:r>
          <w:rPr>
            <w:noProof/>
            <w:webHidden/>
          </w:rPr>
          <w:tab/>
        </w:r>
        <w:r>
          <w:rPr>
            <w:noProof/>
            <w:webHidden/>
          </w:rPr>
          <w:fldChar w:fldCharType="begin"/>
        </w:r>
        <w:r>
          <w:rPr>
            <w:noProof/>
            <w:webHidden/>
          </w:rPr>
          <w:instrText xml:space="preserve"> PAGEREF _Toc535584963 \h </w:instrText>
        </w:r>
        <w:r>
          <w:rPr>
            <w:noProof/>
            <w:webHidden/>
          </w:rPr>
        </w:r>
        <w:r>
          <w:rPr>
            <w:noProof/>
            <w:webHidden/>
          </w:rPr>
          <w:fldChar w:fldCharType="separate"/>
        </w:r>
        <w:r>
          <w:rPr>
            <w:noProof/>
            <w:webHidden/>
          </w:rPr>
          <w:t>11</w:t>
        </w:r>
        <w:r>
          <w:rPr>
            <w:noProof/>
            <w:webHidden/>
          </w:rPr>
          <w:fldChar w:fldCharType="end"/>
        </w:r>
      </w:hyperlink>
    </w:p>
    <w:p w:rsidR="00AE4787" w:rsidRDefault="00AE4787">
      <w:pPr>
        <w:pStyle w:val="TOC1"/>
        <w:tabs>
          <w:tab w:val="right" w:leader="dot" w:pos="9061"/>
        </w:tabs>
        <w:rPr>
          <w:noProof/>
        </w:rPr>
      </w:pPr>
      <w:hyperlink w:anchor="_Toc535584964" w:history="1">
        <w:r w:rsidRPr="004A0D9E">
          <w:rPr>
            <w:rStyle w:val="Hyperlink"/>
            <w:noProof/>
            <w:lang w:val="es-ES"/>
          </w:rPr>
          <w:t>Identidad cultural</w:t>
        </w:r>
        <w:r>
          <w:rPr>
            <w:noProof/>
            <w:webHidden/>
          </w:rPr>
          <w:tab/>
        </w:r>
        <w:r>
          <w:rPr>
            <w:noProof/>
            <w:webHidden/>
          </w:rPr>
          <w:fldChar w:fldCharType="begin"/>
        </w:r>
        <w:r>
          <w:rPr>
            <w:noProof/>
            <w:webHidden/>
          </w:rPr>
          <w:instrText xml:space="preserve"> PAGEREF _Toc535584964 \h </w:instrText>
        </w:r>
        <w:r>
          <w:rPr>
            <w:noProof/>
            <w:webHidden/>
          </w:rPr>
        </w:r>
        <w:r>
          <w:rPr>
            <w:noProof/>
            <w:webHidden/>
          </w:rPr>
          <w:fldChar w:fldCharType="separate"/>
        </w:r>
        <w:r>
          <w:rPr>
            <w:noProof/>
            <w:webHidden/>
          </w:rPr>
          <w:t>11</w:t>
        </w:r>
        <w:r>
          <w:rPr>
            <w:noProof/>
            <w:webHidden/>
          </w:rPr>
          <w:fldChar w:fldCharType="end"/>
        </w:r>
      </w:hyperlink>
    </w:p>
    <w:p w:rsidR="00AE4787" w:rsidRDefault="00AE4787">
      <w:pPr>
        <w:pStyle w:val="TOC1"/>
        <w:tabs>
          <w:tab w:val="right" w:leader="dot" w:pos="9061"/>
        </w:tabs>
        <w:rPr>
          <w:noProof/>
        </w:rPr>
      </w:pPr>
      <w:hyperlink w:anchor="_Toc535584965" w:history="1">
        <w:r w:rsidRPr="004A0D9E">
          <w:rPr>
            <w:rStyle w:val="Hyperlink"/>
            <w:noProof/>
            <w:lang w:val="es-ES"/>
          </w:rPr>
          <w:t>Bienes culturales</w:t>
        </w:r>
        <w:r>
          <w:rPr>
            <w:noProof/>
            <w:webHidden/>
          </w:rPr>
          <w:tab/>
        </w:r>
        <w:r>
          <w:rPr>
            <w:noProof/>
            <w:webHidden/>
          </w:rPr>
          <w:fldChar w:fldCharType="begin"/>
        </w:r>
        <w:r>
          <w:rPr>
            <w:noProof/>
            <w:webHidden/>
          </w:rPr>
          <w:instrText xml:space="preserve"> PAGEREF _Toc535584965 \h </w:instrText>
        </w:r>
        <w:r>
          <w:rPr>
            <w:noProof/>
            <w:webHidden/>
          </w:rPr>
        </w:r>
        <w:r>
          <w:rPr>
            <w:noProof/>
            <w:webHidden/>
          </w:rPr>
          <w:fldChar w:fldCharType="separate"/>
        </w:r>
        <w:r>
          <w:rPr>
            <w:noProof/>
            <w:webHidden/>
          </w:rPr>
          <w:t>12</w:t>
        </w:r>
        <w:r>
          <w:rPr>
            <w:noProof/>
            <w:webHidden/>
          </w:rPr>
          <w:fldChar w:fldCharType="end"/>
        </w:r>
      </w:hyperlink>
    </w:p>
    <w:p w:rsidR="00AE4787" w:rsidRDefault="00AE4787">
      <w:pPr>
        <w:pStyle w:val="TOC1"/>
        <w:tabs>
          <w:tab w:val="right" w:leader="dot" w:pos="9061"/>
        </w:tabs>
        <w:rPr>
          <w:noProof/>
        </w:rPr>
      </w:pPr>
      <w:hyperlink w:anchor="_Toc535584966" w:history="1">
        <w:r w:rsidRPr="004A0D9E">
          <w:rPr>
            <w:rStyle w:val="Hyperlink"/>
            <w:noProof/>
            <w:lang w:val="es-ES"/>
          </w:rPr>
          <w:t>Custodio</w:t>
        </w:r>
        <w:r>
          <w:rPr>
            <w:noProof/>
            <w:webHidden/>
          </w:rPr>
          <w:tab/>
        </w:r>
        <w:r>
          <w:rPr>
            <w:noProof/>
            <w:webHidden/>
          </w:rPr>
          <w:fldChar w:fldCharType="begin"/>
        </w:r>
        <w:r>
          <w:rPr>
            <w:noProof/>
            <w:webHidden/>
          </w:rPr>
          <w:instrText xml:space="preserve"> PAGEREF _Toc535584966 \h </w:instrText>
        </w:r>
        <w:r>
          <w:rPr>
            <w:noProof/>
            <w:webHidden/>
          </w:rPr>
        </w:r>
        <w:r>
          <w:rPr>
            <w:noProof/>
            <w:webHidden/>
          </w:rPr>
          <w:fldChar w:fldCharType="separate"/>
        </w:r>
        <w:r>
          <w:rPr>
            <w:noProof/>
            <w:webHidden/>
          </w:rPr>
          <w:t>12</w:t>
        </w:r>
        <w:r>
          <w:rPr>
            <w:noProof/>
            <w:webHidden/>
          </w:rPr>
          <w:fldChar w:fldCharType="end"/>
        </w:r>
      </w:hyperlink>
    </w:p>
    <w:p w:rsidR="00AE4787" w:rsidRDefault="00AE4787">
      <w:pPr>
        <w:pStyle w:val="TOC1"/>
        <w:tabs>
          <w:tab w:val="right" w:leader="dot" w:pos="9061"/>
        </w:tabs>
        <w:rPr>
          <w:noProof/>
        </w:rPr>
      </w:pPr>
      <w:hyperlink w:anchor="_Toc535584967" w:history="1">
        <w:r w:rsidRPr="004A0D9E">
          <w:rPr>
            <w:rStyle w:val="Hyperlink"/>
            <w:noProof/>
            <w:lang w:val="es-ES"/>
          </w:rPr>
          <w:t>Contexto consuetudinario</w:t>
        </w:r>
        <w:r>
          <w:rPr>
            <w:noProof/>
            <w:webHidden/>
          </w:rPr>
          <w:tab/>
        </w:r>
        <w:r>
          <w:rPr>
            <w:noProof/>
            <w:webHidden/>
          </w:rPr>
          <w:fldChar w:fldCharType="begin"/>
        </w:r>
        <w:r>
          <w:rPr>
            <w:noProof/>
            <w:webHidden/>
          </w:rPr>
          <w:instrText xml:space="preserve"> PAGEREF _Toc535584967 \h </w:instrText>
        </w:r>
        <w:r>
          <w:rPr>
            <w:noProof/>
            <w:webHidden/>
          </w:rPr>
        </w:r>
        <w:r>
          <w:rPr>
            <w:noProof/>
            <w:webHidden/>
          </w:rPr>
          <w:fldChar w:fldCharType="separate"/>
        </w:r>
        <w:r>
          <w:rPr>
            <w:noProof/>
            <w:webHidden/>
          </w:rPr>
          <w:t>12</w:t>
        </w:r>
        <w:r>
          <w:rPr>
            <w:noProof/>
            <w:webHidden/>
          </w:rPr>
          <w:fldChar w:fldCharType="end"/>
        </w:r>
      </w:hyperlink>
    </w:p>
    <w:p w:rsidR="00AE4787" w:rsidRDefault="00AE4787">
      <w:pPr>
        <w:pStyle w:val="TOC1"/>
        <w:tabs>
          <w:tab w:val="right" w:leader="dot" w:pos="9061"/>
        </w:tabs>
        <w:rPr>
          <w:noProof/>
        </w:rPr>
      </w:pPr>
      <w:hyperlink w:anchor="_Toc535584968" w:history="1">
        <w:r w:rsidRPr="004A0D9E">
          <w:rPr>
            <w:rStyle w:val="Hyperlink"/>
            <w:noProof/>
            <w:lang w:val="es-ES"/>
          </w:rPr>
          <w:t>Derecho y protocolos consuetudinarios</w:t>
        </w:r>
        <w:r>
          <w:rPr>
            <w:noProof/>
            <w:webHidden/>
          </w:rPr>
          <w:tab/>
        </w:r>
        <w:r>
          <w:rPr>
            <w:noProof/>
            <w:webHidden/>
          </w:rPr>
          <w:fldChar w:fldCharType="begin"/>
        </w:r>
        <w:r>
          <w:rPr>
            <w:noProof/>
            <w:webHidden/>
          </w:rPr>
          <w:instrText xml:space="preserve"> PAGEREF _Toc535584968 \h </w:instrText>
        </w:r>
        <w:r>
          <w:rPr>
            <w:noProof/>
            <w:webHidden/>
          </w:rPr>
        </w:r>
        <w:r>
          <w:rPr>
            <w:noProof/>
            <w:webHidden/>
          </w:rPr>
          <w:fldChar w:fldCharType="separate"/>
        </w:r>
        <w:r>
          <w:rPr>
            <w:noProof/>
            <w:webHidden/>
          </w:rPr>
          <w:t>13</w:t>
        </w:r>
        <w:r>
          <w:rPr>
            <w:noProof/>
            <w:webHidden/>
          </w:rPr>
          <w:fldChar w:fldCharType="end"/>
        </w:r>
      </w:hyperlink>
    </w:p>
    <w:p w:rsidR="00AE4787" w:rsidRDefault="00AE4787">
      <w:pPr>
        <w:pStyle w:val="TOC1"/>
        <w:tabs>
          <w:tab w:val="right" w:leader="dot" w:pos="9061"/>
        </w:tabs>
        <w:rPr>
          <w:noProof/>
        </w:rPr>
      </w:pPr>
      <w:hyperlink w:anchor="_Toc535584969" w:history="1">
        <w:r w:rsidRPr="004A0D9E">
          <w:rPr>
            <w:rStyle w:val="Hyperlink"/>
            <w:noProof/>
            <w:lang w:val="es-ES"/>
          </w:rPr>
          <w:t>Prácticas consuetudinarias</w:t>
        </w:r>
        <w:r>
          <w:rPr>
            <w:noProof/>
            <w:webHidden/>
          </w:rPr>
          <w:tab/>
        </w:r>
        <w:r>
          <w:rPr>
            <w:noProof/>
            <w:webHidden/>
          </w:rPr>
          <w:fldChar w:fldCharType="begin"/>
        </w:r>
        <w:r>
          <w:rPr>
            <w:noProof/>
            <w:webHidden/>
          </w:rPr>
          <w:instrText xml:space="preserve"> PAGEREF _Toc535584969 \h </w:instrText>
        </w:r>
        <w:r>
          <w:rPr>
            <w:noProof/>
            <w:webHidden/>
          </w:rPr>
        </w:r>
        <w:r>
          <w:rPr>
            <w:noProof/>
            <w:webHidden/>
          </w:rPr>
          <w:fldChar w:fldCharType="separate"/>
        </w:r>
        <w:r>
          <w:rPr>
            <w:noProof/>
            <w:webHidden/>
          </w:rPr>
          <w:t>13</w:t>
        </w:r>
        <w:r>
          <w:rPr>
            <w:noProof/>
            <w:webHidden/>
          </w:rPr>
          <w:fldChar w:fldCharType="end"/>
        </w:r>
      </w:hyperlink>
    </w:p>
    <w:p w:rsidR="00AE4787" w:rsidRDefault="00AE4787">
      <w:pPr>
        <w:pStyle w:val="TOC1"/>
        <w:tabs>
          <w:tab w:val="right" w:leader="dot" w:pos="9061"/>
        </w:tabs>
        <w:rPr>
          <w:noProof/>
        </w:rPr>
      </w:pPr>
      <w:hyperlink w:anchor="_Toc535584970" w:history="1">
        <w:r w:rsidRPr="004A0D9E">
          <w:rPr>
            <w:rStyle w:val="Hyperlink"/>
            <w:noProof/>
            <w:lang w:val="es-ES"/>
          </w:rPr>
          <w:t>Base de datos de los acuerdos de acceso y de participación en los beneficios relacionados con la biodiversidad</w:t>
        </w:r>
        <w:r>
          <w:rPr>
            <w:noProof/>
            <w:webHidden/>
          </w:rPr>
          <w:tab/>
        </w:r>
        <w:r>
          <w:rPr>
            <w:noProof/>
            <w:webHidden/>
          </w:rPr>
          <w:fldChar w:fldCharType="begin"/>
        </w:r>
        <w:r>
          <w:rPr>
            <w:noProof/>
            <w:webHidden/>
          </w:rPr>
          <w:instrText xml:space="preserve"> PAGEREF _Toc535584970 \h </w:instrText>
        </w:r>
        <w:r>
          <w:rPr>
            <w:noProof/>
            <w:webHidden/>
          </w:rPr>
        </w:r>
        <w:r>
          <w:rPr>
            <w:noProof/>
            <w:webHidden/>
          </w:rPr>
          <w:fldChar w:fldCharType="separate"/>
        </w:r>
        <w:r>
          <w:rPr>
            <w:noProof/>
            <w:webHidden/>
          </w:rPr>
          <w:t>14</w:t>
        </w:r>
        <w:r>
          <w:rPr>
            <w:noProof/>
            <w:webHidden/>
          </w:rPr>
          <w:fldChar w:fldCharType="end"/>
        </w:r>
      </w:hyperlink>
    </w:p>
    <w:p w:rsidR="00AE4787" w:rsidRDefault="00AE4787">
      <w:pPr>
        <w:pStyle w:val="TOC1"/>
        <w:tabs>
          <w:tab w:val="right" w:leader="dot" w:pos="9061"/>
        </w:tabs>
        <w:rPr>
          <w:noProof/>
        </w:rPr>
      </w:pPr>
      <w:hyperlink w:anchor="_Toc535584971" w:history="1">
        <w:r w:rsidRPr="004A0D9E">
          <w:rPr>
            <w:rStyle w:val="Hyperlink"/>
            <w:noProof/>
            <w:lang w:val="es-ES"/>
          </w:rPr>
          <w:t>Derivado</w:t>
        </w:r>
        <w:r>
          <w:rPr>
            <w:noProof/>
            <w:webHidden/>
          </w:rPr>
          <w:tab/>
        </w:r>
        <w:r>
          <w:rPr>
            <w:noProof/>
            <w:webHidden/>
          </w:rPr>
          <w:fldChar w:fldCharType="begin"/>
        </w:r>
        <w:r>
          <w:rPr>
            <w:noProof/>
            <w:webHidden/>
          </w:rPr>
          <w:instrText xml:space="preserve"> PAGEREF _Toc535584971 \h </w:instrText>
        </w:r>
        <w:r>
          <w:rPr>
            <w:noProof/>
            <w:webHidden/>
          </w:rPr>
        </w:r>
        <w:r>
          <w:rPr>
            <w:noProof/>
            <w:webHidden/>
          </w:rPr>
          <w:fldChar w:fldCharType="separate"/>
        </w:r>
        <w:r>
          <w:rPr>
            <w:noProof/>
            <w:webHidden/>
          </w:rPr>
          <w:t>14</w:t>
        </w:r>
        <w:r>
          <w:rPr>
            <w:noProof/>
            <w:webHidden/>
          </w:rPr>
          <w:fldChar w:fldCharType="end"/>
        </w:r>
      </w:hyperlink>
    </w:p>
    <w:p w:rsidR="00AE4787" w:rsidRDefault="00AE4787">
      <w:pPr>
        <w:pStyle w:val="TOC1"/>
        <w:tabs>
          <w:tab w:val="right" w:leader="dot" w:pos="9061"/>
        </w:tabs>
        <w:rPr>
          <w:noProof/>
        </w:rPr>
      </w:pPr>
      <w:hyperlink w:anchor="_Toc535584972" w:history="1">
        <w:r w:rsidRPr="004A0D9E">
          <w:rPr>
            <w:rStyle w:val="Hyperlink"/>
            <w:noProof/>
            <w:lang w:val="es-ES"/>
          </w:rPr>
          <w:t>Obra derivada</w:t>
        </w:r>
        <w:r>
          <w:rPr>
            <w:noProof/>
            <w:webHidden/>
          </w:rPr>
          <w:tab/>
        </w:r>
        <w:r>
          <w:rPr>
            <w:noProof/>
            <w:webHidden/>
          </w:rPr>
          <w:fldChar w:fldCharType="begin"/>
        </w:r>
        <w:r>
          <w:rPr>
            <w:noProof/>
            <w:webHidden/>
          </w:rPr>
          <w:instrText xml:space="preserve"> PAGEREF _Toc535584972 \h </w:instrText>
        </w:r>
        <w:r>
          <w:rPr>
            <w:noProof/>
            <w:webHidden/>
          </w:rPr>
        </w:r>
        <w:r>
          <w:rPr>
            <w:noProof/>
            <w:webHidden/>
          </w:rPr>
          <w:fldChar w:fldCharType="separate"/>
        </w:r>
        <w:r>
          <w:rPr>
            <w:noProof/>
            <w:webHidden/>
          </w:rPr>
          <w:t>14</w:t>
        </w:r>
        <w:r>
          <w:rPr>
            <w:noProof/>
            <w:webHidden/>
          </w:rPr>
          <w:fldChar w:fldCharType="end"/>
        </w:r>
      </w:hyperlink>
    </w:p>
    <w:p w:rsidR="00AE4787" w:rsidRDefault="00AE4787">
      <w:pPr>
        <w:pStyle w:val="TOC1"/>
        <w:tabs>
          <w:tab w:val="right" w:leader="dot" w:pos="9061"/>
        </w:tabs>
        <w:rPr>
          <w:noProof/>
        </w:rPr>
      </w:pPr>
      <w:hyperlink w:anchor="_Toc535584973" w:history="1">
        <w:r w:rsidRPr="004A0D9E">
          <w:rPr>
            <w:rStyle w:val="Hyperlink"/>
            <w:noProof/>
            <w:lang w:val="es-ES"/>
          </w:rPr>
          <w:t>Atentado a la obra (o acto lesivo)</w:t>
        </w:r>
        <w:r>
          <w:rPr>
            <w:noProof/>
            <w:webHidden/>
          </w:rPr>
          <w:tab/>
        </w:r>
        <w:r>
          <w:rPr>
            <w:noProof/>
            <w:webHidden/>
          </w:rPr>
          <w:fldChar w:fldCharType="begin"/>
        </w:r>
        <w:r>
          <w:rPr>
            <w:noProof/>
            <w:webHidden/>
          </w:rPr>
          <w:instrText xml:space="preserve"> PAGEREF _Toc535584973 \h </w:instrText>
        </w:r>
        <w:r>
          <w:rPr>
            <w:noProof/>
            <w:webHidden/>
          </w:rPr>
        </w:r>
        <w:r>
          <w:rPr>
            <w:noProof/>
            <w:webHidden/>
          </w:rPr>
          <w:fldChar w:fldCharType="separate"/>
        </w:r>
        <w:r>
          <w:rPr>
            <w:noProof/>
            <w:webHidden/>
          </w:rPr>
          <w:t>15</w:t>
        </w:r>
        <w:r>
          <w:rPr>
            <w:noProof/>
            <w:webHidden/>
          </w:rPr>
          <w:fldChar w:fldCharType="end"/>
        </w:r>
      </w:hyperlink>
    </w:p>
    <w:p w:rsidR="00AE4787" w:rsidRDefault="00AE4787">
      <w:pPr>
        <w:pStyle w:val="TOC1"/>
        <w:tabs>
          <w:tab w:val="right" w:leader="dot" w:pos="9061"/>
        </w:tabs>
        <w:rPr>
          <w:noProof/>
        </w:rPr>
      </w:pPr>
      <w:hyperlink w:anchor="_Toc535584974" w:history="1">
        <w:r w:rsidRPr="004A0D9E">
          <w:rPr>
            <w:rStyle w:val="Hyperlink"/>
            <w:noProof/>
            <w:lang w:val="es-ES"/>
          </w:rPr>
          <w:t>Conocimientos tradicionales divulgados</w:t>
        </w:r>
        <w:r>
          <w:rPr>
            <w:noProof/>
            <w:webHidden/>
          </w:rPr>
          <w:tab/>
        </w:r>
        <w:r>
          <w:rPr>
            <w:noProof/>
            <w:webHidden/>
          </w:rPr>
          <w:fldChar w:fldCharType="begin"/>
        </w:r>
        <w:r>
          <w:rPr>
            <w:noProof/>
            <w:webHidden/>
          </w:rPr>
          <w:instrText xml:space="preserve"> PAGEREF _Toc535584974 \h </w:instrText>
        </w:r>
        <w:r>
          <w:rPr>
            <w:noProof/>
            <w:webHidden/>
          </w:rPr>
        </w:r>
        <w:r>
          <w:rPr>
            <w:noProof/>
            <w:webHidden/>
          </w:rPr>
          <w:fldChar w:fldCharType="separate"/>
        </w:r>
        <w:r>
          <w:rPr>
            <w:noProof/>
            <w:webHidden/>
          </w:rPr>
          <w:t>15</w:t>
        </w:r>
        <w:r>
          <w:rPr>
            <w:noProof/>
            <w:webHidden/>
          </w:rPr>
          <w:fldChar w:fldCharType="end"/>
        </w:r>
      </w:hyperlink>
    </w:p>
    <w:p w:rsidR="00AE4787" w:rsidRDefault="00AE4787">
      <w:pPr>
        <w:pStyle w:val="TOC1"/>
        <w:tabs>
          <w:tab w:val="right" w:leader="dot" w:pos="9061"/>
        </w:tabs>
        <w:rPr>
          <w:noProof/>
        </w:rPr>
      </w:pPr>
      <w:hyperlink w:anchor="_Toc535584975" w:history="1">
        <w:r w:rsidRPr="004A0D9E">
          <w:rPr>
            <w:rStyle w:val="Hyperlink"/>
            <w:noProof/>
            <w:lang w:val="es-ES"/>
          </w:rPr>
          <w:t>Divulgación</w:t>
        </w:r>
        <w:r>
          <w:rPr>
            <w:noProof/>
            <w:webHidden/>
          </w:rPr>
          <w:tab/>
        </w:r>
        <w:r>
          <w:rPr>
            <w:noProof/>
            <w:webHidden/>
          </w:rPr>
          <w:fldChar w:fldCharType="begin"/>
        </w:r>
        <w:r>
          <w:rPr>
            <w:noProof/>
            <w:webHidden/>
          </w:rPr>
          <w:instrText xml:space="preserve"> PAGEREF _Toc535584975 \h </w:instrText>
        </w:r>
        <w:r>
          <w:rPr>
            <w:noProof/>
            <w:webHidden/>
          </w:rPr>
        </w:r>
        <w:r>
          <w:rPr>
            <w:noProof/>
            <w:webHidden/>
          </w:rPr>
          <w:fldChar w:fldCharType="separate"/>
        </w:r>
        <w:r>
          <w:rPr>
            <w:noProof/>
            <w:webHidden/>
          </w:rPr>
          <w:t>16</w:t>
        </w:r>
        <w:r>
          <w:rPr>
            <w:noProof/>
            <w:webHidden/>
          </w:rPr>
          <w:fldChar w:fldCharType="end"/>
        </w:r>
      </w:hyperlink>
    </w:p>
    <w:p w:rsidR="00AE4787" w:rsidRDefault="00AE4787">
      <w:pPr>
        <w:pStyle w:val="TOC1"/>
        <w:tabs>
          <w:tab w:val="right" w:leader="dot" w:pos="9061"/>
        </w:tabs>
        <w:rPr>
          <w:noProof/>
        </w:rPr>
      </w:pPr>
      <w:hyperlink w:anchor="_Toc535584976" w:history="1">
        <w:r w:rsidRPr="004A0D9E">
          <w:rPr>
            <w:rStyle w:val="Hyperlink"/>
            <w:noProof/>
            <w:lang w:val="es-ES"/>
          </w:rPr>
          <w:t>Requisitos de divulgación</w:t>
        </w:r>
        <w:r>
          <w:rPr>
            <w:noProof/>
            <w:webHidden/>
          </w:rPr>
          <w:tab/>
        </w:r>
        <w:r>
          <w:rPr>
            <w:noProof/>
            <w:webHidden/>
          </w:rPr>
          <w:fldChar w:fldCharType="begin"/>
        </w:r>
        <w:r>
          <w:rPr>
            <w:noProof/>
            <w:webHidden/>
          </w:rPr>
          <w:instrText xml:space="preserve"> PAGEREF _Toc535584976 \h </w:instrText>
        </w:r>
        <w:r>
          <w:rPr>
            <w:noProof/>
            <w:webHidden/>
          </w:rPr>
        </w:r>
        <w:r>
          <w:rPr>
            <w:noProof/>
            <w:webHidden/>
          </w:rPr>
          <w:fldChar w:fldCharType="separate"/>
        </w:r>
        <w:r>
          <w:rPr>
            <w:noProof/>
            <w:webHidden/>
          </w:rPr>
          <w:t>16</w:t>
        </w:r>
        <w:r>
          <w:rPr>
            <w:noProof/>
            <w:webHidden/>
          </w:rPr>
          <w:fldChar w:fldCharType="end"/>
        </w:r>
      </w:hyperlink>
    </w:p>
    <w:p w:rsidR="00AE4787" w:rsidRDefault="00AE4787">
      <w:pPr>
        <w:pStyle w:val="TOC1"/>
        <w:tabs>
          <w:tab w:val="right" w:leader="dot" w:pos="9061"/>
        </w:tabs>
        <w:rPr>
          <w:noProof/>
        </w:rPr>
      </w:pPr>
      <w:hyperlink w:anchor="_Toc535584977" w:history="1">
        <w:r w:rsidRPr="004A0D9E">
          <w:rPr>
            <w:rStyle w:val="Hyperlink"/>
            <w:noProof/>
            <w:lang w:val="es-ES"/>
          </w:rPr>
          <w:t>Catalogación</w:t>
        </w:r>
        <w:r>
          <w:rPr>
            <w:noProof/>
            <w:webHidden/>
          </w:rPr>
          <w:tab/>
        </w:r>
        <w:r>
          <w:rPr>
            <w:noProof/>
            <w:webHidden/>
          </w:rPr>
          <w:fldChar w:fldCharType="begin"/>
        </w:r>
        <w:r>
          <w:rPr>
            <w:noProof/>
            <w:webHidden/>
          </w:rPr>
          <w:instrText xml:space="preserve"> PAGEREF _Toc535584977 \h </w:instrText>
        </w:r>
        <w:r>
          <w:rPr>
            <w:noProof/>
            <w:webHidden/>
          </w:rPr>
        </w:r>
        <w:r>
          <w:rPr>
            <w:noProof/>
            <w:webHidden/>
          </w:rPr>
          <w:fldChar w:fldCharType="separate"/>
        </w:r>
        <w:r>
          <w:rPr>
            <w:noProof/>
            <w:webHidden/>
          </w:rPr>
          <w:t>17</w:t>
        </w:r>
        <w:r>
          <w:rPr>
            <w:noProof/>
            <w:webHidden/>
          </w:rPr>
          <w:fldChar w:fldCharType="end"/>
        </w:r>
      </w:hyperlink>
    </w:p>
    <w:p w:rsidR="00AE4787" w:rsidRDefault="00AE4787">
      <w:pPr>
        <w:pStyle w:val="TOC1"/>
        <w:tabs>
          <w:tab w:val="right" w:leader="dot" w:pos="9061"/>
        </w:tabs>
        <w:rPr>
          <w:noProof/>
        </w:rPr>
      </w:pPr>
      <w:hyperlink w:anchor="_Toc535584978" w:history="1">
        <w:r w:rsidRPr="004A0D9E">
          <w:rPr>
            <w:rStyle w:val="Hyperlink"/>
            <w:noProof/>
            <w:lang w:val="es-ES"/>
          </w:rPr>
          <w:t>Diligencia debida</w:t>
        </w:r>
        <w:r>
          <w:rPr>
            <w:noProof/>
            <w:webHidden/>
          </w:rPr>
          <w:tab/>
        </w:r>
        <w:r>
          <w:rPr>
            <w:noProof/>
            <w:webHidden/>
          </w:rPr>
          <w:fldChar w:fldCharType="begin"/>
        </w:r>
        <w:r>
          <w:rPr>
            <w:noProof/>
            <w:webHidden/>
          </w:rPr>
          <w:instrText xml:space="preserve"> PAGEREF _Toc535584978 \h </w:instrText>
        </w:r>
        <w:r>
          <w:rPr>
            <w:noProof/>
            <w:webHidden/>
          </w:rPr>
        </w:r>
        <w:r>
          <w:rPr>
            <w:noProof/>
            <w:webHidden/>
          </w:rPr>
          <w:fldChar w:fldCharType="separate"/>
        </w:r>
        <w:r>
          <w:rPr>
            <w:noProof/>
            <w:webHidden/>
          </w:rPr>
          <w:t>17</w:t>
        </w:r>
        <w:r>
          <w:rPr>
            <w:noProof/>
            <w:webHidden/>
          </w:rPr>
          <w:fldChar w:fldCharType="end"/>
        </w:r>
      </w:hyperlink>
    </w:p>
    <w:p w:rsidR="00AE4787" w:rsidRDefault="00AE4787">
      <w:pPr>
        <w:pStyle w:val="TOC1"/>
        <w:tabs>
          <w:tab w:val="right" w:leader="dot" w:pos="9061"/>
        </w:tabs>
        <w:rPr>
          <w:noProof/>
        </w:rPr>
      </w:pPr>
      <w:hyperlink w:anchor="_Toc535584979" w:history="1">
        <w:r w:rsidRPr="004A0D9E">
          <w:rPr>
            <w:rStyle w:val="Hyperlink"/>
            <w:noProof/>
            <w:lang w:val="es-ES"/>
          </w:rPr>
          <w:t>Remuneración equitativa</w:t>
        </w:r>
        <w:r>
          <w:rPr>
            <w:noProof/>
            <w:webHidden/>
          </w:rPr>
          <w:tab/>
        </w:r>
        <w:r>
          <w:rPr>
            <w:noProof/>
            <w:webHidden/>
          </w:rPr>
          <w:fldChar w:fldCharType="begin"/>
        </w:r>
        <w:r>
          <w:rPr>
            <w:noProof/>
            <w:webHidden/>
          </w:rPr>
          <w:instrText xml:space="preserve"> PAGEREF _Toc535584979 \h </w:instrText>
        </w:r>
        <w:r>
          <w:rPr>
            <w:noProof/>
            <w:webHidden/>
          </w:rPr>
        </w:r>
        <w:r>
          <w:rPr>
            <w:noProof/>
            <w:webHidden/>
          </w:rPr>
          <w:fldChar w:fldCharType="separate"/>
        </w:r>
        <w:r>
          <w:rPr>
            <w:noProof/>
            <w:webHidden/>
          </w:rPr>
          <w:t>17</w:t>
        </w:r>
        <w:r>
          <w:rPr>
            <w:noProof/>
            <w:webHidden/>
          </w:rPr>
          <w:fldChar w:fldCharType="end"/>
        </w:r>
      </w:hyperlink>
    </w:p>
    <w:p w:rsidR="00AE4787" w:rsidRDefault="00AE4787">
      <w:pPr>
        <w:pStyle w:val="TOC1"/>
        <w:tabs>
          <w:tab w:val="right" w:leader="dot" w:pos="9061"/>
        </w:tabs>
        <w:rPr>
          <w:noProof/>
        </w:rPr>
      </w:pPr>
      <w:hyperlink w:anchor="_Toc535584980" w:history="1">
        <w:r w:rsidRPr="004A0D9E">
          <w:rPr>
            <w:rStyle w:val="Hyperlink"/>
            <w:noProof/>
            <w:lang w:val="es-ES"/>
          </w:rPr>
          <w:t>Excepciones</w:t>
        </w:r>
        <w:r>
          <w:rPr>
            <w:noProof/>
            <w:webHidden/>
          </w:rPr>
          <w:tab/>
        </w:r>
        <w:r>
          <w:rPr>
            <w:noProof/>
            <w:webHidden/>
          </w:rPr>
          <w:fldChar w:fldCharType="begin"/>
        </w:r>
        <w:r>
          <w:rPr>
            <w:noProof/>
            <w:webHidden/>
          </w:rPr>
          <w:instrText xml:space="preserve"> PAGEREF _Toc535584980 \h </w:instrText>
        </w:r>
        <w:r>
          <w:rPr>
            <w:noProof/>
            <w:webHidden/>
          </w:rPr>
        </w:r>
        <w:r>
          <w:rPr>
            <w:noProof/>
            <w:webHidden/>
          </w:rPr>
          <w:fldChar w:fldCharType="separate"/>
        </w:r>
        <w:r>
          <w:rPr>
            <w:noProof/>
            <w:webHidden/>
          </w:rPr>
          <w:t>18</w:t>
        </w:r>
        <w:r>
          <w:rPr>
            <w:noProof/>
            <w:webHidden/>
          </w:rPr>
          <w:fldChar w:fldCharType="end"/>
        </w:r>
      </w:hyperlink>
    </w:p>
    <w:p w:rsidR="00AE4787" w:rsidRDefault="00AE4787">
      <w:pPr>
        <w:pStyle w:val="TOC1"/>
        <w:tabs>
          <w:tab w:val="right" w:leader="dot" w:pos="9061"/>
        </w:tabs>
        <w:rPr>
          <w:noProof/>
        </w:rPr>
      </w:pPr>
      <w:hyperlink w:anchor="_Toc535584981" w:history="1">
        <w:r w:rsidRPr="004A0D9E">
          <w:rPr>
            <w:rStyle w:val="Hyperlink"/>
            <w:noProof/>
            <w:lang w:val="es-ES"/>
          </w:rPr>
          <w:t>Expresión corporal</w:t>
        </w:r>
        <w:r>
          <w:rPr>
            <w:noProof/>
            <w:webHidden/>
          </w:rPr>
          <w:tab/>
        </w:r>
        <w:r>
          <w:rPr>
            <w:noProof/>
            <w:webHidden/>
          </w:rPr>
          <w:fldChar w:fldCharType="begin"/>
        </w:r>
        <w:r>
          <w:rPr>
            <w:noProof/>
            <w:webHidden/>
          </w:rPr>
          <w:instrText xml:space="preserve"> PAGEREF _Toc535584981 \h </w:instrText>
        </w:r>
        <w:r>
          <w:rPr>
            <w:noProof/>
            <w:webHidden/>
          </w:rPr>
        </w:r>
        <w:r>
          <w:rPr>
            <w:noProof/>
            <w:webHidden/>
          </w:rPr>
          <w:fldChar w:fldCharType="separate"/>
        </w:r>
        <w:r>
          <w:rPr>
            <w:noProof/>
            <w:webHidden/>
          </w:rPr>
          <w:t>18</w:t>
        </w:r>
        <w:r>
          <w:rPr>
            <w:noProof/>
            <w:webHidden/>
          </w:rPr>
          <w:fldChar w:fldCharType="end"/>
        </w:r>
      </w:hyperlink>
    </w:p>
    <w:p w:rsidR="00AE4787" w:rsidRDefault="00AE4787">
      <w:pPr>
        <w:pStyle w:val="TOC1"/>
        <w:tabs>
          <w:tab w:val="right" w:leader="dot" w:pos="9061"/>
        </w:tabs>
        <w:rPr>
          <w:noProof/>
        </w:rPr>
      </w:pPr>
      <w:hyperlink w:anchor="_Toc535584982" w:history="1">
        <w:r w:rsidRPr="004A0D9E">
          <w:rPr>
            <w:rStyle w:val="Hyperlink"/>
            <w:noProof/>
            <w:lang w:val="es-ES"/>
          </w:rPr>
          <w:t>Expresiones del folclore</w:t>
        </w:r>
        <w:r>
          <w:rPr>
            <w:noProof/>
            <w:webHidden/>
          </w:rPr>
          <w:tab/>
        </w:r>
        <w:r>
          <w:rPr>
            <w:noProof/>
            <w:webHidden/>
          </w:rPr>
          <w:fldChar w:fldCharType="begin"/>
        </w:r>
        <w:r>
          <w:rPr>
            <w:noProof/>
            <w:webHidden/>
          </w:rPr>
          <w:instrText xml:space="preserve"> PAGEREF _Toc535584982 \h </w:instrText>
        </w:r>
        <w:r>
          <w:rPr>
            <w:noProof/>
            <w:webHidden/>
          </w:rPr>
        </w:r>
        <w:r>
          <w:rPr>
            <w:noProof/>
            <w:webHidden/>
          </w:rPr>
          <w:fldChar w:fldCharType="separate"/>
        </w:r>
        <w:r>
          <w:rPr>
            <w:noProof/>
            <w:webHidden/>
          </w:rPr>
          <w:t>18</w:t>
        </w:r>
        <w:r>
          <w:rPr>
            <w:noProof/>
            <w:webHidden/>
          </w:rPr>
          <w:fldChar w:fldCharType="end"/>
        </w:r>
      </w:hyperlink>
    </w:p>
    <w:p w:rsidR="00AE4787" w:rsidRDefault="00AE4787">
      <w:pPr>
        <w:pStyle w:val="TOC1"/>
        <w:tabs>
          <w:tab w:val="right" w:leader="dot" w:pos="9061"/>
        </w:tabs>
        <w:rPr>
          <w:noProof/>
        </w:rPr>
      </w:pPr>
      <w:hyperlink w:anchor="_Toc535584983" w:history="1">
        <w:r w:rsidRPr="004A0D9E">
          <w:rPr>
            <w:rStyle w:val="Hyperlink"/>
            <w:iCs/>
            <w:noProof/>
            <w:lang w:val="es-ES"/>
          </w:rPr>
          <w:t xml:space="preserve">Conservación </w:t>
        </w:r>
        <w:r w:rsidRPr="004A0D9E">
          <w:rPr>
            <w:rStyle w:val="Hyperlink"/>
            <w:i/>
            <w:iCs/>
            <w:noProof/>
            <w:lang w:val="es-ES"/>
          </w:rPr>
          <w:t>Ex-situ</w:t>
        </w:r>
        <w:r>
          <w:rPr>
            <w:noProof/>
            <w:webHidden/>
          </w:rPr>
          <w:tab/>
        </w:r>
        <w:r>
          <w:rPr>
            <w:noProof/>
            <w:webHidden/>
          </w:rPr>
          <w:fldChar w:fldCharType="begin"/>
        </w:r>
        <w:r>
          <w:rPr>
            <w:noProof/>
            <w:webHidden/>
          </w:rPr>
          <w:instrText xml:space="preserve"> PAGEREF _Toc535584983 \h </w:instrText>
        </w:r>
        <w:r>
          <w:rPr>
            <w:noProof/>
            <w:webHidden/>
          </w:rPr>
        </w:r>
        <w:r>
          <w:rPr>
            <w:noProof/>
            <w:webHidden/>
          </w:rPr>
          <w:fldChar w:fldCharType="separate"/>
        </w:r>
        <w:r>
          <w:rPr>
            <w:noProof/>
            <w:webHidden/>
          </w:rPr>
          <w:t>19</w:t>
        </w:r>
        <w:r>
          <w:rPr>
            <w:noProof/>
            <w:webHidden/>
          </w:rPr>
          <w:fldChar w:fldCharType="end"/>
        </w:r>
      </w:hyperlink>
    </w:p>
    <w:p w:rsidR="00AE4787" w:rsidRDefault="00AE4787">
      <w:pPr>
        <w:pStyle w:val="TOC1"/>
        <w:tabs>
          <w:tab w:val="right" w:leader="dot" w:pos="9061"/>
        </w:tabs>
        <w:rPr>
          <w:noProof/>
        </w:rPr>
      </w:pPr>
      <w:hyperlink w:anchor="_Toc535584984" w:history="1">
        <w:r w:rsidRPr="004A0D9E">
          <w:rPr>
            <w:rStyle w:val="Hyperlink"/>
            <w:noProof/>
            <w:lang w:val="es-ES"/>
          </w:rPr>
          <w:t>Uso leal</w:t>
        </w:r>
        <w:r>
          <w:rPr>
            <w:noProof/>
            <w:webHidden/>
          </w:rPr>
          <w:tab/>
        </w:r>
        <w:r>
          <w:rPr>
            <w:noProof/>
            <w:webHidden/>
          </w:rPr>
          <w:fldChar w:fldCharType="begin"/>
        </w:r>
        <w:r>
          <w:rPr>
            <w:noProof/>
            <w:webHidden/>
          </w:rPr>
          <w:instrText xml:space="preserve"> PAGEREF _Toc535584984 \h </w:instrText>
        </w:r>
        <w:r>
          <w:rPr>
            <w:noProof/>
            <w:webHidden/>
          </w:rPr>
        </w:r>
        <w:r>
          <w:rPr>
            <w:noProof/>
            <w:webHidden/>
          </w:rPr>
          <w:fldChar w:fldCharType="separate"/>
        </w:r>
        <w:r>
          <w:rPr>
            <w:noProof/>
            <w:webHidden/>
          </w:rPr>
          <w:t>19</w:t>
        </w:r>
        <w:r>
          <w:rPr>
            <w:noProof/>
            <w:webHidden/>
          </w:rPr>
          <w:fldChar w:fldCharType="end"/>
        </w:r>
      </w:hyperlink>
    </w:p>
    <w:p w:rsidR="00AE4787" w:rsidRDefault="00AE4787">
      <w:pPr>
        <w:pStyle w:val="TOC1"/>
        <w:tabs>
          <w:tab w:val="right" w:leader="dot" w:pos="9061"/>
        </w:tabs>
        <w:rPr>
          <w:noProof/>
        </w:rPr>
      </w:pPr>
      <w:hyperlink w:anchor="_Toc535584985" w:history="1">
        <w:r w:rsidRPr="004A0D9E">
          <w:rPr>
            <w:rStyle w:val="Hyperlink"/>
            <w:noProof/>
            <w:lang w:val="es-ES"/>
          </w:rPr>
          <w:t>Derechos del agricultor</w:t>
        </w:r>
        <w:r>
          <w:rPr>
            <w:noProof/>
            <w:webHidden/>
          </w:rPr>
          <w:tab/>
        </w:r>
        <w:r>
          <w:rPr>
            <w:noProof/>
            <w:webHidden/>
          </w:rPr>
          <w:fldChar w:fldCharType="begin"/>
        </w:r>
        <w:r>
          <w:rPr>
            <w:noProof/>
            <w:webHidden/>
          </w:rPr>
          <w:instrText xml:space="preserve"> PAGEREF _Toc535584985 \h </w:instrText>
        </w:r>
        <w:r>
          <w:rPr>
            <w:noProof/>
            <w:webHidden/>
          </w:rPr>
        </w:r>
        <w:r>
          <w:rPr>
            <w:noProof/>
            <w:webHidden/>
          </w:rPr>
          <w:fldChar w:fldCharType="separate"/>
        </w:r>
        <w:r>
          <w:rPr>
            <w:noProof/>
            <w:webHidden/>
          </w:rPr>
          <w:t>19</w:t>
        </w:r>
        <w:r>
          <w:rPr>
            <w:noProof/>
            <w:webHidden/>
          </w:rPr>
          <w:fldChar w:fldCharType="end"/>
        </w:r>
      </w:hyperlink>
    </w:p>
    <w:p w:rsidR="00AE4787" w:rsidRDefault="00AE4787">
      <w:pPr>
        <w:pStyle w:val="TOC1"/>
        <w:tabs>
          <w:tab w:val="right" w:leader="dot" w:pos="9061"/>
        </w:tabs>
        <w:rPr>
          <w:noProof/>
        </w:rPr>
      </w:pPr>
      <w:hyperlink w:anchor="_Toc535584986" w:history="1">
        <w:r w:rsidRPr="004A0D9E">
          <w:rPr>
            <w:rStyle w:val="Hyperlink"/>
            <w:noProof/>
            <w:lang w:val="es-ES"/>
          </w:rPr>
          <w:t>Fijación</w:t>
        </w:r>
        <w:r>
          <w:rPr>
            <w:noProof/>
            <w:webHidden/>
          </w:rPr>
          <w:tab/>
        </w:r>
        <w:r>
          <w:rPr>
            <w:noProof/>
            <w:webHidden/>
          </w:rPr>
          <w:fldChar w:fldCharType="begin"/>
        </w:r>
        <w:r>
          <w:rPr>
            <w:noProof/>
            <w:webHidden/>
          </w:rPr>
          <w:instrText xml:space="preserve"> PAGEREF _Toc535584986 \h </w:instrText>
        </w:r>
        <w:r>
          <w:rPr>
            <w:noProof/>
            <w:webHidden/>
          </w:rPr>
        </w:r>
        <w:r>
          <w:rPr>
            <w:noProof/>
            <w:webHidden/>
          </w:rPr>
          <w:fldChar w:fldCharType="separate"/>
        </w:r>
        <w:r>
          <w:rPr>
            <w:noProof/>
            <w:webHidden/>
          </w:rPr>
          <w:t>19</w:t>
        </w:r>
        <w:r>
          <w:rPr>
            <w:noProof/>
            <w:webHidden/>
          </w:rPr>
          <w:fldChar w:fldCharType="end"/>
        </w:r>
      </w:hyperlink>
    </w:p>
    <w:p w:rsidR="00AE4787" w:rsidRDefault="00AE4787">
      <w:pPr>
        <w:pStyle w:val="TOC1"/>
        <w:tabs>
          <w:tab w:val="right" w:leader="dot" w:pos="9061"/>
        </w:tabs>
        <w:rPr>
          <w:noProof/>
        </w:rPr>
      </w:pPr>
      <w:hyperlink w:anchor="_Toc535584987" w:history="1">
        <w:r w:rsidRPr="004A0D9E">
          <w:rPr>
            <w:rStyle w:val="Hyperlink"/>
            <w:noProof/>
            <w:lang w:val="es-ES"/>
          </w:rPr>
          <w:t>Folclore</w:t>
        </w:r>
        <w:r>
          <w:rPr>
            <w:noProof/>
            <w:webHidden/>
          </w:rPr>
          <w:tab/>
        </w:r>
        <w:r>
          <w:rPr>
            <w:noProof/>
            <w:webHidden/>
          </w:rPr>
          <w:fldChar w:fldCharType="begin"/>
        </w:r>
        <w:r>
          <w:rPr>
            <w:noProof/>
            <w:webHidden/>
          </w:rPr>
          <w:instrText xml:space="preserve"> PAGEREF _Toc535584987 \h </w:instrText>
        </w:r>
        <w:r>
          <w:rPr>
            <w:noProof/>
            <w:webHidden/>
          </w:rPr>
        </w:r>
        <w:r>
          <w:rPr>
            <w:noProof/>
            <w:webHidden/>
          </w:rPr>
          <w:fldChar w:fldCharType="separate"/>
        </w:r>
        <w:r>
          <w:rPr>
            <w:noProof/>
            <w:webHidden/>
          </w:rPr>
          <w:t>20</w:t>
        </w:r>
        <w:r>
          <w:rPr>
            <w:noProof/>
            <w:webHidden/>
          </w:rPr>
          <w:fldChar w:fldCharType="end"/>
        </w:r>
      </w:hyperlink>
    </w:p>
    <w:p w:rsidR="00AE4787" w:rsidRDefault="00AE4787">
      <w:pPr>
        <w:pStyle w:val="TOC1"/>
        <w:tabs>
          <w:tab w:val="right" w:leader="dot" w:pos="9061"/>
        </w:tabs>
        <w:rPr>
          <w:noProof/>
        </w:rPr>
      </w:pPr>
      <w:hyperlink w:anchor="_Toc535584988" w:history="1">
        <w:r w:rsidRPr="004A0D9E">
          <w:rPr>
            <w:rStyle w:val="Hyperlink"/>
            <w:noProof/>
            <w:lang w:val="es-ES"/>
          </w:rPr>
          <w:t>Formalidades</w:t>
        </w:r>
        <w:r>
          <w:rPr>
            <w:noProof/>
            <w:webHidden/>
          </w:rPr>
          <w:tab/>
        </w:r>
        <w:r>
          <w:rPr>
            <w:noProof/>
            <w:webHidden/>
          </w:rPr>
          <w:fldChar w:fldCharType="begin"/>
        </w:r>
        <w:r>
          <w:rPr>
            <w:noProof/>
            <w:webHidden/>
          </w:rPr>
          <w:instrText xml:space="preserve"> PAGEREF _Toc535584988 \h </w:instrText>
        </w:r>
        <w:r>
          <w:rPr>
            <w:noProof/>
            <w:webHidden/>
          </w:rPr>
        </w:r>
        <w:r>
          <w:rPr>
            <w:noProof/>
            <w:webHidden/>
          </w:rPr>
          <w:fldChar w:fldCharType="separate"/>
        </w:r>
        <w:r>
          <w:rPr>
            <w:noProof/>
            <w:webHidden/>
          </w:rPr>
          <w:t>20</w:t>
        </w:r>
        <w:r>
          <w:rPr>
            <w:noProof/>
            <w:webHidden/>
          </w:rPr>
          <w:fldChar w:fldCharType="end"/>
        </w:r>
      </w:hyperlink>
    </w:p>
    <w:p w:rsidR="00AE4787" w:rsidRDefault="00AE4787">
      <w:pPr>
        <w:pStyle w:val="TOC1"/>
        <w:tabs>
          <w:tab w:val="right" w:leader="dot" w:pos="9061"/>
        </w:tabs>
        <w:rPr>
          <w:noProof/>
        </w:rPr>
      </w:pPr>
      <w:hyperlink w:anchor="_Toc535584989" w:history="1">
        <w:r w:rsidRPr="004A0D9E">
          <w:rPr>
            <w:rStyle w:val="Hyperlink"/>
            <w:noProof/>
            <w:lang w:val="es-ES"/>
          </w:rPr>
          <w:t>Material genético</w:t>
        </w:r>
        <w:r>
          <w:rPr>
            <w:noProof/>
            <w:webHidden/>
          </w:rPr>
          <w:tab/>
        </w:r>
        <w:r>
          <w:rPr>
            <w:noProof/>
            <w:webHidden/>
          </w:rPr>
          <w:fldChar w:fldCharType="begin"/>
        </w:r>
        <w:r>
          <w:rPr>
            <w:noProof/>
            <w:webHidden/>
          </w:rPr>
          <w:instrText xml:space="preserve"> PAGEREF _Toc535584989 \h </w:instrText>
        </w:r>
        <w:r>
          <w:rPr>
            <w:noProof/>
            <w:webHidden/>
          </w:rPr>
        </w:r>
        <w:r>
          <w:rPr>
            <w:noProof/>
            <w:webHidden/>
          </w:rPr>
          <w:fldChar w:fldCharType="separate"/>
        </w:r>
        <w:r>
          <w:rPr>
            <w:noProof/>
            <w:webHidden/>
          </w:rPr>
          <w:t>21</w:t>
        </w:r>
        <w:r>
          <w:rPr>
            <w:noProof/>
            <w:webHidden/>
          </w:rPr>
          <w:fldChar w:fldCharType="end"/>
        </w:r>
      </w:hyperlink>
    </w:p>
    <w:p w:rsidR="00AE4787" w:rsidRDefault="00AE4787">
      <w:pPr>
        <w:pStyle w:val="TOC1"/>
        <w:tabs>
          <w:tab w:val="right" w:leader="dot" w:pos="9061"/>
        </w:tabs>
        <w:rPr>
          <w:noProof/>
        </w:rPr>
      </w:pPr>
      <w:hyperlink w:anchor="_Toc535584990" w:history="1">
        <w:r w:rsidRPr="004A0D9E">
          <w:rPr>
            <w:rStyle w:val="Hyperlink"/>
            <w:noProof/>
            <w:lang w:val="es-ES"/>
          </w:rPr>
          <w:t>Recursos genéticos</w:t>
        </w:r>
        <w:r>
          <w:rPr>
            <w:noProof/>
            <w:webHidden/>
          </w:rPr>
          <w:tab/>
        </w:r>
        <w:r>
          <w:rPr>
            <w:noProof/>
            <w:webHidden/>
          </w:rPr>
          <w:fldChar w:fldCharType="begin"/>
        </w:r>
        <w:r>
          <w:rPr>
            <w:noProof/>
            <w:webHidden/>
          </w:rPr>
          <w:instrText xml:space="preserve"> PAGEREF _Toc535584990 \h </w:instrText>
        </w:r>
        <w:r>
          <w:rPr>
            <w:noProof/>
            <w:webHidden/>
          </w:rPr>
        </w:r>
        <w:r>
          <w:rPr>
            <w:noProof/>
            <w:webHidden/>
          </w:rPr>
          <w:fldChar w:fldCharType="separate"/>
        </w:r>
        <w:r>
          <w:rPr>
            <w:noProof/>
            <w:webHidden/>
          </w:rPr>
          <w:t>21</w:t>
        </w:r>
        <w:r>
          <w:rPr>
            <w:noProof/>
            <w:webHidden/>
          </w:rPr>
          <w:fldChar w:fldCharType="end"/>
        </w:r>
      </w:hyperlink>
    </w:p>
    <w:p w:rsidR="00AE4787" w:rsidRDefault="00AE4787">
      <w:pPr>
        <w:pStyle w:val="TOC1"/>
        <w:tabs>
          <w:tab w:val="right" w:leader="dot" w:pos="9061"/>
        </w:tabs>
        <w:rPr>
          <w:noProof/>
        </w:rPr>
      </w:pPr>
      <w:hyperlink w:anchor="_Toc535584991" w:history="1">
        <w:r w:rsidRPr="004A0D9E">
          <w:rPr>
            <w:rStyle w:val="Hyperlink"/>
            <w:noProof/>
            <w:lang w:val="es-ES"/>
          </w:rPr>
          <w:t>Patrimonio (de los pueblos indígenas)</w:t>
        </w:r>
        <w:r>
          <w:rPr>
            <w:noProof/>
            <w:webHidden/>
          </w:rPr>
          <w:tab/>
        </w:r>
        <w:r>
          <w:rPr>
            <w:noProof/>
            <w:webHidden/>
          </w:rPr>
          <w:fldChar w:fldCharType="begin"/>
        </w:r>
        <w:r>
          <w:rPr>
            <w:noProof/>
            <w:webHidden/>
          </w:rPr>
          <w:instrText xml:space="preserve"> PAGEREF _Toc535584991 \h </w:instrText>
        </w:r>
        <w:r>
          <w:rPr>
            <w:noProof/>
            <w:webHidden/>
          </w:rPr>
        </w:r>
        <w:r>
          <w:rPr>
            <w:noProof/>
            <w:webHidden/>
          </w:rPr>
          <w:fldChar w:fldCharType="separate"/>
        </w:r>
        <w:r>
          <w:rPr>
            <w:noProof/>
            <w:webHidden/>
          </w:rPr>
          <w:t>22</w:t>
        </w:r>
        <w:r>
          <w:rPr>
            <w:noProof/>
            <w:webHidden/>
          </w:rPr>
          <w:fldChar w:fldCharType="end"/>
        </w:r>
      </w:hyperlink>
    </w:p>
    <w:p w:rsidR="00AE4787" w:rsidRDefault="00AE4787">
      <w:pPr>
        <w:pStyle w:val="TOC1"/>
        <w:tabs>
          <w:tab w:val="right" w:leader="dot" w:pos="9061"/>
        </w:tabs>
        <w:rPr>
          <w:noProof/>
        </w:rPr>
      </w:pPr>
      <w:hyperlink w:anchor="_Toc535584992" w:history="1">
        <w:r w:rsidRPr="004A0D9E">
          <w:rPr>
            <w:rStyle w:val="Hyperlink"/>
            <w:noProof/>
            <w:lang w:val="es-ES"/>
          </w:rPr>
          <w:t>Poseedor</w:t>
        </w:r>
        <w:r>
          <w:rPr>
            <w:noProof/>
            <w:webHidden/>
          </w:rPr>
          <w:tab/>
        </w:r>
        <w:r>
          <w:rPr>
            <w:noProof/>
            <w:webHidden/>
          </w:rPr>
          <w:fldChar w:fldCharType="begin"/>
        </w:r>
        <w:r>
          <w:rPr>
            <w:noProof/>
            <w:webHidden/>
          </w:rPr>
          <w:instrText xml:space="preserve"> PAGEREF _Toc535584992 \h </w:instrText>
        </w:r>
        <w:r>
          <w:rPr>
            <w:noProof/>
            <w:webHidden/>
          </w:rPr>
        </w:r>
        <w:r>
          <w:rPr>
            <w:noProof/>
            <w:webHidden/>
          </w:rPr>
          <w:fldChar w:fldCharType="separate"/>
        </w:r>
        <w:r>
          <w:rPr>
            <w:noProof/>
            <w:webHidden/>
          </w:rPr>
          <w:t>23</w:t>
        </w:r>
        <w:r>
          <w:rPr>
            <w:noProof/>
            <w:webHidden/>
          </w:rPr>
          <w:fldChar w:fldCharType="end"/>
        </w:r>
      </w:hyperlink>
    </w:p>
    <w:p w:rsidR="00AE4787" w:rsidRDefault="00AE4787">
      <w:pPr>
        <w:pStyle w:val="TOC1"/>
        <w:tabs>
          <w:tab w:val="right" w:leader="dot" w:pos="9061"/>
        </w:tabs>
        <w:rPr>
          <w:noProof/>
        </w:rPr>
      </w:pPr>
      <w:hyperlink w:anchor="_Toc535584993" w:history="1">
        <w:r w:rsidRPr="004A0D9E">
          <w:rPr>
            <w:rStyle w:val="Hyperlink"/>
            <w:noProof/>
            <w:lang w:val="es-ES"/>
          </w:rPr>
          <w:t>Comunidades indígenas y locales</w:t>
        </w:r>
        <w:r>
          <w:rPr>
            <w:noProof/>
            <w:webHidden/>
          </w:rPr>
          <w:tab/>
        </w:r>
        <w:r>
          <w:rPr>
            <w:noProof/>
            <w:webHidden/>
          </w:rPr>
          <w:fldChar w:fldCharType="begin"/>
        </w:r>
        <w:r>
          <w:rPr>
            <w:noProof/>
            <w:webHidden/>
          </w:rPr>
          <w:instrText xml:space="preserve"> PAGEREF _Toc535584993 \h </w:instrText>
        </w:r>
        <w:r>
          <w:rPr>
            <w:noProof/>
            <w:webHidden/>
          </w:rPr>
        </w:r>
        <w:r>
          <w:rPr>
            <w:noProof/>
            <w:webHidden/>
          </w:rPr>
          <w:fldChar w:fldCharType="separate"/>
        </w:r>
        <w:r>
          <w:rPr>
            <w:noProof/>
            <w:webHidden/>
          </w:rPr>
          <w:t>23</w:t>
        </w:r>
        <w:r>
          <w:rPr>
            <w:noProof/>
            <w:webHidden/>
          </w:rPr>
          <w:fldChar w:fldCharType="end"/>
        </w:r>
      </w:hyperlink>
    </w:p>
    <w:p w:rsidR="00AE4787" w:rsidRDefault="00AE4787">
      <w:pPr>
        <w:pStyle w:val="TOC1"/>
        <w:tabs>
          <w:tab w:val="right" w:leader="dot" w:pos="9061"/>
        </w:tabs>
        <w:rPr>
          <w:noProof/>
        </w:rPr>
      </w:pPr>
      <w:hyperlink w:anchor="_Toc535584994" w:history="1">
        <w:r w:rsidRPr="004A0D9E">
          <w:rPr>
            <w:rStyle w:val="Hyperlink"/>
            <w:noProof/>
            <w:lang w:val="es-ES"/>
          </w:rPr>
          <w:t>Conocimientos indígenas</w:t>
        </w:r>
        <w:r>
          <w:rPr>
            <w:noProof/>
            <w:webHidden/>
          </w:rPr>
          <w:tab/>
        </w:r>
        <w:r>
          <w:rPr>
            <w:noProof/>
            <w:webHidden/>
          </w:rPr>
          <w:fldChar w:fldCharType="begin"/>
        </w:r>
        <w:r>
          <w:rPr>
            <w:noProof/>
            <w:webHidden/>
          </w:rPr>
          <w:instrText xml:space="preserve"> PAGEREF _Toc535584994 \h </w:instrText>
        </w:r>
        <w:r>
          <w:rPr>
            <w:noProof/>
            <w:webHidden/>
          </w:rPr>
        </w:r>
        <w:r>
          <w:rPr>
            <w:noProof/>
            <w:webHidden/>
          </w:rPr>
          <w:fldChar w:fldCharType="separate"/>
        </w:r>
        <w:r>
          <w:rPr>
            <w:noProof/>
            <w:webHidden/>
          </w:rPr>
          <w:t>24</w:t>
        </w:r>
        <w:r>
          <w:rPr>
            <w:noProof/>
            <w:webHidden/>
          </w:rPr>
          <w:fldChar w:fldCharType="end"/>
        </w:r>
      </w:hyperlink>
    </w:p>
    <w:p w:rsidR="00AE4787" w:rsidRDefault="00AE4787">
      <w:pPr>
        <w:pStyle w:val="TOC1"/>
        <w:tabs>
          <w:tab w:val="right" w:leader="dot" w:pos="9061"/>
        </w:tabs>
        <w:rPr>
          <w:noProof/>
        </w:rPr>
      </w:pPr>
      <w:hyperlink w:anchor="_Toc535584995" w:history="1">
        <w:r w:rsidRPr="004A0D9E">
          <w:rPr>
            <w:rStyle w:val="Hyperlink"/>
            <w:noProof/>
            <w:lang w:val="es-ES"/>
          </w:rPr>
          <w:t>Pueblos indígenas</w:t>
        </w:r>
        <w:r>
          <w:rPr>
            <w:noProof/>
            <w:webHidden/>
          </w:rPr>
          <w:tab/>
        </w:r>
        <w:r>
          <w:rPr>
            <w:noProof/>
            <w:webHidden/>
          </w:rPr>
          <w:fldChar w:fldCharType="begin"/>
        </w:r>
        <w:r>
          <w:rPr>
            <w:noProof/>
            <w:webHidden/>
          </w:rPr>
          <w:instrText xml:space="preserve"> PAGEREF _Toc535584995 \h </w:instrText>
        </w:r>
        <w:r>
          <w:rPr>
            <w:noProof/>
            <w:webHidden/>
          </w:rPr>
        </w:r>
        <w:r>
          <w:rPr>
            <w:noProof/>
            <w:webHidden/>
          </w:rPr>
          <w:fldChar w:fldCharType="separate"/>
        </w:r>
        <w:r>
          <w:rPr>
            <w:noProof/>
            <w:webHidden/>
          </w:rPr>
          <w:t>25</w:t>
        </w:r>
        <w:r>
          <w:rPr>
            <w:noProof/>
            <w:webHidden/>
          </w:rPr>
          <w:fldChar w:fldCharType="end"/>
        </w:r>
      </w:hyperlink>
    </w:p>
    <w:p w:rsidR="00AE4787" w:rsidRDefault="00AE4787">
      <w:pPr>
        <w:pStyle w:val="TOC1"/>
        <w:tabs>
          <w:tab w:val="right" w:leader="dot" w:pos="9061"/>
        </w:tabs>
        <w:rPr>
          <w:noProof/>
        </w:rPr>
      </w:pPr>
      <w:hyperlink w:anchor="_Toc535584996" w:history="1">
        <w:r w:rsidRPr="004A0D9E">
          <w:rPr>
            <w:rStyle w:val="Hyperlink"/>
            <w:noProof/>
            <w:lang w:val="es-ES"/>
          </w:rPr>
          <w:t>Infracción</w:t>
        </w:r>
        <w:r>
          <w:rPr>
            <w:noProof/>
            <w:webHidden/>
          </w:rPr>
          <w:tab/>
        </w:r>
        <w:r>
          <w:rPr>
            <w:noProof/>
            <w:webHidden/>
          </w:rPr>
          <w:fldChar w:fldCharType="begin"/>
        </w:r>
        <w:r>
          <w:rPr>
            <w:noProof/>
            <w:webHidden/>
          </w:rPr>
          <w:instrText xml:space="preserve"> PAGEREF _Toc535584996 \h </w:instrText>
        </w:r>
        <w:r>
          <w:rPr>
            <w:noProof/>
            <w:webHidden/>
          </w:rPr>
        </w:r>
        <w:r>
          <w:rPr>
            <w:noProof/>
            <w:webHidden/>
          </w:rPr>
          <w:fldChar w:fldCharType="separate"/>
        </w:r>
        <w:r>
          <w:rPr>
            <w:noProof/>
            <w:webHidden/>
          </w:rPr>
          <w:t>27</w:t>
        </w:r>
        <w:r>
          <w:rPr>
            <w:noProof/>
            <w:webHidden/>
          </w:rPr>
          <w:fldChar w:fldCharType="end"/>
        </w:r>
      </w:hyperlink>
    </w:p>
    <w:p w:rsidR="00AE4787" w:rsidRDefault="00AE4787">
      <w:pPr>
        <w:pStyle w:val="TOC1"/>
        <w:tabs>
          <w:tab w:val="right" w:leader="dot" w:pos="9061"/>
        </w:tabs>
        <w:rPr>
          <w:noProof/>
        </w:rPr>
      </w:pPr>
      <w:hyperlink w:anchor="_Toc535584997" w:history="1">
        <w:r w:rsidRPr="004A0D9E">
          <w:rPr>
            <w:rStyle w:val="Hyperlink"/>
            <w:noProof/>
            <w:lang w:val="es-ES"/>
          </w:rPr>
          <w:t xml:space="preserve">Condiciones </w:t>
        </w:r>
        <w:r w:rsidRPr="004A0D9E">
          <w:rPr>
            <w:rStyle w:val="Hyperlink"/>
            <w:i/>
            <w:noProof/>
            <w:lang w:val="es-ES"/>
          </w:rPr>
          <w:t>In-situ</w:t>
        </w:r>
        <w:r>
          <w:rPr>
            <w:noProof/>
            <w:webHidden/>
          </w:rPr>
          <w:tab/>
        </w:r>
        <w:r>
          <w:rPr>
            <w:noProof/>
            <w:webHidden/>
          </w:rPr>
          <w:fldChar w:fldCharType="begin"/>
        </w:r>
        <w:r>
          <w:rPr>
            <w:noProof/>
            <w:webHidden/>
          </w:rPr>
          <w:instrText xml:space="preserve"> PAGEREF _Toc535584997 \h </w:instrText>
        </w:r>
        <w:r>
          <w:rPr>
            <w:noProof/>
            <w:webHidden/>
          </w:rPr>
        </w:r>
        <w:r>
          <w:rPr>
            <w:noProof/>
            <w:webHidden/>
          </w:rPr>
          <w:fldChar w:fldCharType="separate"/>
        </w:r>
        <w:r>
          <w:rPr>
            <w:noProof/>
            <w:webHidden/>
          </w:rPr>
          <w:t>28</w:t>
        </w:r>
        <w:r>
          <w:rPr>
            <w:noProof/>
            <w:webHidden/>
          </w:rPr>
          <w:fldChar w:fldCharType="end"/>
        </w:r>
      </w:hyperlink>
    </w:p>
    <w:p w:rsidR="00AE4787" w:rsidRDefault="00AE4787">
      <w:pPr>
        <w:pStyle w:val="TOC1"/>
        <w:tabs>
          <w:tab w:val="right" w:leader="dot" w:pos="9061"/>
        </w:tabs>
        <w:rPr>
          <w:noProof/>
        </w:rPr>
      </w:pPr>
      <w:hyperlink w:anchor="_Toc535584998" w:history="1">
        <w:r w:rsidRPr="004A0D9E">
          <w:rPr>
            <w:rStyle w:val="Hyperlink"/>
            <w:noProof/>
            <w:lang w:val="es-ES"/>
          </w:rPr>
          <w:t>Patrimonio cultural inmaterial</w:t>
        </w:r>
        <w:r>
          <w:rPr>
            <w:noProof/>
            <w:webHidden/>
          </w:rPr>
          <w:tab/>
        </w:r>
        <w:r>
          <w:rPr>
            <w:noProof/>
            <w:webHidden/>
          </w:rPr>
          <w:fldChar w:fldCharType="begin"/>
        </w:r>
        <w:r>
          <w:rPr>
            <w:noProof/>
            <w:webHidden/>
          </w:rPr>
          <w:instrText xml:space="preserve"> PAGEREF _Toc535584998 \h </w:instrText>
        </w:r>
        <w:r>
          <w:rPr>
            <w:noProof/>
            <w:webHidden/>
          </w:rPr>
        </w:r>
        <w:r>
          <w:rPr>
            <w:noProof/>
            <w:webHidden/>
          </w:rPr>
          <w:fldChar w:fldCharType="separate"/>
        </w:r>
        <w:r>
          <w:rPr>
            <w:noProof/>
            <w:webHidden/>
          </w:rPr>
          <w:t>28</w:t>
        </w:r>
        <w:r>
          <w:rPr>
            <w:noProof/>
            <w:webHidden/>
          </w:rPr>
          <w:fldChar w:fldCharType="end"/>
        </w:r>
      </w:hyperlink>
    </w:p>
    <w:p w:rsidR="00AE4787" w:rsidRDefault="00AE4787">
      <w:pPr>
        <w:pStyle w:val="TOC1"/>
        <w:tabs>
          <w:tab w:val="right" w:leader="dot" w:pos="9061"/>
        </w:tabs>
        <w:rPr>
          <w:noProof/>
        </w:rPr>
      </w:pPr>
      <w:hyperlink w:anchor="_Toc535584999" w:history="1">
        <w:r w:rsidRPr="004A0D9E">
          <w:rPr>
            <w:rStyle w:val="Hyperlink"/>
            <w:noProof/>
            <w:lang w:val="es-ES"/>
          </w:rPr>
          <w:t>Integridad [derecho de] [de la obra]</w:t>
        </w:r>
        <w:r>
          <w:rPr>
            <w:noProof/>
            <w:webHidden/>
          </w:rPr>
          <w:tab/>
        </w:r>
        <w:r>
          <w:rPr>
            <w:noProof/>
            <w:webHidden/>
          </w:rPr>
          <w:fldChar w:fldCharType="begin"/>
        </w:r>
        <w:r>
          <w:rPr>
            <w:noProof/>
            <w:webHidden/>
          </w:rPr>
          <w:instrText xml:space="preserve"> PAGEREF _Toc535584999 \h </w:instrText>
        </w:r>
        <w:r>
          <w:rPr>
            <w:noProof/>
            <w:webHidden/>
          </w:rPr>
        </w:r>
        <w:r>
          <w:rPr>
            <w:noProof/>
            <w:webHidden/>
          </w:rPr>
          <w:fldChar w:fldCharType="separate"/>
        </w:r>
        <w:r>
          <w:rPr>
            <w:noProof/>
            <w:webHidden/>
          </w:rPr>
          <w:t>28</w:t>
        </w:r>
        <w:r>
          <w:rPr>
            <w:noProof/>
            <w:webHidden/>
          </w:rPr>
          <w:fldChar w:fldCharType="end"/>
        </w:r>
      </w:hyperlink>
    </w:p>
    <w:p w:rsidR="00AE4787" w:rsidRDefault="00AE4787">
      <w:pPr>
        <w:pStyle w:val="TOC1"/>
        <w:tabs>
          <w:tab w:val="right" w:leader="dot" w:pos="9061"/>
        </w:tabs>
        <w:rPr>
          <w:noProof/>
        </w:rPr>
      </w:pPr>
      <w:hyperlink w:anchor="_Toc535585000" w:history="1">
        <w:r w:rsidRPr="004A0D9E">
          <w:rPr>
            <w:rStyle w:val="Hyperlink"/>
            <w:noProof/>
            <w:lang w:val="es-ES"/>
          </w:rPr>
          <w:t>Directrices de propiedad intelectual sobre acceso y participación en los beneficios</w:t>
        </w:r>
        <w:r>
          <w:rPr>
            <w:noProof/>
            <w:webHidden/>
          </w:rPr>
          <w:tab/>
        </w:r>
        <w:r>
          <w:rPr>
            <w:noProof/>
            <w:webHidden/>
          </w:rPr>
          <w:fldChar w:fldCharType="begin"/>
        </w:r>
        <w:r>
          <w:rPr>
            <w:noProof/>
            <w:webHidden/>
          </w:rPr>
          <w:instrText xml:space="preserve"> PAGEREF _Toc535585000 \h </w:instrText>
        </w:r>
        <w:r>
          <w:rPr>
            <w:noProof/>
            <w:webHidden/>
          </w:rPr>
        </w:r>
        <w:r>
          <w:rPr>
            <w:noProof/>
            <w:webHidden/>
          </w:rPr>
          <w:fldChar w:fldCharType="separate"/>
        </w:r>
        <w:r>
          <w:rPr>
            <w:noProof/>
            <w:webHidden/>
          </w:rPr>
          <w:t>28</w:t>
        </w:r>
        <w:r>
          <w:rPr>
            <w:noProof/>
            <w:webHidden/>
          </w:rPr>
          <w:fldChar w:fldCharType="end"/>
        </w:r>
      </w:hyperlink>
    </w:p>
    <w:p w:rsidR="00AE4787" w:rsidRDefault="00AE4787">
      <w:pPr>
        <w:pStyle w:val="TOC1"/>
        <w:tabs>
          <w:tab w:val="right" w:leader="dot" w:pos="9061"/>
        </w:tabs>
        <w:rPr>
          <w:noProof/>
        </w:rPr>
      </w:pPr>
      <w:hyperlink w:anchor="_Toc535585001" w:history="1">
        <w:r w:rsidRPr="004A0D9E">
          <w:rPr>
            <w:rStyle w:val="Hyperlink"/>
            <w:noProof/>
            <w:lang w:val="es-ES"/>
          </w:rPr>
          <w:t>Clasificación Internacional de Patentes (CIP)</w:t>
        </w:r>
        <w:r>
          <w:rPr>
            <w:noProof/>
            <w:webHidden/>
          </w:rPr>
          <w:tab/>
        </w:r>
        <w:r>
          <w:rPr>
            <w:noProof/>
            <w:webHidden/>
          </w:rPr>
          <w:fldChar w:fldCharType="begin"/>
        </w:r>
        <w:r>
          <w:rPr>
            <w:noProof/>
            <w:webHidden/>
          </w:rPr>
          <w:instrText xml:space="preserve"> PAGEREF _Toc535585001 \h </w:instrText>
        </w:r>
        <w:r>
          <w:rPr>
            <w:noProof/>
            <w:webHidden/>
          </w:rPr>
        </w:r>
        <w:r>
          <w:rPr>
            <w:noProof/>
            <w:webHidden/>
          </w:rPr>
          <w:fldChar w:fldCharType="separate"/>
        </w:r>
        <w:r>
          <w:rPr>
            <w:noProof/>
            <w:webHidden/>
          </w:rPr>
          <w:t>29</w:t>
        </w:r>
        <w:r>
          <w:rPr>
            <w:noProof/>
            <w:webHidden/>
          </w:rPr>
          <w:fldChar w:fldCharType="end"/>
        </w:r>
      </w:hyperlink>
    </w:p>
    <w:p w:rsidR="00AE4787" w:rsidRDefault="00AE4787">
      <w:pPr>
        <w:pStyle w:val="TOC1"/>
        <w:tabs>
          <w:tab w:val="right" w:leader="dot" w:pos="9061"/>
        </w:tabs>
        <w:rPr>
          <w:noProof/>
        </w:rPr>
      </w:pPr>
      <w:hyperlink w:anchor="_Toc535585002" w:history="1">
        <w:r w:rsidRPr="004A0D9E">
          <w:rPr>
            <w:rStyle w:val="Hyperlink"/>
            <w:rFonts w:eastAsia="Times New Roman"/>
            <w:noProof/>
            <w:lang w:val="es-ES" w:eastAsia="en-US"/>
          </w:rPr>
          <w:t>Tratado Internacional sobre los Recursos Fitogenéticos para la Alimentación y la Agricultura</w:t>
        </w:r>
        <w:r>
          <w:rPr>
            <w:noProof/>
            <w:webHidden/>
          </w:rPr>
          <w:tab/>
        </w:r>
        <w:r>
          <w:rPr>
            <w:noProof/>
            <w:webHidden/>
          </w:rPr>
          <w:fldChar w:fldCharType="begin"/>
        </w:r>
        <w:r>
          <w:rPr>
            <w:noProof/>
            <w:webHidden/>
          </w:rPr>
          <w:instrText xml:space="preserve"> PAGEREF _Toc535585002 \h </w:instrText>
        </w:r>
        <w:r>
          <w:rPr>
            <w:noProof/>
            <w:webHidden/>
          </w:rPr>
        </w:r>
        <w:r>
          <w:rPr>
            <w:noProof/>
            <w:webHidden/>
          </w:rPr>
          <w:fldChar w:fldCharType="separate"/>
        </w:r>
        <w:r>
          <w:rPr>
            <w:noProof/>
            <w:webHidden/>
          </w:rPr>
          <w:t>30</w:t>
        </w:r>
        <w:r>
          <w:rPr>
            <w:noProof/>
            <w:webHidden/>
          </w:rPr>
          <w:fldChar w:fldCharType="end"/>
        </w:r>
      </w:hyperlink>
    </w:p>
    <w:p w:rsidR="00AE4787" w:rsidRDefault="00AE4787">
      <w:pPr>
        <w:pStyle w:val="TOC1"/>
        <w:tabs>
          <w:tab w:val="right" w:leader="dot" w:pos="9061"/>
        </w:tabs>
        <w:rPr>
          <w:noProof/>
        </w:rPr>
      </w:pPr>
      <w:hyperlink w:anchor="_Toc535585003" w:history="1">
        <w:r w:rsidRPr="004A0D9E">
          <w:rPr>
            <w:rStyle w:val="Hyperlink"/>
            <w:noProof/>
            <w:lang w:val="es-ES"/>
          </w:rPr>
          <w:t>Actividad inventiva</w:t>
        </w:r>
        <w:r>
          <w:rPr>
            <w:noProof/>
            <w:webHidden/>
          </w:rPr>
          <w:tab/>
        </w:r>
        <w:r>
          <w:rPr>
            <w:noProof/>
            <w:webHidden/>
          </w:rPr>
          <w:fldChar w:fldCharType="begin"/>
        </w:r>
        <w:r>
          <w:rPr>
            <w:noProof/>
            <w:webHidden/>
          </w:rPr>
          <w:instrText xml:space="preserve"> PAGEREF _Toc535585003 \h </w:instrText>
        </w:r>
        <w:r>
          <w:rPr>
            <w:noProof/>
            <w:webHidden/>
          </w:rPr>
        </w:r>
        <w:r>
          <w:rPr>
            <w:noProof/>
            <w:webHidden/>
          </w:rPr>
          <w:fldChar w:fldCharType="separate"/>
        </w:r>
        <w:r>
          <w:rPr>
            <w:noProof/>
            <w:webHidden/>
          </w:rPr>
          <w:t>30</w:t>
        </w:r>
        <w:r>
          <w:rPr>
            <w:noProof/>
            <w:webHidden/>
          </w:rPr>
          <w:fldChar w:fldCharType="end"/>
        </w:r>
      </w:hyperlink>
    </w:p>
    <w:p w:rsidR="00AE4787" w:rsidRDefault="00AE4787">
      <w:pPr>
        <w:pStyle w:val="TOC1"/>
        <w:tabs>
          <w:tab w:val="right" w:leader="dot" w:pos="9061"/>
        </w:tabs>
        <w:rPr>
          <w:noProof/>
        </w:rPr>
      </w:pPr>
      <w:hyperlink w:anchor="_Toc535585004" w:history="1">
        <w:r w:rsidRPr="004A0D9E">
          <w:rPr>
            <w:rStyle w:val="Hyperlink"/>
            <w:noProof/>
            <w:lang w:val="es-ES"/>
          </w:rPr>
          <w:t>Acuerdos de licencia</w:t>
        </w:r>
        <w:r>
          <w:rPr>
            <w:noProof/>
            <w:webHidden/>
          </w:rPr>
          <w:tab/>
        </w:r>
        <w:r>
          <w:rPr>
            <w:noProof/>
            <w:webHidden/>
          </w:rPr>
          <w:fldChar w:fldCharType="begin"/>
        </w:r>
        <w:r>
          <w:rPr>
            <w:noProof/>
            <w:webHidden/>
          </w:rPr>
          <w:instrText xml:space="preserve"> PAGEREF _Toc535585004 \h </w:instrText>
        </w:r>
        <w:r>
          <w:rPr>
            <w:noProof/>
            <w:webHidden/>
          </w:rPr>
        </w:r>
        <w:r>
          <w:rPr>
            <w:noProof/>
            <w:webHidden/>
          </w:rPr>
          <w:fldChar w:fldCharType="separate"/>
        </w:r>
        <w:r>
          <w:rPr>
            <w:noProof/>
            <w:webHidden/>
          </w:rPr>
          <w:t>30</w:t>
        </w:r>
        <w:r>
          <w:rPr>
            <w:noProof/>
            <w:webHidden/>
          </w:rPr>
          <w:fldChar w:fldCharType="end"/>
        </w:r>
      </w:hyperlink>
    </w:p>
    <w:p w:rsidR="00AE4787" w:rsidRDefault="00AE4787">
      <w:pPr>
        <w:pStyle w:val="TOC1"/>
        <w:tabs>
          <w:tab w:val="right" w:leader="dot" w:pos="9061"/>
        </w:tabs>
        <w:rPr>
          <w:noProof/>
        </w:rPr>
      </w:pPr>
      <w:hyperlink w:anchor="_Toc535585005" w:history="1">
        <w:r w:rsidRPr="004A0D9E">
          <w:rPr>
            <w:rStyle w:val="Hyperlink"/>
            <w:noProof/>
            <w:lang w:val="es-ES"/>
          </w:rPr>
          <w:t>Limitación</w:t>
        </w:r>
        <w:r>
          <w:rPr>
            <w:noProof/>
            <w:webHidden/>
          </w:rPr>
          <w:tab/>
        </w:r>
        <w:r>
          <w:rPr>
            <w:noProof/>
            <w:webHidden/>
          </w:rPr>
          <w:fldChar w:fldCharType="begin"/>
        </w:r>
        <w:r>
          <w:rPr>
            <w:noProof/>
            <w:webHidden/>
          </w:rPr>
          <w:instrText xml:space="preserve"> PAGEREF _Toc535585005 \h </w:instrText>
        </w:r>
        <w:r>
          <w:rPr>
            <w:noProof/>
            <w:webHidden/>
          </w:rPr>
        </w:r>
        <w:r>
          <w:rPr>
            <w:noProof/>
            <w:webHidden/>
          </w:rPr>
          <w:fldChar w:fldCharType="separate"/>
        </w:r>
        <w:r>
          <w:rPr>
            <w:noProof/>
            <w:webHidden/>
          </w:rPr>
          <w:t>30</w:t>
        </w:r>
        <w:r>
          <w:rPr>
            <w:noProof/>
            <w:webHidden/>
          </w:rPr>
          <w:fldChar w:fldCharType="end"/>
        </w:r>
      </w:hyperlink>
    </w:p>
    <w:p w:rsidR="00AE4787" w:rsidRDefault="00AE4787">
      <w:pPr>
        <w:pStyle w:val="TOC1"/>
        <w:tabs>
          <w:tab w:val="right" w:leader="dot" w:pos="9061"/>
        </w:tabs>
        <w:rPr>
          <w:noProof/>
        </w:rPr>
      </w:pPr>
      <w:hyperlink w:anchor="_Toc535585006" w:history="1">
        <w:r w:rsidRPr="004A0D9E">
          <w:rPr>
            <w:rStyle w:val="Hyperlink"/>
            <w:noProof/>
            <w:lang w:val="es-ES"/>
          </w:rPr>
          <w:t>Acuerdos de transferencia de material</w:t>
        </w:r>
        <w:r>
          <w:rPr>
            <w:noProof/>
            <w:webHidden/>
          </w:rPr>
          <w:tab/>
        </w:r>
        <w:r>
          <w:rPr>
            <w:noProof/>
            <w:webHidden/>
          </w:rPr>
          <w:fldChar w:fldCharType="begin"/>
        </w:r>
        <w:r>
          <w:rPr>
            <w:noProof/>
            <w:webHidden/>
          </w:rPr>
          <w:instrText xml:space="preserve"> PAGEREF _Toc535585006 \h </w:instrText>
        </w:r>
        <w:r>
          <w:rPr>
            <w:noProof/>
            <w:webHidden/>
          </w:rPr>
        </w:r>
        <w:r>
          <w:rPr>
            <w:noProof/>
            <w:webHidden/>
          </w:rPr>
          <w:fldChar w:fldCharType="separate"/>
        </w:r>
        <w:r>
          <w:rPr>
            <w:noProof/>
            <w:webHidden/>
          </w:rPr>
          <w:t>31</w:t>
        </w:r>
        <w:r>
          <w:rPr>
            <w:noProof/>
            <w:webHidden/>
          </w:rPr>
          <w:fldChar w:fldCharType="end"/>
        </w:r>
      </w:hyperlink>
    </w:p>
    <w:p w:rsidR="00AE4787" w:rsidRDefault="00AE4787">
      <w:pPr>
        <w:pStyle w:val="TOC1"/>
        <w:tabs>
          <w:tab w:val="right" w:leader="dot" w:pos="9061"/>
        </w:tabs>
        <w:rPr>
          <w:noProof/>
        </w:rPr>
      </w:pPr>
      <w:hyperlink w:anchor="_Toc535585007" w:history="1">
        <w:r w:rsidRPr="004A0D9E">
          <w:rPr>
            <w:rStyle w:val="Hyperlink"/>
            <w:noProof/>
            <w:lang w:val="es-ES"/>
          </w:rPr>
          <w:t>Documentación mínima del PCT</w:t>
        </w:r>
        <w:r>
          <w:rPr>
            <w:noProof/>
            <w:webHidden/>
          </w:rPr>
          <w:tab/>
        </w:r>
        <w:r>
          <w:rPr>
            <w:noProof/>
            <w:webHidden/>
          </w:rPr>
          <w:fldChar w:fldCharType="begin"/>
        </w:r>
        <w:r>
          <w:rPr>
            <w:noProof/>
            <w:webHidden/>
          </w:rPr>
          <w:instrText xml:space="preserve"> PAGEREF _Toc535585007 \h </w:instrText>
        </w:r>
        <w:r>
          <w:rPr>
            <w:noProof/>
            <w:webHidden/>
          </w:rPr>
        </w:r>
        <w:r>
          <w:rPr>
            <w:noProof/>
            <w:webHidden/>
          </w:rPr>
          <w:fldChar w:fldCharType="separate"/>
        </w:r>
        <w:r>
          <w:rPr>
            <w:noProof/>
            <w:webHidden/>
          </w:rPr>
          <w:t>31</w:t>
        </w:r>
        <w:r>
          <w:rPr>
            <w:noProof/>
            <w:webHidden/>
          </w:rPr>
          <w:fldChar w:fldCharType="end"/>
        </w:r>
      </w:hyperlink>
    </w:p>
    <w:p w:rsidR="00AE4787" w:rsidRDefault="00AE4787">
      <w:pPr>
        <w:pStyle w:val="TOC1"/>
        <w:tabs>
          <w:tab w:val="right" w:leader="dot" w:pos="9061"/>
        </w:tabs>
        <w:rPr>
          <w:noProof/>
        </w:rPr>
      </w:pPr>
      <w:hyperlink w:anchor="_Toc535585008" w:history="1">
        <w:r w:rsidRPr="004A0D9E">
          <w:rPr>
            <w:rStyle w:val="Hyperlink"/>
            <w:noProof/>
            <w:lang w:val="es-ES"/>
          </w:rPr>
          <w:t>Minoría</w:t>
        </w:r>
        <w:r>
          <w:rPr>
            <w:noProof/>
            <w:webHidden/>
          </w:rPr>
          <w:tab/>
        </w:r>
        <w:r>
          <w:rPr>
            <w:noProof/>
            <w:webHidden/>
          </w:rPr>
          <w:fldChar w:fldCharType="begin"/>
        </w:r>
        <w:r>
          <w:rPr>
            <w:noProof/>
            <w:webHidden/>
          </w:rPr>
          <w:instrText xml:space="preserve"> PAGEREF _Toc535585008 \h </w:instrText>
        </w:r>
        <w:r>
          <w:rPr>
            <w:noProof/>
            <w:webHidden/>
          </w:rPr>
        </w:r>
        <w:r>
          <w:rPr>
            <w:noProof/>
            <w:webHidden/>
          </w:rPr>
          <w:fldChar w:fldCharType="separate"/>
        </w:r>
        <w:r>
          <w:rPr>
            <w:noProof/>
            <w:webHidden/>
          </w:rPr>
          <w:t>32</w:t>
        </w:r>
        <w:r>
          <w:rPr>
            <w:noProof/>
            <w:webHidden/>
          </w:rPr>
          <w:fldChar w:fldCharType="end"/>
        </w:r>
      </w:hyperlink>
    </w:p>
    <w:p w:rsidR="00AE4787" w:rsidRDefault="00AE4787">
      <w:pPr>
        <w:pStyle w:val="TOC1"/>
        <w:tabs>
          <w:tab w:val="right" w:leader="dot" w:pos="9061"/>
        </w:tabs>
        <w:rPr>
          <w:noProof/>
        </w:rPr>
      </w:pPr>
      <w:hyperlink w:anchor="_Toc535585009" w:history="1">
        <w:r w:rsidRPr="004A0D9E">
          <w:rPr>
            <w:rStyle w:val="Hyperlink"/>
            <w:noProof/>
            <w:lang w:val="es-ES"/>
          </w:rPr>
          <w:t>Apropiación indebida</w:t>
        </w:r>
        <w:r>
          <w:rPr>
            <w:noProof/>
            <w:webHidden/>
          </w:rPr>
          <w:tab/>
        </w:r>
        <w:r>
          <w:rPr>
            <w:noProof/>
            <w:webHidden/>
          </w:rPr>
          <w:fldChar w:fldCharType="begin"/>
        </w:r>
        <w:r>
          <w:rPr>
            <w:noProof/>
            <w:webHidden/>
          </w:rPr>
          <w:instrText xml:space="preserve"> PAGEREF _Toc535585009 \h </w:instrText>
        </w:r>
        <w:r>
          <w:rPr>
            <w:noProof/>
            <w:webHidden/>
          </w:rPr>
        </w:r>
        <w:r>
          <w:rPr>
            <w:noProof/>
            <w:webHidden/>
          </w:rPr>
          <w:fldChar w:fldCharType="separate"/>
        </w:r>
        <w:r>
          <w:rPr>
            <w:noProof/>
            <w:webHidden/>
          </w:rPr>
          <w:t>32</w:t>
        </w:r>
        <w:r>
          <w:rPr>
            <w:noProof/>
            <w:webHidden/>
          </w:rPr>
          <w:fldChar w:fldCharType="end"/>
        </w:r>
      </w:hyperlink>
    </w:p>
    <w:p w:rsidR="00AE4787" w:rsidRDefault="00AE4787">
      <w:pPr>
        <w:pStyle w:val="TOC1"/>
        <w:tabs>
          <w:tab w:val="right" w:leader="dot" w:pos="9061"/>
        </w:tabs>
        <w:rPr>
          <w:noProof/>
        </w:rPr>
      </w:pPr>
      <w:hyperlink w:anchor="_Toc535585010" w:history="1">
        <w:r w:rsidRPr="004A0D9E">
          <w:rPr>
            <w:rStyle w:val="Hyperlink"/>
            <w:noProof/>
            <w:lang w:val="es-ES"/>
          </w:rPr>
          <w:t>Utilización indebida</w:t>
        </w:r>
        <w:r>
          <w:rPr>
            <w:noProof/>
            <w:webHidden/>
          </w:rPr>
          <w:tab/>
        </w:r>
        <w:r>
          <w:rPr>
            <w:noProof/>
            <w:webHidden/>
          </w:rPr>
          <w:fldChar w:fldCharType="begin"/>
        </w:r>
        <w:r>
          <w:rPr>
            <w:noProof/>
            <w:webHidden/>
          </w:rPr>
          <w:instrText xml:space="preserve"> PAGEREF _Toc535585010 \h </w:instrText>
        </w:r>
        <w:r>
          <w:rPr>
            <w:noProof/>
            <w:webHidden/>
          </w:rPr>
        </w:r>
        <w:r>
          <w:rPr>
            <w:noProof/>
            <w:webHidden/>
          </w:rPr>
          <w:fldChar w:fldCharType="separate"/>
        </w:r>
        <w:r>
          <w:rPr>
            <w:noProof/>
            <w:webHidden/>
          </w:rPr>
          <w:t>33</w:t>
        </w:r>
        <w:r>
          <w:rPr>
            <w:noProof/>
            <w:webHidden/>
          </w:rPr>
          <w:fldChar w:fldCharType="end"/>
        </w:r>
      </w:hyperlink>
    </w:p>
    <w:p w:rsidR="00AE4787" w:rsidRDefault="00AE4787">
      <w:pPr>
        <w:pStyle w:val="TOC1"/>
        <w:tabs>
          <w:tab w:val="right" w:leader="dot" w:pos="9061"/>
        </w:tabs>
        <w:rPr>
          <w:noProof/>
        </w:rPr>
      </w:pPr>
      <w:hyperlink w:anchor="_Toc535585011" w:history="1">
        <w:r w:rsidRPr="004A0D9E">
          <w:rPr>
            <w:rStyle w:val="Hyperlink"/>
            <w:noProof/>
            <w:lang w:val="es-ES"/>
          </w:rPr>
          <w:t>Modificación</w:t>
        </w:r>
        <w:r>
          <w:rPr>
            <w:noProof/>
            <w:webHidden/>
          </w:rPr>
          <w:tab/>
        </w:r>
        <w:r>
          <w:rPr>
            <w:noProof/>
            <w:webHidden/>
          </w:rPr>
          <w:fldChar w:fldCharType="begin"/>
        </w:r>
        <w:r>
          <w:rPr>
            <w:noProof/>
            <w:webHidden/>
          </w:rPr>
          <w:instrText xml:space="preserve"> PAGEREF _Toc535585011 \h </w:instrText>
        </w:r>
        <w:r>
          <w:rPr>
            <w:noProof/>
            <w:webHidden/>
          </w:rPr>
        </w:r>
        <w:r>
          <w:rPr>
            <w:noProof/>
            <w:webHidden/>
          </w:rPr>
          <w:fldChar w:fldCharType="separate"/>
        </w:r>
        <w:r>
          <w:rPr>
            <w:noProof/>
            <w:webHidden/>
          </w:rPr>
          <w:t>33</w:t>
        </w:r>
        <w:r>
          <w:rPr>
            <w:noProof/>
            <w:webHidden/>
          </w:rPr>
          <w:fldChar w:fldCharType="end"/>
        </w:r>
      </w:hyperlink>
    </w:p>
    <w:p w:rsidR="00AE4787" w:rsidRDefault="00AE4787">
      <w:pPr>
        <w:pStyle w:val="TOC1"/>
        <w:tabs>
          <w:tab w:val="right" w:leader="dot" w:pos="9061"/>
        </w:tabs>
        <w:rPr>
          <w:noProof/>
        </w:rPr>
      </w:pPr>
      <w:hyperlink w:anchor="_Toc535585012" w:history="1">
        <w:r w:rsidRPr="004A0D9E">
          <w:rPr>
            <w:rStyle w:val="Hyperlink"/>
            <w:noProof/>
            <w:lang w:val="es-ES"/>
          </w:rPr>
          <w:t>Mutilación</w:t>
        </w:r>
        <w:r>
          <w:rPr>
            <w:noProof/>
            <w:webHidden/>
          </w:rPr>
          <w:tab/>
        </w:r>
        <w:r>
          <w:rPr>
            <w:noProof/>
            <w:webHidden/>
          </w:rPr>
          <w:fldChar w:fldCharType="begin"/>
        </w:r>
        <w:r>
          <w:rPr>
            <w:noProof/>
            <w:webHidden/>
          </w:rPr>
          <w:instrText xml:space="preserve"> PAGEREF _Toc535585012 \h </w:instrText>
        </w:r>
        <w:r>
          <w:rPr>
            <w:noProof/>
            <w:webHidden/>
          </w:rPr>
        </w:r>
        <w:r>
          <w:rPr>
            <w:noProof/>
            <w:webHidden/>
          </w:rPr>
          <w:fldChar w:fldCharType="separate"/>
        </w:r>
        <w:r>
          <w:rPr>
            <w:noProof/>
            <w:webHidden/>
          </w:rPr>
          <w:t>34</w:t>
        </w:r>
        <w:r>
          <w:rPr>
            <w:noProof/>
            <w:webHidden/>
          </w:rPr>
          <w:fldChar w:fldCharType="end"/>
        </w:r>
      </w:hyperlink>
    </w:p>
    <w:p w:rsidR="00AE4787" w:rsidRDefault="00AE4787">
      <w:pPr>
        <w:pStyle w:val="TOC1"/>
        <w:tabs>
          <w:tab w:val="right" w:leader="dot" w:pos="9061"/>
        </w:tabs>
        <w:rPr>
          <w:noProof/>
        </w:rPr>
      </w:pPr>
      <w:hyperlink w:anchor="_Toc535585013" w:history="1">
        <w:r w:rsidRPr="004A0D9E">
          <w:rPr>
            <w:rStyle w:val="Hyperlink"/>
            <w:noProof/>
            <w:lang w:val="es-ES"/>
          </w:rPr>
          <w:t>Respeto mutuo</w:t>
        </w:r>
        <w:r>
          <w:rPr>
            <w:noProof/>
            <w:webHidden/>
          </w:rPr>
          <w:tab/>
        </w:r>
        <w:r>
          <w:rPr>
            <w:noProof/>
            <w:webHidden/>
          </w:rPr>
          <w:fldChar w:fldCharType="begin"/>
        </w:r>
        <w:r>
          <w:rPr>
            <w:noProof/>
            <w:webHidden/>
          </w:rPr>
          <w:instrText xml:space="preserve"> PAGEREF _Toc535585013 \h </w:instrText>
        </w:r>
        <w:r>
          <w:rPr>
            <w:noProof/>
            <w:webHidden/>
          </w:rPr>
        </w:r>
        <w:r>
          <w:rPr>
            <w:noProof/>
            <w:webHidden/>
          </w:rPr>
          <w:fldChar w:fldCharType="separate"/>
        </w:r>
        <w:r>
          <w:rPr>
            <w:noProof/>
            <w:webHidden/>
          </w:rPr>
          <w:t>34</w:t>
        </w:r>
        <w:r>
          <w:rPr>
            <w:noProof/>
            <w:webHidden/>
          </w:rPr>
          <w:fldChar w:fldCharType="end"/>
        </w:r>
      </w:hyperlink>
    </w:p>
    <w:p w:rsidR="00AE4787" w:rsidRDefault="00AE4787">
      <w:pPr>
        <w:pStyle w:val="TOC1"/>
        <w:tabs>
          <w:tab w:val="right" w:leader="dot" w:pos="9061"/>
        </w:tabs>
        <w:rPr>
          <w:noProof/>
        </w:rPr>
      </w:pPr>
      <w:hyperlink w:anchor="_Toc535585014" w:history="1">
        <w:r w:rsidRPr="004A0D9E">
          <w:rPr>
            <w:rStyle w:val="Hyperlink"/>
            <w:noProof/>
            <w:lang w:val="es-ES"/>
          </w:rPr>
          <w:t>Condiciones mutuamente convenidas</w:t>
        </w:r>
        <w:r>
          <w:rPr>
            <w:noProof/>
            <w:webHidden/>
          </w:rPr>
          <w:tab/>
        </w:r>
        <w:r>
          <w:rPr>
            <w:noProof/>
            <w:webHidden/>
          </w:rPr>
          <w:fldChar w:fldCharType="begin"/>
        </w:r>
        <w:r>
          <w:rPr>
            <w:noProof/>
            <w:webHidden/>
          </w:rPr>
          <w:instrText xml:space="preserve"> PAGEREF _Toc535585014 \h </w:instrText>
        </w:r>
        <w:r>
          <w:rPr>
            <w:noProof/>
            <w:webHidden/>
          </w:rPr>
        </w:r>
        <w:r>
          <w:rPr>
            <w:noProof/>
            <w:webHidden/>
          </w:rPr>
          <w:fldChar w:fldCharType="separate"/>
        </w:r>
        <w:r>
          <w:rPr>
            <w:noProof/>
            <w:webHidden/>
          </w:rPr>
          <w:t>34</w:t>
        </w:r>
        <w:r>
          <w:rPr>
            <w:noProof/>
            <w:webHidden/>
          </w:rPr>
          <w:fldChar w:fldCharType="end"/>
        </w:r>
      </w:hyperlink>
    </w:p>
    <w:p w:rsidR="00AE4787" w:rsidRDefault="00AE4787">
      <w:pPr>
        <w:pStyle w:val="TOC1"/>
        <w:tabs>
          <w:tab w:val="right" w:leader="dot" w:pos="9061"/>
        </w:tabs>
        <w:rPr>
          <w:noProof/>
        </w:rPr>
      </w:pPr>
      <w:hyperlink w:anchor="_Toc535585015" w:history="1">
        <w:r w:rsidRPr="004A0D9E">
          <w:rPr>
            <w:rStyle w:val="Hyperlink"/>
            <w:noProof/>
            <w:lang w:val="es-ES"/>
          </w:rPr>
          <w:t>Protocolo de Nagoya sobre Acceso a los Recursos Genéticos y Participación Justa y Equitativa en los Beneficios que se Deriven de su Utilización al Convenio sobre la Diversidad Biológica (2010)</w:t>
        </w:r>
        <w:r>
          <w:rPr>
            <w:noProof/>
            <w:webHidden/>
          </w:rPr>
          <w:tab/>
        </w:r>
        <w:r>
          <w:rPr>
            <w:noProof/>
            <w:webHidden/>
          </w:rPr>
          <w:fldChar w:fldCharType="begin"/>
        </w:r>
        <w:r>
          <w:rPr>
            <w:noProof/>
            <w:webHidden/>
          </w:rPr>
          <w:instrText xml:space="preserve"> PAGEREF _Toc535585015 \h </w:instrText>
        </w:r>
        <w:r>
          <w:rPr>
            <w:noProof/>
            <w:webHidden/>
          </w:rPr>
        </w:r>
        <w:r>
          <w:rPr>
            <w:noProof/>
            <w:webHidden/>
          </w:rPr>
          <w:fldChar w:fldCharType="separate"/>
        </w:r>
        <w:r>
          <w:rPr>
            <w:noProof/>
            <w:webHidden/>
          </w:rPr>
          <w:t>34</w:t>
        </w:r>
        <w:r>
          <w:rPr>
            <w:noProof/>
            <w:webHidden/>
          </w:rPr>
          <w:fldChar w:fldCharType="end"/>
        </w:r>
      </w:hyperlink>
    </w:p>
    <w:p w:rsidR="00AE4787" w:rsidRDefault="00AE4787">
      <w:pPr>
        <w:pStyle w:val="TOC1"/>
        <w:tabs>
          <w:tab w:val="right" w:leader="dot" w:pos="9061"/>
        </w:tabs>
        <w:rPr>
          <w:noProof/>
        </w:rPr>
      </w:pPr>
      <w:hyperlink w:anchor="_Toc535585016" w:history="1">
        <w:r w:rsidRPr="004A0D9E">
          <w:rPr>
            <w:rStyle w:val="Hyperlink"/>
            <w:noProof/>
            <w:lang w:val="es-ES"/>
          </w:rPr>
          <w:t>Nación</w:t>
        </w:r>
        <w:r>
          <w:rPr>
            <w:noProof/>
            <w:webHidden/>
          </w:rPr>
          <w:tab/>
        </w:r>
        <w:r>
          <w:rPr>
            <w:noProof/>
            <w:webHidden/>
          </w:rPr>
          <w:fldChar w:fldCharType="begin"/>
        </w:r>
        <w:r>
          <w:rPr>
            <w:noProof/>
            <w:webHidden/>
          </w:rPr>
          <w:instrText xml:space="preserve"> PAGEREF _Toc535585016 \h </w:instrText>
        </w:r>
        <w:r>
          <w:rPr>
            <w:noProof/>
            <w:webHidden/>
          </w:rPr>
        </w:r>
        <w:r>
          <w:rPr>
            <w:noProof/>
            <w:webHidden/>
          </w:rPr>
          <w:fldChar w:fldCharType="separate"/>
        </w:r>
        <w:r>
          <w:rPr>
            <w:noProof/>
            <w:webHidden/>
          </w:rPr>
          <w:t>35</w:t>
        </w:r>
        <w:r>
          <w:rPr>
            <w:noProof/>
            <w:webHidden/>
          </w:rPr>
          <w:fldChar w:fldCharType="end"/>
        </w:r>
      </w:hyperlink>
    </w:p>
    <w:p w:rsidR="00AE4787" w:rsidRDefault="00AE4787">
      <w:pPr>
        <w:pStyle w:val="TOC1"/>
        <w:tabs>
          <w:tab w:val="right" w:leader="dot" w:pos="9061"/>
        </w:tabs>
        <w:rPr>
          <w:noProof/>
        </w:rPr>
      </w:pPr>
      <w:hyperlink w:anchor="_Toc535585017" w:history="1">
        <w:r w:rsidRPr="004A0D9E">
          <w:rPr>
            <w:rStyle w:val="Hyperlink"/>
            <w:noProof/>
            <w:lang w:val="es-ES"/>
          </w:rPr>
          <w:t>Novedad</w:t>
        </w:r>
        <w:r>
          <w:rPr>
            <w:noProof/>
            <w:webHidden/>
          </w:rPr>
          <w:tab/>
        </w:r>
        <w:r>
          <w:rPr>
            <w:noProof/>
            <w:webHidden/>
          </w:rPr>
          <w:fldChar w:fldCharType="begin"/>
        </w:r>
        <w:r>
          <w:rPr>
            <w:noProof/>
            <w:webHidden/>
          </w:rPr>
          <w:instrText xml:space="preserve"> PAGEREF _Toc535585017 \h </w:instrText>
        </w:r>
        <w:r>
          <w:rPr>
            <w:noProof/>
            <w:webHidden/>
          </w:rPr>
        </w:r>
        <w:r>
          <w:rPr>
            <w:noProof/>
            <w:webHidden/>
          </w:rPr>
          <w:fldChar w:fldCharType="separate"/>
        </w:r>
        <w:r>
          <w:rPr>
            <w:noProof/>
            <w:webHidden/>
          </w:rPr>
          <w:t>35</w:t>
        </w:r>
        <w:r>
          <w:rPr>
            <w:noProof/>
            <w:webHidden/>
          </w:rPr>
          <w:fldChar w:fldCharType="end"/>
        </w:r>
      </w:hyperlink>
    </w:p>
    <w:p w:rsidR="00AE4787" w:rsidRDefault="00AE4787">
      <w:pPr>
        <w:pStyle w:val="TOC1"/>
        <w:tabs>
          <w:tab w:val="right" w:leader="dot" w:pos="9061"/>
        </w:tabs>
        <w:rPr>
          <w:noProof/>
        </w:rPr>
      </w:pPr>
      <w:hyperlink w:anchor="_Toc535585018" w:history="1">
        <w:r w:rsidRPr="004A0D9E">
          <w:rPr>
            <w:rStyle w:val="Hyperlink"/>
            <w:noProof/>
            <w:lang w:val="es-ES"/>
          </w:rPr>
          <w:t>Ofensivo</w:t>
        </w:r>
        <w:r>
          <w:rPr>
            <w:noProof/>
            <w:webHidden/>
          </w:rPr>
          <w:tab/>
        </w:r>
        <w:r>
          <w:rPr>
            <w:noProof/>
            <w:webHidden/>
          </w:rPr>
          <w:fldChar w:fldCharType="begin"/>
        </w:r>
        <w:r>
          <w:rPr>
            <w:noProof/>
            <w:webHidden/>
          </w:rPr>
          <w:instrText xml:space="preserve"> PAGEREF _Toc535585018 \h </w:instrText>
        </w:r>
        <w:r>
          <w:rPr>
            <w:noProof/>
            <w:webHidden/>
          </w:rPr>
        </w:r>
        <w:r>
          <w:rPr>
            <w:noProof/>
            <w:webHidden/>
          </w:rPr>
          <w:fldChar w:fldCharType="separate"/>
        </w:r>
        <w:r>
          <w:rPr>
            <w:noProof/>
            <w:webHidden/>
          </w:rPr>
          <w:t>36</w:t>
        </w:r>
        <w:r>
          <w:rPr>
            <w:noProof/>
            <w:webHidden/>
          </w:rPr>
          <w:fldChar w:fldCharType="end"/>
        </w:r>
      </w:hyperlink>
    </w:p>
    <w:p w:rsidR="00AE4787" w:rsidRDefault="00AE4787">
      <w:pPr>
        <w:pStyle w:val="TOC1"/>
        <w:tabs>
          <w:tab w:val="right" w:leader="dot" w:pos="9061"/>
        </w:tabs>
        <w:rPr>
          <w:noProof/>
        </w:rPr>
      </w:pPr>
      <w:hyperlink w:anchor="_Toc535585019" w:history="1">
        <w:r w:rsidRPr="004A0D9E">
          <w:rPr>
            <w:rStyle w:val="Hyperlink"/>
            <w:noProof/>
            <w:lang w:val="es-ES"/>
          </w:rPr>
          <w:t>Patente</w:t>
        </w:r>
        <w:r>
          <w:rPr>
            <w:noProof/>
            <w:webHidden/>
          </w:rPr>
          <w:tab/>
        </w:r>
        <w:r>
          <w:rPr>
            <w:noProof/>
            <w:webHidden/>
          </w:rPr>
          <w:fldChar w:fldCharType="begin"/>
        </w:r>
        <w:r>
          <w:rPr>
            <w:noProof/>
            <w:webHidden/>
          </w:rPr>
          <w:instrText xml:space="preserve"> PAGEREF _Toc535585019 \h </w:instrText>
        </w:r>
        <w:r>
          <w:rPr>
            <w:noProof/>
            <w:webHidden/>
          </w:rPr>
        </w:r>
        <w:r>
          <w:rPr>
            <w:noProof/>
            <w:webHidden/>
          </w:rPr>
          <w:fldChar w:fldCharType="separate"/>
        </w:r>
        <w:r>
          <w:rPr>
            <w:noProof/>
            <w:webHidden/>
          </w:rPr>
          <w:t>36</w:t>
        </w:r>
        <w:r>
          <w:rPr>
            <w:noProof/>
            <w:webHidden/>
          </w:rPr>
          <w:fldChar w:fldCharType="end"/>
        </w:r>
      </w:hyperlink>
    </w:p>
    <w:p w:rsidR="00AE4787" w:rsidRDefault="00AE4787">
      <w:pPr>
        <w:pStyle w:val="TOC1"/>
        <w:tabs>
          <w:tab w:val="right" w:leader="dot" w:pos="9061"/>
        </w:tabs>
        <w:rPr>
          <w:noProof/>
        </w:rPr>
      </w:pPr>
      <w:hyperlink w:anchor="_Toc535585020" w:history="1">
        <w:r w:rsidRPr="004A0D9E">
          <w:rPr>
            <w:rStyle w:val="Hyperlink"/>
            <w:noProof/>
            <w:lang w:val="es-ES"/>
          </w:rPr>
          <w:t>Conservación</w:t>
        </w:r>
        <w:r>
          <w:rPr>
            <w:noProof/>
            <w:webHidden/>
          </w:rPr>
          <w:tab/>
        </w:r>
        <w:r>
          <w:rPr>
            <w:noProof/>
            <w:webHidden/>
          </w:rPr>
          <w:fldChar w:fldCharType="begin"/>
        </w:r>
        <w:r>
          <w:rPr>
            <w:noProof/>
            <w:webHidden/>
          </w:rPr>
          <w:instrText xml:space="preserve"> PAGEREF _Toc535585020 \h </w:instrText>
        </w:r>
        <w:r>
          <w:rPr>
            <w:noProof/>
            <w:webHidden/>
          </w:rPr>
        </w:r>
        <w:r>
          <w:rPr>
            <w:noProof/>
            <w:webHidden/>
          </w:rPr>
          <w:fldChar w:fldCharType="separate"/>
        </w:r>
        <w:r>
          <w:rPr>
            <w:noProof/>
            <w:webHidden/>
          </w:rPr>
          <w:t>36</w:t>
        </w:r>
        <w:r>
          <w:rPr>
            <w:noProof/>
            <w:webHidden/>
          </w:rPr>
          <w:fldChar w:fldCharType="end"/>
        </w:r>
      </w:hyperlink>
    </w:p>
    <w:p w:rsidR="00AE4787" w:rsidRDefault="00AE4787">
      <w:pPr>
        <w:pStyle w:val="TOC1"/>
        <w:tabs>
          <w:tab w:val="right" w:leader="dot" w:pos="9061"/>
        </w:tabs>
        <w:rPr>
          <w:noProof/>
        </w:rPr>
      </w:pPr>
      <w:hyperlink w:anchor="_Toc535585021" w:history="1">
        <w:r w:rsidRPr="004A0D9E">
          <w:rPr>
            <w:rStyle w:val="Hyperlink"/>
            <w:noProof/>
            <w:lang w:val="es-ES"/>
          </w:rPr>
          <w:t>Consentimiento fundamentado previo</w:t>
        </w:r>
        <w:r>
          <w:rPr>
            <w:noProof/>
            <w:webHidden/>
          </w:rPr>
          <w:tab/>
        </w:r>
        <w:r>
          <w:rPr>
            <w:noProof/>
            <w:webHidden/>
          </w:rPr>
          <w:fldChar w:fldCharType="begin"/>
        </w:r>
        <w:r>
          <w:rPr>
            <w:noProof/>
            <w:webHidden/>
          </w:rPr>
          <w:instrText xml:space="preserve"> PAGEREF _Toc535585021 \h </w:instrText>
        </w:r>
        <w:r>
          <w:rPr>
            <w:noProof/>
            <w:webHidden/>
          </w:rPr>
        </w:r>
        <w:r>
          <w:rPr>
            <w:noProof/>
            <w:webHidden/>
          </w:rPr>
          <w:fldChar w:fldCharType="separate"/>
        </w:r>
        <w:r>
          <w:rPr>
            <w:noProof/>
            <w:webHidden/>
          </w:rPr>
          <w:t>37</w:t>
        </w:r>
        <w:r>
          <w:rPr>
            <w:noProof/>
            <w:webHidden/>
          </w:rPr>
          <w:fldChar w:fldCharType="end"/>
        </w:r>
      </w:hyperlink>
    </w:p>
    <w:p w:rsidR="00AE4787" w:rsidRDefault="00AE4787">
      <w:pPr>
        <w:pStyle w:val="TOC1"/>
        <w:tabs>
          <w:tab w:val="right" w:leader="dot" w:pos="9061"/>
        </w:tabs>
        <w:rPr>
          <w:noProof/>
        </w:rPr>
      </w:pPr>
      <w:hyperlink w:anchor="_Toc535585022" w:history="1">
        <w:r w:rsidRPr="004A0D9E">
          <w:rPr>
            <w:rStyle w:val="Hyperlink"/>
            <w:noProof/>
            <w:kern w:val="36"/>
            <w:lang w:val="es-ES"/>
          </w:rPr>
          <w:t>Estado de la técnica</w:t>
        </w:r>
        <w:r>
          <w:rPr>
            <w:noProof/>
            <w:webHidden/>
          </w:rPr>
          <w:tab/>
        </w:r>
        <w:r>
          <w:rPr>
            <w:noProof/>
            <w:webHidden/>
          </w:rPr>
          <w:fldChar w:fldCharType="begin"/>
        </w:r>
        <w:r>
          <w:rPr>
            <w:noProof/>
            <w:webHidden/>
          </w:rPr>
          <w:instrText xml:space="preserve"> PAGEREF _Toc535585022 \h </w:instrText>
        </w:r>
        <w:r>
          <w:rPr>
            <w:noProof/>
            <w:webHidden/>
          </w:rPr>
        </w:r>
        <w:r>
          <w:rPr>
            <w:noProof/>
            <w:webHidden/>
          </w:rPr>
          <w:fldChar w:fldCharType="separate"/>
        </w:r>
        <w:r>
          <w:rPr>
            <w:noProof/>
            <w:webHidden/>
          </w:rPr>
          <w:t>38</w:t>
        </w:r>
        <w:r>
          <w:rPr>
            <w:noProof/>
            <w:webHidden/>
          </w:rPr>
          <w:fldChar w:fldCharType="end"/>
        </w:r>
      </w:hyperlink>
    </w:p>
    <w:p w:rsidR="00AE4787" w:rsidRDefault="00AE4787">
      <w:pPr>
        <w:pStyle w:val="TOC1"/>
        <w:tabs>
          <w:tab w:val="right" w:leader="dot" w:pos="9061"/>
        </w:tabs>
        <w:rPr>
          <w:noProof/>
        </w:rPr>
      </w:pPr>
      <w:hyperlink w:anchor="_Toc535585023" w:history="1">
        <w:r w:rsidRPr="004A0D9E">
          <w:rPr>
            <w:rStyle w:val="Hyperlink"/>
            <w:noProof/>
            <w:lang w:val="es-ES"/>
          </w:rPr>
          <w:t>Protección</w:t>
        </w:r>
        <w:r>
          <w:rPr>
            <w:noProof/>
            <w:webHidden/>
          </w:rPr>
          <w:tab/>
        </w:r>
        <w:r>
          <w:rPr>
            <w:noProof/>
            <w:webHidden/>
          </w:rPr>
          <w:fldChar w:fldCharType="begin"/>
        </w:r>
        <w:r>
          <w:rPr>
            <w:noProof/>
            <w:webHidden/>
          </w:rPr>
          <w:instrText xml:space="preserve"> PAGEREF _Toc535585023 \h </w:instrText>
        </w:r>
        <w:r>
          <w:rPr>
            <w:noProof/>
            <w:webHidden/>
          </w:rPr>
        </w:r>
        <w:r>
          <w:rPr>
            <w:noProof/>
            <w:webHidden/>
          </w:rPr>
          <w:fldChar w:fldCharType="separate"/>
        </w:r>
        <w:r>
          <w:rPr>
            <w:noProof/>
            <w:webHidden/>
          </w:rPr>
          <w:t>39</w:t>
        </w:r>
        <w:r>
          <w:rPr>
            <w:noProof/>
            <w:webHidden/>
          </w:rPr>
          <w:fldChar w:fldCharType="end"/>
        </w:r>
      </w:hyperlink>
    </w:p>
    <w:p w:rsidR="00AE4787" w:rsidRDefault="00AE4787">
      <w:pPr>
        <w:pStyle w:val="TOC1"/>
        <w:tabs>
          <w:tab w:val="right" w:leader="dot" w:pos="9061"/>
        </w:tabs>
        <w:rPr>
          <w:noProof/>
        </w:rPr>
      </w:pPr>
      <w:hyperlink w:anchor="_Toc535585024" w:history="1">
        <w:r w:rsidRPr="004A0D9E">
          <w:rPr>
            <w:rStyle w:val="Hyperlink"/>
            <w:noProof/>
            <w:lang w:val="es-ES"/>
          </w:rPr>
          <w:t>Protocolo</w:t>
        </w:r>
        <w:r>
          <w:rPr>
            <w:noProof/>
            <w:webHidden/>
          </w:rPr>
          <w:tab/>
        </w:r>
        <w:r>
          <w:rPr>
            <w:noProof/>
            <w:webHidden/>
          </w:rPr>
          <w:fldChar w:fldCharType="begin"/>
        </w:r>
        <w:r>
          <w:rPr>
            <w:noProof/>
            <w:webHidden/>
          </w:rPr>
          <w:instrText xml:space="preserve"> PAGEREF _Toc535585024 \h </w:instrText>
        </w:r>
        <w:r>
          <w:rPr>
            <w:noProof/>
            <w:webHidden/>
          </w:rPr>
        </w:r>
        <w:r>
          <w:rPr>
            <w:noProof/>
            <w:webHidden/>
          </w:rPr>
          <w:fldChar w:fldCharType="separate"/>
        </w:r>
        <w:r>
          <w:rPr>
            <w:noProof/>
            <w:webHidden/>
          </w:rPr>
          <w:t>40</w:t>
        </w:r>
        <w:r>
          <w:rPr>
            <w:noProof/>
            <w:webHidden/>
          </w:rPr>
          <w:fldChar w:fldCharType="end"/>
        </w:r>
      </w:hyperlink>
    </w:p>
    <w:p w:rsidR="00AE4787" w:rsidRDefault="00AE4787">
      <w:pPr>
        <w:pStyle w:val="TOC1"/>
        <w:tabs>
          <w:tab w:val="right" w:leader="dot" w:pos="9061"/>
        </w:tabs>
        <w:rPr>
          <w:noProof/>
        </w:rPr>
      </w:pPr>
      <w:hyperlink w:anchor="_Toc535585025" w:history="1">
        <w:r w:rsidRPr="004A0D9E">
          <w:rPr>
            <w:rStyle w:val="Hyperlink"/>
            <w:noProof/>
            <w:lang w:val="es-ES"/>
          </w:rPr>
          <w:t>Proveedores y beneficiarios de recursos genéticos</w:t>
        </w:r>
        <w:r>
          <w:rPr>
            <w:noProof/>
            <w:webHidden/>
          </w:rPr>
          <w:tab/>
        </w:r>
        <w:r>
          <w:rPr>
            <w:noProof/>
            <w:webHidden/>
          </w:rPr>
          <w:fldChar w:fldCharType="begin"/>
        </w:r>
        <w:r>
          <w:rPr>
            <w:noProof/>
            <w:webHidden/>
          </w:rPr>
          <w:instrText xml:space="preserve"> PAGEREF _Toc535585025 \h </w:instrText>
        </w:r>
        <w:r>
          <w:rPr>
            <w:noProof/>
            <w:webHidden/>
          </w:rPr>
        </w:r>
        <w:r>
          <w:rPr>
            <w:noProof/>
            <w:webHidden/>
          </w:rPr>
          <w:fldChar w:fldCharType="separate"/>
        </w:r>
        <w:r>
          <w:rPr>
            <w:noProof/>
            <w:webHidden/>
          </w:rPr>
          <w:t>40</w:t>
        </w:r>
        <w:r>
          <w:rPr>
            <w:noProof/>
            <w:webHidden/>
          </w:rPr>
          <w:fldChar w:fldCharType="end"/>
        </w:r>
      </w:hyperlink>
    </w:p>
    <w:p w:rsidR="00AE4787" w:rsidRDefault="00AE4787">
      <w:pPr>
        <w:pStyle w:val="TOC1"/>
        <w:tabs>
          <w:tab w:val="right" w:leader="dot" w:pos="9061"/>
        </w:tabs>
        <w:rPr>
          <w:noProof/>
        </w:rPr>
      </w:pPr>
      <w:hyperlink w:anchor="_Toc535585026" w:history="1">
        <w:r w:rsidRPr="004A0D9E">
          <w:rPr>
            <w:rStyle w:val="Hyperlink"/>
            <w:noProof/>
            <w:kern w:val="36"/>
            <w:lang w:val="es-ES"/>
          </w:rPr>
          <w:t>Dominio público</w:t>
        </w:r>
        <w:r>
          <w:rPr>
            <w:noProof/>
            <w:webHidden/>
          </w:rPr>
          <w:tab/>
        </w:r>
        <w:r>
          <w:rPr>
            <w:noProof/>
            <w:webHidden/>
          </w:rPr>
          <w:fldChar w:fldCharType="begin"/>
        </w:r>
        <w:r>
          <w:rPr>
            <w:noProof/>
            <w:webHidden/>
          </w:rPr>
          <w:instrText xml:space="preserve"> PAGEREF _Toc535585026 \h </w:instrText>
        </w:r>
        <w:r>
          <w:rPr>
            <w:noProof/>
            <w:webHidden/>
          </w:rPr>
        </w:r>
        <w:r>
          <w:rPr>
            <w:noProof/>
            <w:webHidden/>
          </w:rPr>
          <w:fldChar w:fldCharType="separate"/>
        </w:r>
        <w:r>
          <w:rPr>
            <w:noProof/>
            <w:webHidden/>
          </w:rPr>
          <w:t>40</w:t>
        </w:r>
        <w:r>
          <w:rPr>
            <w:noProof/>
            <w:webHidden/>
          </w:rPr>
          <w:fldChar w:fldCharType="end"/>
        </w:r>
      </w:hyperlink>
    </w:p>
    <w:p w:rsidR="00AE4787" w:rsidRDefault="00AE4787">
      <w:pPr>
        <w:pStyle w:val="TOC1"/>
        <w:tabs>
          <w:tab w:val="right" w:leader="dot" w:pos="9061"/>
        </w:tabs>
        <w:rPr>
          <w:noProof/>
        </w:rPr>
      </w:pPr>
      <w:hyperlink w:anchor="_Toc535585027" w:history="1">
        <w:r w:rsidRPr="004A0D9E">
          <w:rPr>
            <w:rStyle w:val="Hyperlink"/>
            <w:noProof/>
            <w:lang w:val="es-ES"/>
          </w:rPr>
          <w:t>Disponibilidad pública</w:t>
        </w:r>
        <w:r>
          <w:rPr>
            <w:noProof/>
            <w:webHidden/>
          </w:rPr>
          <w:tab/>
        </w:r>
        <w:r>
          <w:rPr>
            <w:noProof/>
            <w:webHidden/>
          </w:rPr>
          <w:fldChar w:fldCharType="begin"/>
        </w:r>
        <w:r>
          <w:rPr>
            <w:noProof/>
            <w:webHidden/>
          </w:rPr>
          <w:instrText xml:space="preserve"> PAGEREF _Toc535585027 \h </w:instrText>
        </w:r>
        <w:r>
          <w:rPr>
            <w:noProof/>
            <w:webHidden/>
          </w:rPr>
        </w:r>
        <w:r>
          <w:rPr>
            <w:noProof/>
            <w:webHidden/>
          </w:rPr>
          <w:fldChar w:fldCharType="separate"/>
        </w:r>
        <w:r>
          <w:rPr>
            <w:noProof/>
            <w:webHidden/>
          </w:rPr>
          <w:t>41</w:t>
        </w:r>
        <w:r>
          <w:rPr>
            <w:noProof/>
            <w:webHidden/>
          </w:rPr>
          <w:fldChar w:fldCharType="end"/>
        </w:r>
      </w:hyperlink>
    </w:p>
    <w:p w:rsidR="00AE4787" w:rsidRDefault="00AE4787">
      <w:pPr>
        <w:pStyle w:val="TOC1"/>
        <w:tabs>
          <w:tab w:val="right" w:leader="dot" w:pos="9061"/>
        </w:tabs>
        <w:rPr>
          <w:noProof/>
        </w:rPr>
      </w:pPr>
      <w:hyperlink w:anchor="_Toc535585028" w:history="1">
        <w:r w:rsidRPr="004A0D9E">
          <w:rPr>
            <w:rStyle w:val="Hyperlink"/>
            <w:noProof/>
            <w:lang w:val="es-ES"/>
          </w:rPr>
          <w:t>Registros de conocimientos tradicionales</w:t>
        </w:r>
        <w:r>
          <w:rPr>
            <w:noProof/>
            <w:webHidden/>
          </w:rPr>
          <w:tab/>
        </w:r>
        <w:r>
          <w:rPr>
            <w:noProof/>
            <w:webHidden/>
          </w:rPr>
          <w:fldChar w:fldCharType="begin"/>
        </w:r>
        <w:r>
          <w:rPr>
            <w:noProof/>
            <w:webHidden/>
          </w:rPr>
          <w:instrText xml:space="preserve"> PAGEREF _Toc535585028 \h </w:instrText>
        </w:r>
        <w:r>
          <w:rPr>
            <w:noProof/>
            <w:webHidden/>
          </w:rPr>
        </w:r>
        <w:r>
          <w:rPr>
            <w:noProof/>
            <w:webHidden/>
          </w:rPr>
          <w:fldChar w:fldCharType="separate"/>
        </w:r>
        <w:r>
          <w:rPr>
            <w:noProof/>
            <w:webHidden/>
          </w:rPr>
          <w:t>42</w:t>
        </w:r>
        <w:r>
          <w:rPr>
            <w:noProof/>
            <w:webHidden/>
          </w:rPr>
          <w:fldChar w:fldCharType="end"/>
        </w:r>
      </w:hyperlink>
    </w:p>
    <w:p w:rsidR="00AE4787" w:rsidRDefault="00AE4787">
      <w:pPr>
        <w:pStyle w:val="TOC1"/>
        <w:tabs>
          <w:tab w:val="right" w:leader="dot" w:pos="9061"/>
        </w:tabs>
        <w:rPr>
          <w:noProof/>
        </w:rPr>
      </w:pPr>
      <w:hyperlink w:anchor="_Toc535585029" w:history="1">
        <w:r w:rsidRPr="004A0D9E">
          <w:rPr>
            <w:rStyle w:val="Hyperlink"/>
            <w:noProof/>
            <w:kern w:val="36"/>
            <w:lang w:val="es-ES"/>
          </w:rPr>
          <w:t>Reputación</w:t>
        </w:r>
        <w:r>
          <w:rPr>
            <w:noProof/>
            <w:webHidden/>
          </w:rPr>
          <w:tab/>
        </w:r>
        <w:r>
          <w:rPr>
            <w:noProof/>
            <w:webHidden/>
          </w:rPr>
          <w:fldChar w:fldCharType="begin"/>
        </w:r>
        <w:r>
          <w:rPr>
            <w:noProof/>
            <w:webHidden/>
          </w:rPr>
          <w:instrText xml:space="preserve"> PAGEREF _Toc535585029 \h </w:instrText>
        </w:r>
        <w:r>
          <w:rPr>
            <w:noProof/>
            <w:webHidden/>
          </w:rPr>
        </w:r>
        <w:r>
          <w:rPr>
            <w:noProof/>
            <w:webHidden/>
          </w:rPr>
          <w:fldChar w:fldCharType="separate"/>
        </w:r>
        <w:r>
          <w:rPr>
            <w:noProof/>
            <w:webHidden/>
          </w:rPr>
          <w:t>43</w:t>
        </w:r>
        <w:r>
          <w:rPr>
            <w:noProof/>
            <w:webHidden/>
          </w:rPr>
          <w:fldChar w:fldCharType="end"/>
        </w:r>
      </w:hyperlink>
    </w:p>
    <w:p w:rsidR="00AE4787" w:rsidRDefault="00AE4787">
      <w:pPr>
        <w:pStyle w:val="TOC1"/>
        <w:tabs>
          <w:tab w:val="right" w:leader="dot" w:pos="9061"/>
        </w:tabs>
        <w:rPr>
          <w:noProof/>
        </w:rPr>
      </w:pPr>
      <w:hyperlink w:anchor="_Toc535585030" w:history="1">
        <w:r w:rsidRPr="004A0D9E">
          <w:rPr>
            <w:rStyle w:val="Hyperlink"/>
            <w:noProof/>
            <w:lang w:val="es-ES"/>
          </w:rPr>
          <w:t>Sagrado</w:t>
        </w:r>
        <w:r>
          <w:rPr>
            <w:noProof/>
            <w:webHidden/>
          </w:rPr>
          <w:tab/>
        </w:r>
        <w:r>
          <w:rPr>
            <w:noProof/>
            <w:webHidden/>
          </w:rPr>
          <w:fldChar w:fldCharType="begin"/>
        </w:r>
        <w:r>
          <w:rPr>
            <w:noProof/>
            <w:webHidden/>
          </w:rPr>
          <w:instrText xml:space="preserve"> PAGEREF _Toc535585030 \h </w:instrText>
        </w:r>
        <w:r>
          <w:rPr>
            <w:noProof/>
            <w:webHidden/>
          </w:rPr>
        </w:r>
        <w:r>
          <w:rPr>
            <w:noProof/>
            <w:webHidden/>
          </w:rPr>
          <w:fldChar w:fldCharType="separate"/>
        </w:r>
        <w:r>
          <w:rPr>
            <w:noProof/>
            <w:webHidden/>
          </w:rPr>
          <w:t>43</w:t>
        </w:r>
        <w:r>
          <w:rPr>
            <w:noProof/>
            <w:webHidden/>
          </w:rPr>
          <w:fldChar w:fldCharType="end"/>
        </w:r>
      </w:hyperlink>
    </w:p>
    <w:p w:rsidR="00AE4787" w:rsidRDefault="00AE4787">
      <w:pPr>
        <w:pStyle w:val="TOC1"/>
        <w:tabs>
          <w:tab w:val="right" w:leader="dot" w:pos="9061"/>
        </w:tabs>
        <w:rPr>
          <w:noProof/>
        </w:rPr>
      </w:pPr>
      <w:hyperlink w:anchor="_Toc535585031" w:history="1">
        <w:r w:rsidRPr="004A0D9E">
          <w:rPr>
            <w:rStyle w:val="Hyperlink"/>
            <w:noProof/>
            <w:lang w:val="es-ES"/>
          </w:rPr>
          <w:t>Salvaguardia</w:t>
        </w:r>
        <w:r>
          <w:rPr>
            <w:noProof/>
            <w:webHidden/>
          </w:rPr>
          <w:tab/>
        </w:r>
        <w:r>
          <w:rPr>
            <w:noProof/>
            <w:webHidden/>
          </w:rPr>
          <w:fldChar w:fldCharType="begin"/>
        </w:r>
        <w:r>
          <w:rPr>
            <w:noProof/>
            <w:webHidden/>
          </w:rPr>
          <w:instrText xml:space="preserve"> PAGEREF _Toc535585031 \h </w:instrText>
        </w:r>
        <w:r>
          <w:rPr>
            <w:noProof/>
            <w:webHidden/>
          </w:rPr>
        </w:r>
        <w:r>
          <w:rPr>
            <w:noProof/>
            <w:webHidden/>
          </w:rPr>
          <w:fldChar w:fldCharType="separate"/>
        </w:r>
        <w:r>
          <w:rPr>
            <w:noProof/>
            <w:webHidden/>
          </w:rPr>
          <w:t>44</w:t>
        </w:r>
        <w:r>
          <w:rPr>
            <w:noProof/>
            <w:webHidden/>
          </w:rPr>
          <w:fldChar w:fldCharType="end"/>
        </w:r>
      </w:hyperlink>
    </w:p>
    <w:p w:rsidR="00AE4787" w:rsidRDefault="00AE4787">
      <w:pPr>
        <w:pStyle w:val="TOC1"/>
        <w:tabs>
          <w:tab w:val="right" w:leader="dot" w:pos="9061"/>
        </w:tabs>
        <w:rPr>
          <w:noProof/>
        </w:rPr>
      </w:pPr>
      <w:hyperlink w:anchor="_Toc535585032" w:history="1">
        <w:r w:rsidRPr="004A0D9E">
          <w:rPr>
            <w:rStyle w:val="Hyperlink"/>
            <w:noProof/>
            <w:lang w:val="es-ES"/>
          </w:rPr>
          <w:t>Secreto</w:t>
        </w:r>
        <w:r>
          <w:rPr>
            <w:noProof/>
            <w:webHidden/>
          </w:rPr>
          <w:tab/>
        </w:r>
        <w:r>
          <w:rPr>
            <w:noProof/>
            <w:webHidden/>
          </w:rPr>
          <w:fldChar w:fldCharType="begin"/>
        </w:r>
        <w:r>
          <w:rPr>
            <w:noProof/>
            <w:webHidden/>
          </w:rPr>
          <w:instrText xml:space="preserve"> PAGEREF _Toc535585032 \h </w:instrText>
        </w:r>
        <w:r>
          <w:rPr>
            <w:noProof/>
            <w:webHidden/>
          </w:rPr>
        </w:r>
        <w:r>
          <w:rPr>
            <w:noProof/>
            <w:webHidden/>
          </w:rPr>
          <w:fldChar w:fldCharType="separate"/>
        </w:r>
        <w:r>
          <w:rPr>
            <w:noProof/>
            <w:webHidden/>
          </w:rPr>
          <w:t>44</w:t>
        </w:r>
        <w:r>
          <w:rPr>
            <w:noProof/>
            <w:webHidden/>
          </w:rPr>
          <w:fldChar w:fldCharType="end"/>
        </w:r>
      </w:hyperlink>
    </w:p>
    <w:p w:rsidR="00AE4787" w:rsidRDefault="00AE4787">
      <w:pPr>
        <w:pStyle w:val="TOC1"/>
        <w:tabs>
          <w:tab w:val="right" w:leader="dot" w:pos="9061"/>
        </w:tabs>
        <w:rPr>
          <w:noProof/>
        </w:rPr>
      </w:pPr>
      <w:hyperlink w:anchor="_Toc535585033" w:history="1">
        <w:r w:rsidRPr="004A0D9E">
          <w:rPr>
            <w:rStyle w:val="Hyperlink"/>
            <w:i/>
            <w:iCs/>
            <w:noProof/>
            <w:lang w:val="es-ES"/>
          </w:rPr>
          <w:t>Fuente de los recursos genéticos</w:t>
        </w:r>
        <w:r>
          <w:rPr>
            <w:noProof/>
            <w:webHidden/>
          </w:rPr>
          <w:tab/>
        </w:r>
        <w:r>
          <w:rPr>
            <w:noProof/>
            <w:webHidden/>
          </w:rPr>
          <w:fldChar w:fldCharType="begin"/>
        </w:r>
        <w:r>
          <w:rPr>
            <w:noProof/>
            <w:webHidden/>
          </w:rPr>
          <w:instrText xml:space="preserve"> PAGEREF _Toc535585033 \h </w:instrText>
        </w:r>
        <w:r>
          <w:rPr>
            <w:noProof/>
            <w:webHidden/>
          </w:rPr>
        </w:r>
        <w:r>
          <w:rPr>
            <w:noProof/>
            <w:webHidden/>
          </w:rPr>
          <w:fldChar w:fldCharType="separate"/>
        </w:r>
        <w:r>
          <w:rPr>
            <w:noProof/>
            <w:webHidden/>
          </w:rPr>
          <w:t>44</w:t>
        </w:r>
        <w:r>
          <w:rPr>
            <w:noProof/>
            <w:webHidden/>
          </w:rPr>
          <w:fldChar w:fldCharType="end"/>
        </w:r>
      </w:hyperlink>
    </w:p>
    <w:p w:rsidR="00AE4787" w:rsidRDefault="00AE4787">
      <w:pPr>
        <w:pStyle w:val="TOC1"/>
        <w:tabs>
          <w:tab w:val="right" w:leader="dot" w:pos="9061"/>
        </w:tabs>
        <w:rPr>
          <w:noProof/>
        </w:rPr>
      </w:pPr>
      <w:hyperlink w:anchor="_Toc535585034" w:history="1">
        <w:r w:rsidRPr="004A0D9E">
          <w:rPr>
            <w:rStyle w:val="Hyperlink"/>
            <w:iCs/>
            <w:noProof/>
            <w:lang w:val="es-ES"/>
          </w:rPr>
          <w:t>Sui géneris</w:t>
        </w:r>
        <w:r>
          <w:rPr>
            <w:noProof/>
            <w:webHidden/>
          </w:rPr>
          <w:tab/>
        </w:r>
        <w:r>
          <w:rPr>
            <w:noProof/>
            <w:webHidden/>
          </w:rPr>
          <w:fldChar w:fldCharType="begin"/>
        </w:r>
        <w:r>
          <w:rPr>
            <w:noProof/>
            <w:webHidden/>
          </w:rPr>
          <w:instrText xml:space="preserve"> PAGEREF _Toc535585034 \h </w:instrText>
        </w:r>
        <w:r>
          <w:rPr>
            <w:noProof/>
            <w:webHidden/>
          </w:rPr>
        </w:r>
        <w:r>
          <w:rPr>
            <w:noProof/>
            <w:webHidden/>
          </w:rPr>
          <w:fldChar w:fldCharType="separate"/>
        </w:r>
        <w:r>
          <w:rPr>
            <w:noProof/>
            <w:webHidden/>
          </w:rPr>
          <w:t>45</w:t>
        </w:r>
        <w:r>
          <w:rPr>
            <w:noProof/>
            <w:webHidden/>
          </w:rPr>
          <w:fldChar w:fldCharType="end"/>
        </w:r>
      </w:hyperlink>
    </w:p>
    <w:p w:rsidR="00AE4787" w:rsidRDefault="00AE4787">
      <w:pPr>
        <w:pStyle w:val="TOC1"/>
        <w:tabs>
          <w:tab w:val="right" w:leader="dot" w:pos="9061"/>
        </w:tabs>
        <w:rPr>
          <w:noProof/>
        </w:rPr>
      </w:pPr>
      <w:hyperlink w:anchor="_Toc535585035" w:history="1">
        <w:r w:rsidRPr="004A0D9E">
          <w:rPr>
            <w:rStyle w:val="Hyperlink"/>
            <w:noProof/>
            <w:lang w:val="es-ES"/>
          </w:rPr>
          <w:t>Protocolo de Swakopmund sobre la Protección de los Conocimientos Tradicionales y las Expresiones del Folclore</w:t>
        </w:r>
        <w:r>
          <w:rPr>
            <w:noProof/>
            <w:webHidden/>
          </w:rPr>
          <w:tab/>
        </w:r>
        <w:r>
          <w:rPr>
            <w:noProof/>
            <w:webHidden/>
          </w:rPr>
          <w:fldChar w:fldCharType="begin"/>
        </w:r>
        <w:r>
          <w:rPr>
            <w:noProof/>
            <w:webHidden/>
          </w:rPr>
          <w:instrText xml:space="preserve"> PAGEREF _Toc535585035 \h </w:instrText>
        </w:r>
        <w:r>
          <w:rPr>
            <w:noProof/>
            <w:webHidden/>
          </w:rPr>
        </w:r>
        <w:r>
          <w:rPr>
            <w:noProof/>
            <w:webHidden/>
          </w:rPr>
          <w:fldChar w:fldCharType="separate"/>
        </w:r>
        <w:r>
          <w:rPr>
            <w:noProof/>
            <w:webHidden/>
          </w:rPr>
          <w:t>45</w:t>
        </w:r>
        <w:r>
          <w:rPr>
            <w:noProof/>
            <w:webHidden/>
          </w:rPr>
          <w:fldChar w:fldCharType="end"/>
        </w:r>
      </w:hyperlink>
    </w:p>
    <w:p w:rsidR="00AE4787" w:rsidRDefault="00AE4787">
      <w:pPr>
        <w:pStyle w:val="TOC1"/>
        <w:tabs>
          <w:tab w:val="right" w:leader="dot" w:pos="9061"/>
        </w:tabs>
        <w:rPr>
          <w:noProof/>
        </w:rPr>
      </w:pPr>
      <w:hyperlink w:anchor="_Toc535585036" w:history="1">
        <w:r w:rsidRPr="004A0D9E">
          <w:rPr>
            <w:rStyle w:val="Hyperlink"/>
            <w:noProof/>
            <w:lang w:val="es-ES"/>
          </w:rPr>
          <w:t>Expresiones materiales (o tangibles)</w:t>
        </w:r>
        <w:r>
          <w:rPr>
            <w:noProof/>
            <w:webHidden/>
          </w:rPr>
          <w:tab/>
        </w:r>
        <w:r>
          <w:rPr>
            <w:noProof/>
            <w:webHidden/>
          </w:rPr>
          <w:fldChar w:fldCharType="begin"/>
        </w:r>
        <w:r>
          <w:rPr>
            <w:noProof/>
            <w:webHidden/>
          </w:rPr>
          <w:instrText xml:space="preserve"> PAGEREF _Toc535585036 \h </w:instrText>
        </w:r>
        <w:r>
          <w:rPr>
            <w:noProof/>
            <w:webHidden/>
          </w:rPr>
        </w:r>
        <w:r>
          <w:rPr>
            <w:noProof/>
            <w:webHidden/>
          </w:rPr>
          <w:fldChar w:fldCharType="separate"/>
        </w:r>
        <w:r>
          <w:rPr>
            <w:noProof/>
            <w:webHidden/>
          </w:rPr>
          <w:t>45</w:t>
        </w:r>
        <w:r>
          <w:rPr>
            <w:noProof/>
            <w:webHidden/>
          </w:rPr>
          <w:fldChar w:fldCharType="end"/>
        </w:r>
      </w:hyperlink>
    </w:p>
    <w:p w:rsidR="00AE4787" w:rsidRDefault="00AE4787">
      <w:pPr>
        <w:pStyle w:val="TOC1"/>
        <w:tabs>
          <w:tab w:val="right" w:leader="dot" w:pos="9061"/>
        </w:tabs>
        <w:rPr>
          <w:noProof/>
        </w:rPr>
      </w:pPr>
      <w:hyperlink w:anchor="_Toc535585037" w:history="1">
        <w:r w:rsidRPr="004A0D9E">
          <w:rPr>
            <w:rStyle w:val="Hyperlink"/>
            <w:noProof/>
            <w:lang w:val="es-ES"/>
          </w:rPr>
          <w:t>Contexto tradicional</w:t>
        </w:r>
        <w:r>
          <w:rPr>
            <w:noProof/>
            <w:webHidden/>
          </w:rPr>
          <w:tab/>
        </w:r>
        <w:r>
          <w:rPr>
            <w:noProof/>
            <w:webHidden/>
          </w:rPr>
          <w:fldChar w:fldCharType="begin"/>
        </w:r>
        <w:r>
          <w:rPr>
            <w:noProof/>
            <w:webHidden/>
          </w:rPr>
          <w:instrText xml:space="preserve"> PAGEREF _Toc535585037 \h </w:instrText>
        </w:r>
        <w:r>
          <w:rPr>
            <w:noProof/>
            <w:webHidden/>
          </w:rPr>
        </w:r>
        <w:r>
          <w:rPr>
            <w:noProof/>
            <w:webHidden/>
          </w:rPr>
          <w:fldChar w:fldCharType="separate"/>
        </w:r>
        <w:r>
          <w:rPr>
            <w:noProof/>
            <w:webHidden/>
          </w:rPr>
          <w:t>46</w:t>
        </w:r>
        <w:r>
          <w:rPr>
            <w:noProof/>
            <w:webHidden/>
          </w:rPr>
          <w:fldChar w:fldCharType="end"/>
        </w:r>
      </w:hyperlink>
    </w:p>
    <w:p w:rsidR="00AE4787" w:rsidRDefault="00AE4787">
      <w:pPr>
        <w:pStyle w:val="TOC1"/>
        <w:tabs>
          <w:tab w:val="right" w:leader="dot" w:pos="9061"/>
        </w:tabs>
        <w:rPr>
          <w:noProof/>
        </w:rPr>
      </w:pPr>
      <w:hyperlink w:anchor="_Toc535585038" w:history="1">
        <w:r w:rsidRPr="004A0D9E">
          <w:rPr>
            <w:rStyle w:val="Hyperlink"/>
            <w:noProof/>
            <w:lang w:val="es-ES"/>
          </w:rPr>
          <w:t>Expresiones culturales tradicionales</w:t>
        </w:r>
        <w:r>
          <w:rPr>
            <w:noProof/>
            <w:webHidden/>
          </w:rPr>
          <w:tab/>
        </w:r>
        <w:r>
          <w:rPr>
            <w:noProof/>
            <w:webHidden/>
          </w:rPr>
          <w:fldChar w:fldCharType="begin"/>
        </w:r>
        <w:r>
          <w:rPr>
            <w:noProof/>
            <w:webHidden/>
          </w:rPr>
          <w:instrText xml:space="preserve"> PAGEREF _Toc535585038 \h </w:instrText>
        </w:r>
        <w:r>
          <w:rPr>
            <w:noProof/>
            <w:webHidden/>
          </w:rPr>
        </w:r>
        <w:r>
          <w:rPr>
            <w:noProof/>
            <w:webHidden/>
          </w:rPr>
          <w:fldChar w:fldCharType="separate"/>
        </w:r>
        <w:r>
          <w:rPr>
            <w:noProof/>
            <w:webHidden/>
          </w:rPr>
          <w:t>46</w:t>
        </w:r>
        <w:r>
          <w:rPr>
            <w:noProof/>
            <w:webHidden/>
          </w:rPr>
          <w:fldChar w:fldCharType="end"/>
        </w:r>
      </w:hyperlink>
    </w:p>
    <w:p w:rsidR="00AE4787" w:rsidRDefault="00AE4787">
      <w:pPr>
        <w:pStyle w:val="TOC1"/>
        <w:tabs>
          <w:tab w:val="right" w:leader="dot" w:pos="9061"/>
        </w:tabs>
        <w:rPr>
          <w:noProof/>
        </w:rPr>
      </w:pPr>
      <w:hyperlink w:anchor="_Toc535585039" w:history="1">
        <w:r w:rsidRPr="004A0D9E">
          <w:rPr>
            <w:rStyle w:val="Hyperlink"/>
            <w:noProof/>
            <w:lang w:val="es-ES"/>
          </w:rPr>
          <w:t>Culturas tradicionales</w:t>
        </w:r>
        <w:r>
          <w:rPr>
            <w:noProof/>
            <w:webHidden/>
          </w:rPr>
          <w:tab/>
        </w:r>
        <w:r>
          <w:rPr>
            <w:noProof/>
            <w:webHidden/>
          </w:rPr>
          <w:fldChar w:fldCharType="begin"/>
        </w:r>
        <w:r>
          <w:rPr>
            <w:noProof/>
            <w:webHidden/>
          </w:rPr>
          <w:instrText xml:space="preserve"> PAGEREF _Toc535585039 \h </w:instrText>
        </w:r>
        <w:r>
          <w:rPr>
            <w:noProof/>
            <w:webHidden/>
          </w:rPr>
        </w:r>
        <w:r>
          <w:rPr>
            <w:noProof/>
            <w:webHidden/>
          </w:rPr>
          <w:fldChar w:fldCharType="separate"/>
        </w:r>
        <w:r>
          <w:rPr>
            <w:noProof/>
            <w:webHidden/>
          </w:rPr>
          <w:t>47</w:t>
        </w:r>
        <w:r>
          <w:rPr>
            <w:noProof/>
            <w:webHidden/>
          </w:rPr>
          <w:fldChar w:fldCharType="end"/>
        </w:r>
      </w:hyperlink>
    </w:p>
    <w:p w:rsidR="00AE4787" w:rsidRDefault="00AE4787">
      <w:pPr>
        <w:pStyle w:val="TOC1"/>
        <w:tabs>
          <w:tab w:val="right" w:leader="dot" w:pos="9061"/>
        </w:tabs>
        <w:rPr>
          <w:noProof/>
        </w:rPr>
      </w:pPr>
      <w:hyperlink w:anchor="_Toc535585040" w:history="1">
        <w:r w:rsidRPr="004A0D9E">
          <w:rPr>
            <w:rStyle w:val="Hyperlink"/>
            <w:noProof/>
            <w:lang w:val="es-ES"/>
          </w:rPr>
          <w:t>Conocimientos ecológicos tradicionales/conocimientos medioambientales tradicionales</w:t>
        </w:r>
        <w:r>
          <w:rPr>
            <w:noProof/>
            <w:webHidden/>
          </w:rPr>
          <w:tab/>
        </w:r>
        <w:r>
          <w:rPr>
            <w:noProof/>
            <w:webHidden/>
          </w:rPr>
          <w:fldChar w:fldCharType="begin"/>
        </w:r>
        <w:r>
          <w:rPr>
            <w:noProof/>
            <w:webHidden/>
          </w:rPr>
          <w:instrText xml:space="preserve"> PAGEREF _Toc535585040 \h </w:instrText>
        </w:r>
        <w:r>
          <w:rPr>
            <w:noProof/>
            <w:webHidden/>
          </w:rPr>
        </w:r>
        <w:r>
          <w:rPr>
            <w:noProof/>
            <w:webHidden/>
          </w:rPr>
          <w:fldChar w:fldCharType="separate"/>
        </w:r>
        <w:r>
          <w:rPr>
            <w:noProof/>
            <w:webHidden/>
          </w:rPr>
          <w:t>47</w:t>
        </w:r>
        <w:r>
          <w:rPr>
            <w:noProof/>
            <w:webHidden/>
          </w:rPr>
          <w:fldChar w:fldCharType="end"/>
        </w:r>
      </w:hyperlink>
    </w:p>
    <w:p w:rsidR="00AE4787" w:rsidRDefault="00AE4787">
      <w:pPr>
        <w:pStyle w:val="TOC1"/>
        <w:tabs>
          <w:tab w:val="right" w:leader="dot" w:pos="9061"/>
        </w:tabs>
        <w:rPr>
          <w:noProof/>
        </w:rPr>
      </w:pPr>
      <w:hyperlink w:anchor="_Toc535585041" w:history="1">
        <w:r w:rsidRPr="004A0D9E">
          <w:rPr>
            <w:rStyle w:val="Hyperlink"/>
            <w:noProof/>
            <w:lang w:val="es-ES"/>
          </w:rPr>
          <w:t>Conocimientos tradicionales</w:t>
        </w:r>
        <w:r>
          <w:rPr>
            <w:noProof/>
            <w:webHidden/>
          </w:rPr>
          <w:tab/>
        </w:r>
        <w:r>
          <w:rPr>
            <w:noProof/>
            <w:webHidden/>
          </w:rPr>
          <w:fldChar w:fldCharType="begin"/>
        </w:r>
        <w:r>
          <w:rPr>
            <w:noProof/>
            <w:webHidden/>
          </w:rPr>
          <w:instrText xml:space="preserve"> PAGEREF _Toc535585041 \h </w:instrText>
        </w:r>
        <w:r>
          <w:rPr>
            <w:noProof/>
            <w:webHidden/>
          </w:rPr>
        </w:r>
        <w:r>
          <w:rPr>
            <w:noProof/>
            <w:webHidden/>
          </w:rPr>
          <w:fldChar w:fldCharType="separate"/>
        </w:r>
        <w:r>
          <w:rPr>
            <w:noProof/>
            <w:webHidden/>
          </w:rPr>
          <w:t>47</w:t>
        </w:r>
        <w:r>
          <w:rPr>
            <w:noProof/>
            <w:webHidden/>
          </w:rPr>
          <w:fldChar w:fldCharType="end"/>
        </w:r>
      </w:hyperlink>
    </w:p>
    <w:p w:rsidR="00AE4787" w:rsidRDefault="00AE4787">
      <w:pPr>
        <w:pStyle w:val="TOC1"/>
        <w:tabs>
          <w:tab w:val="right" w:leader="dot" w:pos="9061"/>
        </w:tabs>
        <w:rPr>
          <w:noProof/>
        </w:rPr>
      </w:pPr>
      <w:hyperlink w:anchor="_Toc535585042" w:history="1">
        <w:r w:rsidRPr="004A0D9E">
          <w:rPr>
            <w:rStyle w:val="Hyperlink"/>
            <w:noProof/>
            <w:lang w:val="es-ES"/>
          </w:rPr>
          <w:t>Biblioteca digital sobre Conocimientos Tradicionales</w:t>
        </w:r>
        <w:r>
          <w:rPr>
            <w:noProof/>
            <w:webHidden/>
          </w:rPr>
          <w:tab/>
        </w:r>
        <w:r>
          <w:rPr>
            <w:noProof/>
            <w:webHidden/>
          </w:rPr>
          <w:fldChar w:fldCharType="begin"/>
        </w:r>
        <w:r>
          <w:rPr>
            <w:noProof/>
            <w:webHidden/>
          </w:rPr>
          <w:instrText xml:space="preserve"> PAGEREF _Toc535585042 \h </w:instrText>
        </w:r>
        <w:r>
          <w:rPr>
            <w:noProof/>
            <w:webHidden/>
          </w:rPr>
        </w:r>
        <w:r>
          <w:rPr>
            <w:noProof/>
            <w:webHidden/>
          </w:rPr>
          <w:fldChar w:fldCharType="separate"/>
        </w:r>
        <w:r>
          <w:rPr>
            <w:noProof/>
            <w:webHidden/>
          </w:rPr>
          <w:t>48</w:t>
        </w:r>
        <w:r>
          <w:rPr>
            <w:noProof/>
            <w:webHidden/>
          </w:rPr>
          <w:fldChar w:fldCharType="end"/>
        </w:r>
      </w:hyperlink>
    </w:p>
    <w:p w:rsidR="00AE4787" w:rsidRDefault="00AE4787">
      <w:pPr>
        <w:pStyle w:val="TOC1"/>
        <w:tabs>
          <w:tab w:val="right" w:leader="dot" w:pos="9061"/>
        </w:tabs>
        <w:rPr>
          <w:noProof/>
        </w:rPr>
      </w:pPr>
      <w:hyperlink w:anchor="_Toc535585043" w:history="1">
        <w:r w:rsidRPr="004A0D9E">
          <w:rPr>
            <w:rStyle w:val="Hyperlink"/>
            <w:noProof/>
            <w:lang w:val="es-ES"/>
          </w:rPr>
          <w:t>Clasificación de Recursos sobre Conocimientos Tradicionales</w:t>
        </w:r>
        <w:r>
          <w:rPr>
            <w:noProof/>
            <w:webHidden/>
          </w:rPr>
          <w:tab/>
        </w:r>
        <w:r>
          <w:rPr>
            <w:noProof/>
            <w:webHidden/>
          </w:rPr>
          <w:fldChar w:fldCharType="begin"/>
        </w:r>
        <w:r>
          <w:rPr>
            <w:noProof/>
            <w:webHidden/>
          </w:rPr>
          <w:instrText xml:space="preserve"> PAGEREF _Toc535585043 \h </w:instrText>
        </w:r>
        <w:r>
          <w:rPr>
            <w:noProof/>
            <w:webHidden/>
          </w:rPr>
        </w:r>
        <w:r>
          <w:rPr>
            <w:noProof/>
            <w:webHidden/>
          </w:rPr>
          <w:fldChar w:fldCharType="separate"/>
        </w:r>
        <w:r>
          <w:rPr>
            <w:noProof/>
            <w:webHidden/>
          </w:rPr>
          <w:t>48</w:t>
        </w:r>
        <w:r>
          <w:rPr>
            <w:noProof/>
            <w:webHidden/>
          </w:rPr>
          <w:fldChar w:fldCharType="end"/>
        </w:r>
      </w:hyperlink>
    </w:p>
    <w:p w:rsidR="00AE4787" w:rsidRDefault="00AE4787">
      <w:pPr>
        <w:pStyle w:val="TOC1"/>
        <w:tabs>
          <w:tab w:val="right" w:leader="dot" w:pos="9061"/>
        </w:tabs>
        <w:rPr>
          <w:noProof/>
        </w:rPr>
      </w:pPr>
      <w:hyperlink w:anchor="_Toc535585044" w:history="1">
        <w:r w:rsidRPr="004A0D9E">
          <w:rPr>
            <w:rStyle w:val="Hyperlink"/>
            <w:noProof/>
            <w:lang w:val="es-ES"/>
          </w:rPr>
          <w:t>Medicina tradicional</w:t>
        </w:r>
        <w:r>
          <w:rPr>
            <w:noProof/>
            <w:webHidden/>
          </w:rPr>
          <w:tab/>
        </w:r>
        <w:r>
          <w:rPr>
            <w:noProof/>
            <w:webHidden/>
          </w:rPr>
          <w:fldChar w:fldCharType="begin"/>
        </w:r>
        <w:r>
          <w:rPr>
            <w:noProof/>
            <w:webHidden/>
          </w:rPr>
          <w:instrText xml:space="preserve"> PAGEREF _Toc535585044 \h </w:instrText>
        </w:r>
        <w:r>
          <w:rPr>
            <w:noProof/>
            <w:webHidden/>
          </w:rPr>
        </w:r>
        <w:r>
          <w:rPr>
            <w:noProof/>
            <w:webHidden/>
          </w:rPr>
          <w:fldChar w:fldCharType="separate"/>
        </w:r>
        <w:r>
          <w:rPr>
            <w:noProof/>
            <w:webHidden/>
          </w:rPr>
          <w:t>49</w:t>
        </w:r>
        <w:r>
          <w:rPr>
            <w:noProof/>
            <w:webHidden/>
          </w:rPr>
          <w:fldChar w:fldCharType="end"/>
        </w:r>
      </w:hyperlink>
    </w:p>
    <w:p w:rsidR="00AE4787" w:rsidRDefault="00AE4787">
      <w:pPr>
        <w:pStyle w:val="TOC1"/>
        <w:tabs>
          <w:tab w:val="right" w:leader="dot" w:pos="9061"/>
        </w:tabs>
        <w:rPr>
          <w:noProof/>
        </w:rPr>
      </w:pPr>
      <w:hyperlink w:anchor="_Toc535585045" w:history="1">
        <w:r w:rsidRPr="004A0D9E">
          <w:rPr>
            <w:rStyle w:val="Hyperlink"/>
            <w:noProof/>
            <w:lang w:val="es-ES"/>
          </w:rPr>
          <w:t>Innovaciones y creaciones basadas en la tradición</w:t>
        </w:r>
        <w:r>
          <w:rPr>
            <w:noProof/>
            <w:webHidden/>
          </w:rPr>
          <w:tab/>
        </w:r>
        <w:r>
          <w:rPr>
            <w:noProof/>
            <w:webHidden/>
          </w:rPr>
          <w:fldChar w:fldCharType="begin"/>
        </w:r>
        <w:r>
          <w:rPr>
            <w:noProof/>
            <w:webHidden/>
          </w:rPr>
          <w:instrText xml:space="preserve"> PAGEREF _Toc535585045 \h </w:instrText>
        </w:r>
        <w:r>
          <w:rPr>
            <w:noProof/>
            <w:webHidden/>
          </w:rPr>
        </w:r>
        <w:r>
          <w:rPr>
            <w:noProof/>
            <w:webHidden/>
          </w:rPr>
          <w:fldChar w:fldCharType="separate"/>
        </w:r>
        <w:r>
          <w:rPr>
            <w:noProof/>
            <w:webHidden/>
          </w:rPr>
          <w:t>49</w:t>
        </w:r>
        <w:r>
          <w:rPr>
            <w:noProof/>
            <w:webHidden/>
          </w:rPr>
          <w:fldChar w:fldCharType="end"/>
        </w:r>
      </w:hyperlink>
    </w:p>
    <w:p w:rsidR="00AE4787" w:rsidRDefault="00AE4787">
      <w:pPr>
        <w:pStyle w:val="TOC1"/>
        <w:tabs>
          <w:tab w:val="right" w:leader="dot" w:pos="9061"/>
        </w:tabs>
        <w:rPr>
          <w:noProof/>
        </w:rPr>
      </w:pPr>
      <w:hyperlink w:anchor="_Toc535585046" w:history="1">
        <w:r w:rsidRPr="004A0D9E">
          <w:rPr>
            <w:rStyle w:val="Hyperlink"/>
            <w:noProof/>
            <w:lang w:val="es-ES"/>
          </w:rPr>
          <w:t>Convención de la UNESCO sobre las medidas que deben adoptarse para prohibir e impedir la importación, la exportación y la transferencia de propiedad ilícitas de bienes culturales</w:t>
        </w:r>
        <w:r>
          <w:rPr>
            <w:noProof/>
            <w:webHidden/>
          </w:rPr>
          <w:tab/>
        </w:r>
        <w:r>
          <w:rPr>
            <w:noProof/>
            <w:webHidden/>
          </w:rPr>
          <w:fldChar w:fldCharType="begin"/>
        </w:r>
        <w:r>
          <w:rPr>
            <w:noProof/>
            <w:webHidden/>
          </w:rPr>
          <w:instrText xml:space="preserve"> PAGEREF _Toc535585046 \h </w:instrText>
        </w:r>
        <w:r>
          <w:rPr>
            <w:noProof/>
            <w:webHidden/>
          </w:rPr>
        </w:r>
        <w:r>
          <w:rPr>
            <w:noProof/>
            <w:webHidden/>
          </w:rPr>
          <w:fldChar w:fldCharType="separate"/>
        </w:r>
        <w:r>
          <w:rPr>
            <w:noProof/>
            <w:webHidden/>
          </w:rPr>
          <w:t>49</w:t>
        </w:r>
        <w:r>
          <w:rPr>
            <w:noProof/>
            <w:webHidden/>
          </w:rPr>
          <w:fldChar w:fldCharType="end"/>
        </w:r>
      </w:hyperlink>
    </w:p>
    <w:p w:rsidR="00AE4787" w:rsidRDefault="00AE4787">
      <w:pPr>
        <w:pStyle w:val="TOC1"/>
        <w:tabs>
          <w:tab w:val="right" w:leader="dot" w:pos="9061"/>
        </w:tabs>
        <w:rPr>
          <w:noProof/>
        </w:rPr>
      </w:pPr>
      <w:hyperlink w:anchor="_Toc535585047" w:history="1">
        <w:r w:rsidRPr="004A0D9E">
          <w:rPr>
            <w:rStyle w:val="Hyperlink"/>
            <w:noProof/>
            <w:lang w:val="es-ES"/>
          </w:rPr>
          <w:t>Convención de la UNESCO sobre la protección y la promoción de la diversidad de las expresiones culturales</w:t>
        </w:r>
        <w:r>
          <w:rPr>
            <w:noProof/>
            <w:webHidden/>
          </w:rPr>
          <w:tab/>
        </w:r>
        <w:r>
          <w:rPr>
            <w:noProof/>
            <w:webHidden/>
          </w:rPr>
          <w:fldChar w:fldCharType="begin"/>
        </w:r>
        <w:r>
          <w:rPr>
            <w:noProof/>
            <w:webHidden/>
          </w:rPr>
          <w:instrText xml:space="preserve"> PAGEREF _Toc535585047 \h </w:instrText>
        </w:r>
        <w:r>
          <w:rPr>
            <w:noProof/>
            <w:webHidden/>
          </w:rPr>
        </w:r>
        <w:r>
          <w:rPr>
            <w:noProof/>
            <w:webHidden/>
          </w:rPr>
          <w:fldChar w:fldCharType="separate"/>
        </w:r>
        <w:r>
          <w:rPr>
            <w:noProof/>
            <w:webHidden/>
          </w:rPr>
          <w:t>50</w:t>
        </w:r>
        <w:r>
          <w:rPr>
            <w:noProof/>
            <w:webHidden/>
          </w:rPr>
          <w:fldChar w:fldCharType="end"/>
        </w:r>
      </w:hyperlink>
    </w:p>
    <w:p w:rsidR="00AE4787" w:rsidRDefault="00AE4787">
      <w:pPr>
        <w:pStyle w:val="TOC1"/>
        <w:tabs>
          <w:tab w:val="right" w:leader="dot" w:pos="9061"/>
        </w:tabs>
        <w:rPr>
          <w:noProof/>
        </w:rPr>
      </w:pPr>
      <w:hyperlink w:anchor="_Toc535585048" w:history="1">
        <w:r w:rsidRPr="004A0D9E">
          <w:rPr>
            <w:rStyle w:val="Hyperlink"/>
            <w:noProof/>
            <w:lang w:val="es-ES"/>
          </w:rPr>
          <w:t>Convención de la UNESCO para la salvaguardia del patrimonio cultural inmaterial</w:t>
        </w:r>
        <w:r>
          <w:rPr>
            <w:noProof/>
            <w:webHidden/>
          </w:rPr>
          <w:tab/>
        </w:r>
        <w:r>
          <w:rPr>
            <w:noProof/>
            <w:webHidden/>
          </w:rPr>
          <w:fldChar w:fldCharType="begin"/>
        </w:r>
        <w:r>
          <w:rPr>
            <w:noProof/>
            <w:webHidden/>
          </w:rPr>
          <w:instrText xml:space="preserve"> PAGEREF _Toc535585048 \h </w:instrText>
        </w:r>
        <w:r>
          <w:rPr>
            <w:noProof/>
            <w:webHidden/>
          </w:rPr>
        </w:r>
        <w:r>
          <w:rPr>
            <w:noProof/>
            <w:webHidden/>
          </w:rPr>
          <w:fldChar w:fldCharType="separate"/>
        </w:r>
        <w:r>
          <w:rPr>
            <w:noProof/>
            <w:webHidden/>
          </w:rPr>
          <w:t>50</w:t>
        </w:r>
        <w:r>
          <w:rPr>
            <w:noProof/>
            <w:webHidden/>
          </w:rPr>
          <w:fldChar w:fldCharType="end"/>
        </w:r>
      </w:hyperlink>
    </w:p>
    <w:p w:rsidR="00AE4787" w:rsidRDefault="00AE4787">
      <w:pPr>
        <w:pStyle w:val="TOC1"/>
        <w:tabs>
          <w:tab w:val="right" w:leader="dot" w:pos="9061"/>
        </w:tabs>
        <w:rPr>
          <w:noProof/>
        </w:rPr>
      </w:pPr>
      <w:hyperlink w:anchor="_Toc535585049" w:history="1">
        <w:r w:rsidRPr="004A0D9E">
          <w:rPr>
            <w:rStyle w:val="Hyperlink"/>
            <w:noProof/>
            <w:lang w:val="es-ES"/>
          </w:rPr>
          <w:t>Competencia desleal</w:t>
        </w:r>
        <w:r>
          <w:rPr>
            <w:noProof/>
            <w:webHidden/>
          </w:rPr>
          <w:tab/>
        </w:r>
        <w:r>
          <w:rPr>
            <w:noProof/>
            <w:webHidden/>
          </w:rPr>
          <w:fldChar w:fldCharType="begin"/>
        </w:r>
        <w:r>
          <w:rPr>
            <w:noProof/>
            <w:webHidden/>
          </w:rPr>
          <w:instrText xml:space="preserve"> PAGEREF _Toc535585049 \h </w:instrText>
        </w:r>
        <w:r>
          <w:rPr>
            <w:noProof/>
            <w:webHidden/>
          </w:rPr>
        </w:r>
        <w:r>
          <w:rPr>
            <w:noProof/>
            <w:webHidden/>
          </w:rPr>
          <w:fldChar w:fldCharType="separate"/>
        </w:r>
        <w:r>
          <w:rPr>
            <w:noProof/>
            <w:webHidden/>
          </w:rPr>
          <w:t>5</w:t>
        </w:r>
        <w:r>
          <w:rPr>
            <w:noProof/>
            <w:webHidden/>
          </w:rPr>
          <w:t>1</w:t>
        </w:r>
        <w:r>
          <w:rPr>
            <w:noProof/>
            <w:webHidden/>
          </w:rPr>
          <w:fldChar w:fldCharType="end"/>
        </w:r>
      </w:hyperlink>
    </w:p>
    <w:p w:rsidR="00AE4787" w:rsidRDefault="00AE4787">
      <w:pPr>
        <w:pStyle w:val="TOC1"/>
        <w:tabs>
          <w:tab w:val="right" w:leader="dot" w:pos="9061"/>
        </w:tabs>
        <w:rPr>
          <w:noProof/>
        </w:rPr>
      </w:pPr>
      <w:hyperlink w:anchor="_Toc535585050" w:history="1">
        <w:r w:rsidRPr="004A0D9E">
          <w:rPr>
            <w:rStyle w:val="Hyperlink"/>
            <w:noProof/>
            <w:lang w:val="es-ES"/>
          </w:rPr>
          <w:t>Declaración de las Naciones Unidas sobre los Derechos de los Pueblos Indígenas</w:t>
        </w:r>
        <w:r>
          <w:rPr>
            <w:noProof/>
            <w:webHidden/>
          </w:rPr>
          <w:tab/>
        </w:r>
        <w:r>
          <w:rPr>
            <w:noProof/>
            <w:webHidden/>
          </w:rPr>
          <w:fldChar w:fldCharType="begin"/>
        </w:r>
        <w:r>
          <w:rPr>
            <w:noProof/>
            <w:webHidden/>
          </w:rPr>
          <w:instrText xml:space="preserve"> PAGEREF _Toc535585050 \h </w:instrText>
        </w:r>
        <w:r>
          <w:rPr>
            <w:noProof/>
            <w:webHidden/>
          </w:rPr>
        </w:r>
        <w:r>
          <w:rPr>
            <w:noProof/>
            <w:webHidden/>
          </w:rPr>
          <w:fldChar w:fldCharType="separate"/>
        </w:r>
        <w:r>
          <w:rPr>
            <w:noProof/>
            <w:webHidden/>
          </w:rPr>
          <w:t>51</w:t>
        </w:r>
        <w:r>
          <w:rPr>
            <w:noProof/>
            <w:webHidden/>
          </w:rPr>
          <w:fldChar w:fldCharType="end"/>
        </w:r>
      </w:hyperlink>
    </w:p>
    <w:p w:rsidR="00AE4787" w:rsidRDefault="00AE4787">
      <w:pPr>
        <w:pStyle w:val="TOC1"/>
        <w:tabs>
          <w:tab w:val="right" w:leader="dot" w:pos="9061"/>
        </w:tabs>
        <w:rPr>
          <w:noProof/>
        </w:rPr>
      </w:pPr>
      <w:hyperlink w:anchor="_Toc535585051" w:history="1">
        <w:r w:rsidRPr="004A0D9E">
          <w:rPr>
            <w:rStyle w:val="Hyperlink"/>
            <w:noProof/>
            <w:lang w:val="es-ES"/>
          </w:rPr>
          <w:t>Declaración Universal de Derechos Humanos</w:t>
        </w:r>
        <w:r>
          <w:rPr>
            <w:noProof/>
            <w:webHidden/>
          </w:rPr>
          <w:tab/>
        </w:r>
        <w:r>
          <w:rPr>
            <w:noProof/>
            <w:webHidden/>
          </w:rPr>
          <w:fldChar w:fldCharType="begin"/>
        </w:r>
        <w:r>
          <w:rPr>
            <w:noProof/>
            <w:webHidden/>
          </w:rPr>
          <w:instrText xml:space="preserve"> PAGEREF _Toc535585051 \h </w:instrText>
        </w:r>
        <w:r>
          <w:rPr>
            <w:noProof/>
            <w:webHidden/>
          </w:rPr>
        </w:r>
        <w:r>
          <w:rPr>
            <w:noProof/>
            <w:webHidden/>
          </w:rPr>
          <w:fldChar w:fldCharType="separate"/>
        </w:r>
        <w:r>
          <w:rPr>
            <w:noProof/>
            <w:webHidden/>
          </w:rPr>
          <w:t>52</w:t>
        </w:r>
        <w:r>
          <w:rPr>
            <w:noProof/>
            <w:webHidden/>
          </w:rPr>
          <w:fldChar w:fldCharType="end"/>
        </w:r>
      </w:hyperlink>
    </w:p>
    <w:p w:rsidR="00AE4787" w:rsidRDefault="00AE4787">
      <w:pPr>
        <w:pStyle w:val="TOC1"/>
        <w:tabs>
          <w:tab w:val="right" w:leader="dot" w:pos="9061"/>
        </w:tabs>
        <w:rPr>
          <w:noProof/>
        </w:rPr>
      </w:pPr>
      <w:hyperlink w:anchor="_Toc535585052" w:history="1">
        <w:r w:rsidRPr="004A0D9E">
          <w:rPr>
            <w:rStyle w:val="Hyperlink"/>
            <w:noProof/>
            <w:lang w:val="es-ES"/>
          </w:rPr>
          <w:t>Uso de las expresiones culturales tradicionales</w:t>
        </w:r>
        <w:r>
          <w:rPr>
            <w:noProof/>
            <w:webHidden/>
          </w:rPr>
          <w:tab/>
        </w:r>
        <w:r>
          <w:rPr>
            <w:noProof/>
            <w:webHidden/>
          </w:rPr>
          <w:fldChar w:fldCharType="begin"/>
        </w:r>
        <w:r>
          <w:rPr>
            <w:noProof/>
            <w:webHidden/>
          </w:rPr>
          <w:instrText xml:space="preserve"> PAGEREF _Toc535585052 \h </w:instrText>
        </w:r>
        <w:r>
          <w:rPr>
            <w:noProof/>
            <w:webHidden/>
          </w:rPr>
        </w:r>
        <w:r>
          <w:rPr>
            <w:noProof/>
            <w:webHidden/>
          </w:rPr>
          <w:fldChar w:fldCharType="separate"/>
        </w:r>
        <w:r>
          <w:rPr>
            <w:noProof/>
            <w:webHidden/>
          </w:rPr>
          <w:t>52</w:t>
        </w:r>
        <w:r>
          <w:rPr>
            <w:noProof/>
            <w:webHidden/>
          </w:rPr>
          <w:fldChar w:fldCharType="end"/>
        </w:r>
      </w:hyperlink>
    </w:p>
    <w:p w:rsidR="00AE4787" w:rsidRDefault="00AE4787">
      <w:pPr>
        <w:pStyle w:val="TOC1"/>
        <w:tabs>
          <w:tab w:val="right" w:leader="dot" w:pos="9061"/>
        </w:tabs>
        <w:rPr>
          <w:noProof/>
        </w:rPr>
      </w:pPr>
      <w:hyperlink w:anchor="_Toc535585053" w:history="1">
        <w:r w:rsidRPr="004A0D9E">
          <w:rPr>
            <w:rStyle w:val="Hyperlink"/>
            <w:noProof/>
            <w:lang w:val="es-ES"/>
          </w:rPr>
          <w:t>Utilización</w:t>
        </w:r>
        <w:r>
          <w:rPr>
            <w:noProof/>
            <w:webHidden/>
          </w:rPr>
          <w:tab/>
        </w:r>
        <w:r>
          <w:rPr>
            <w:noProof/>
            <w:webHidden/>
          </w:rPr>
          <w:fldChar w:fldCharType="begin"/>
        </w:r>
        <w:r>
          <w:rPr>
            <w:noProof/>
            <w:webHidden/>
          </w:rPr>
          <w:instrText xml:space="preserve"> PAGEREF _Toc535585053 \h </w:instrText>
        </w:r>
        <w:r>
          <w:rPr>
            <w:noProof/>
            <w:webHidden/>
          </w:rPr>
        </w:r>
        <w:r>
          <w:rPr>
            <w:noProof/>
            <w:webHidden/>
          </w:rPr>
          <w:fldChar w:fldCharType="separate"/>
        </w:r>
        <w:r>
          <w:rPr>
            <w:noProof/>
            <w:webHidden/>
          </w:rPr>
          <w:t>53</w:t>
        </w:r>
        <w:r>
          <w:rPr>
            <w:noProof/>
            <w:webHidden/>
          </w:rPr>
          <w:fldChar w:fldCharType="end"/>
        </w:r>
      </w:hyperlink>
    </w:p>
    <w:p w:rsidR="00AE4787" w:rsidRDefault="00AE4787">
      <w:pPr>
        <w:pStyle w:val="TOC1"/>
        <w:tabs>
          <w:tab w:val="right" w:leader="dot" w:pos="9061"/>
        </w:tabs>
        <w:rPr>
          <w:noProof/>
        </w:rPr>
      </w:pPr>
      <w:hyperlink w:anchor="_Toc535585054" w:history="1">
        <w:r w:rsidRPr="004A0D9E">
          <w:rPr>
            <w:rStyle w:val="Hyperlink"/>
            <w:noProof/>
            <w:lang w:val="es-ES"/>
          </w:rPr>
          <w:t>Guía de la OMPI para la catalogación de conocimientos tradicionales (Guía de catalogación de los conocimientos tradicionales)</w:t>
        </w:r>
        <w:r>
          <w:rPr>
            <w:noProof/>
            <w:webHidden/>
          </w:rPr>
          <w:tab/>
        </w:r>
        <w:r>
          <w:rPr>
            <w:noProof/>
            <w:webHidden/>
          </w:rPr>
          <w:fldChar w:fldCharType="begin"/>
        </w:r>
        <w:r>
          <w:rPr>
            <w:noProof/>
            <w:webHidden/>
          </w:rPr>
          <w:instrText xml:space="preserve"> PAGEREF _Toc535585054 \h </w:instrText>
        </w:r>
        <w:r>
          <w:rPr>
            <w:noProof/>
            <w:webHidden/>
          </w:rPr>
        </w:r>
        <w:r>
          <w:rPr>
            <w:noProof/>
            <w:webHidden/>
          </w:rPr>
          <w:fldChar w:fldCharType="separate"/>
        </w:r>
        <w:r>
          <w:rPr>
            <w:noProof/>
            <w:webHidden/>
          </w:rPr>
          <w:t>53</w:t>
        </w:r>
        <w:r>
          <w:rPr>
            <w:noProof/>
            <w:webHidden/>
          </w:rPr>
          <w:fldChar w:fldCharType="end"/>
        </w:r>
      </w:hyperlink>
    </w:p>
    <w:p w:rsidR="00AE4787" w:rsidRDefault="00AE4787">
      <w:pPr>
        <w:pStyle w:val="TOC1"/>
        <w:tabs>
          <w:tab w:val="right" w:leader="dot" w:pos="9061"/>
        </w:tabs>
        <w:rPr>
          <w:noProof/>
        </w:rPr>
      </w:pPr>
      <w:hyperlink w:anchor="_Toc535585055" w:history="1">
        <w:r w:rsidRPr="004A0D9E">
          <w:rPr>
            <w:rStyle w:val="Hyperlink"/>
            <w:noProof/>
            <w:lang w:val="es-ES"/>
          </w:rPr>
          <w:t>Disposiciones Tipo OMPI-UNESCO para leyes nacionales sobre la protección de las expresiones del folclore contra la explotación ilícita y otras acciones lesivas</w:t>
        </w:r>
        <w:r>
          <w:rPr>
            <w:noProof/>
            <w:webHidden/>
          </w:rPr>
          <w:tab/>
        </w:r>
        <w:r>
          <w:rPr>
            <w:noProof/>
            <w:webHidden/>
          </w:rPr>
          <w:fldChar w:fldCharType="begin"/>
        </w:r>
        <w:r>
          <w:rPr>
            <w:noProof/>
            <w:webHidden/>
          </w:rPr>
          <w:instrText xml:space="preserve"> PAGEREF _Toc535585055 \h </w:instrText>
        </w:r>
        <w:r>
          <w:rPr>
            <w:noProof/>
            <w:webHidden/>
          </w:rPr>
        </w:r>
        <w:r>
          <w:rPr>
            <w:noProof/>
            <w:webHidden/>
          </w:rPr>
          <w:fldChar w:fldCharType="separate"/>
        </w:r>
        <w:r>
          <w:rPr>
            <w:noProof/>
            <w:webHidden/>
          </w:rPr>
          <w:t>54</w:t>
        </w:r>
        <w:r>
          <w:rPr>
            <w:noProof/>
            <w:webHidden/>
          </w:rPr>
          <w:fldChar w:fldCharType="end"/>
        </w:r>
      </w:hyperlink>
    </w:p>
    <w:p w:rsidR="00BF2A2C" w:rsidRDefault="00AE4787">
      <w:pPr>
        <w:rPr>
          <w:szCs w:val="22"/>
          <w:lang w:val="es-ES"/>
        </w:rPr>
      </w:pPr>
      <w:r>
        <w:rPr>
          <w:szCs w:val="22"/>
          <w:lang w:val="es-ES"/>
        </w:rPr>
        <w:fldChar w:fldCharType="end"/>
      </w:r>
    </w:p>
    <w:p w:rsidR="00BF2A2C" w:rsidRDefault="00BF2A2C">
      <w:pPr>
        <w:rPr>
          <w:szCs w:val="22"/>
          <w:lang w:val="es-ES"/>
        </w:rPr>
      </w:pPr>
      <w:r>
        <w:rPr>
          <w:szCs w:val="22"/>
          <w:lang w:val="es-ES"/>
        </w:rPr>
        <w:br w:type="page"/>
      </w:r>
    </w:p>
    <w:p w:rsidR="00BF2A2C" w:rsidRPr="000D5434" w:rsidRDefault="00BF2A2C" w:rsidP="00103D66">
      <w:pPr>
        <w:pStyle w:val="ONUMFS"/>
        <w:numPr>
          <w:ilvl w:val="0"/>
          <w:numId w:val="0"/>
        </w:numPr>
        <w:rPr>
          <w:szCs w:val="22"/>
          <w:lang w:val="es-ES"/>
        </w:rPr>
      </w:pPr>
    </w:p>
    <w:p w:rsidR="00C0409B" w:rsidRPr="000D5434" w:rsidRDefault="00C0409B" w:rsidP="00A758A0">
      <w:pPr>
        <w:pStyle w:val="Heading1"/>
        <w:rPr>
          <w:b w:val="0"/>
          <w:bCs w:val="0"/>
          <w:szCs w:val="22"/>
          <w:lang w:val="es-ES"/>
        </w:rPr>
      </w:pPr>
      <w:bookmarkStart w:id="5" w:name="_Toc535584944"/>
      <w:r w:rsidRPr="000D5434">
        <w:rPr>
          <w:szCs w:val="22"/>
          <w:lang w:val="es-ES"/>
        </w:rPr>
        <w:t>Acceso y participación en los beneficios</w:t>
      </w:r>
      <w:r w:rsidRPr="000D5434">
        <w:rPr>
          <w:rStyle w:val="FootnoteReference"/>
          <w:szCs w:val="22"/>
          <w:lang w:val="es-ES"/>
        </w:rPr>
        <w:footnoteReference w:customMarkFollows="1" w:id="4"/>
        <w:t>*</w:t>
      </w:r>
      <w:bookmarkEnd w:id="5"/>
    </w:p>
    <w:p w:rsidR="00C0409B" w:rsidRPr="000D5434" w:rsidRDefault="00C0409B" w:rsidP="00103D66">
      <w:pPr>
        <w:pStyle w:val="ONUMFS"/>
        <w:numPr>
          <w:ilvl w:val="0"/>
          <w:numId w:val="0"/>
        </w:numPr>
        <w:rPr>
          <w:szCs w:val="22"/>
          <w:lang w:val="es-ES"/>
        </w:rPr>
      </w:pPr>
      <w:r w:rsidRPr="000D5434">
        <w:rPr>
          <w:szCs w:val="22"/>
          <w:lang w:val="es-ES"/>
        </w:rPr>
        <w:t xml:space="preserve">El </w:t>
      </w:r>
      <w:r w:rsidR="00037FA4" w:rsidRPr="000D5434">
        <w:rPr>
          <w:szCs w:val="22"/>
          <w:lang w:val="es-ES"/>
        </w:rPr>
        <w:t xml:space="preserve">Artículo 1 del </w:t>
      </w:r>
      <w:r w:rsidRPr="000D5434">
        <w:rPr>
          <w:i/>
          <w:szCs w:val="22"/>
          <w:lang w:val="es-ES"/>
        </w:rPr>
        <w:t>Convenio sobre la Diversidad Biológica</w:t>
      </w:r>
      <w:r w:rsidRPr="000D5434">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C0409B" w:rsidRPr="000D5434" w:rsidRDefault="00C0409B" w:rsidP="00103D66">
      <w:pPr>
        <w:pStyle w:val="ONUMFS"/>
        <w:numPr>
          <w:ilvl w:val="0"/>
          <w:numId w:val="0"/>
        </w:numPr>
        <w:rPr>
          <w:szCs w:val="22"/>
          <w:lang w:val="es-ES"/>
        </w:rPr>
      </w:pPr>
      <w:r w:rsidRPr="000D5434">
        <w:rPr>
          <w:szCs w:val="22"/>
          <w:lang w:val="es-ES"/>
        </w:rPr>
        <w:t xml:space="preserve">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w:t>
      </w:r>
      <w:r w:rsidR="00B834A4" w:rsidRPr="000D5434">
        <w:rPr>
          <w:szCs w:val="22"/>
          <w:lang w:val="es-ES"/>
        </w:rPr>
        <w:t xml:space="preserve"> </w:t>
      </w:r>
      <w:r w:rsidRPr="000D5434">
        <w:rPr>
          <w:szCs w:val="22"/>
          <w:lang w:val="es-ES"/>
        </w:rPr>
        <w:t>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0D5434" w:rsidRDefault="00C0409B" w:rsidP="00103D66">
      <w:pPr>
        <w:pStyle w:val="ONUMFS"/>
        <w:numPr>
          <w:ilvl w:val="0"/>
          <w:numId w:val="0"/>
        </w:numPr>
        <w:rPr>
          <w:szCs w:val="22"/>
          <w:lang w:val="es-ES"/>
        </w:rPr>
      </w:pPr>
      <w:r w:rsidRPr="000D5434">
        <w:rPr>
          <w:szCs w:val="22"/>
          <w:lang w:val="es-ES"/>
        </w:rPr>
        <w:t xml:space="preserve">En lo que respecta a los recursos fitogenéticos para la alimentación y la agricultura, el </w:t>
      </w:r>
      <w:r w:rsidRPr="000D5434">
        <w:rPr>
          <w:i/>
          <w:szCs w:val="22"/>
          <w:lang w:val="es-ES"/>
        </w:rPr>
        <w:t>Tratado Internacional sobre los Recursos Fitogenéticos para la Alimentación y la Agricultura</w:t>
      </w:r>
      <w:r w:rsidRPr="000D5434">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0D5434" w:rsidRDefault="00C0409B" w:rsidP="00103D66">
      <w:pPr>
        <w:pStyle w:val="ONUMFS"/>
        <w:numPr>
          <w:ilvl w:val="0"/>
          <w:numId w:val="0"/>
        </w:numPr>
        <w:rPr>
          <w:szCs w:val="22"/>
          <w:lang w:val="es-ES"/>
        </w:rPr>
      </w:pPr>
      <w:r w:rsidRPr="000D5434">
        <w:rPr>
          <w:szCs w:val="22"/>
          <w:lang w:val="es-ES"/>
        </w:rPr>
        <w:t xml:space="preserve">Los beneficios pueden ser monetarios y no monetarios, incluidos pero sin limitarse a aquellos indicados en el Anexo al </w:t>
      </w:r>
      <w:r w:rsidRPr="000D5434">
        <w:rPr>
          <w:i/>
          <w:szCs w:val="22"/>
          <w:lang w:val="es-ES"/>
        </w:rPr>
        <w:t>Protocolo de Nagoya</w:t>
      </w:r>
      <w:r w:rsidRPr="000D5434">
        <w:rPr>
          <w:szCs w:val="22"/>
          <w:lang w:val="es-ES"/>
        </w:rPr>
        <w:t>.</w:t>
      </w:r>
      <w:r w:rsidRPr="000D5434">
        <w:rPr>
          <w:rStyle w:val="FootnoteReference"/>
          <w:szCs w:val="22"/>
          <w:lang w:val="es-ES"/>
        </w:rPr>
        <w:footnoteReference w:id="5"/>
      </w:r>
      <w:r w:rsidR="00B834A4" w:rsidRPr="000D5434">
        <w:rPr>
          <w:szCs w:val="22"/>
          <w:lang w:val="es-ES"/>
        </w:rPr>
        <w:t xml:space="preserve"> </w:t>
      </w:r>
      <w:r w:rsidRPr="000D5434">
        <w:rPr>
          <w:szCs w:val="22"/>
          <w:lang w:val="es-ES"/>
        </w:rPr>
        <w:t>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0D5434">
        <w:rPr>
          <w:rStyle w:val="FootnoteReference"/>
          <w:szCs w:val="22"/>
          <w:lang w:val="es-ES"/>
        </w:rPr>
        <w:footnoteReference w:id="6"/>
      </w:r>
    </w:p>
    <w:p w:rsidR="00C0409B" w:rsidRPr="000D5434" w:rsidRDefault="00C0409B" w:rsidP="00A758A0">
      <w:pPr>
        <w:pStyle w:val="Heading1"/>
        <w:rPr>
          <w:b w:val="0"/>
          <w:bCs w:val="0"/>
          <w:szCs w:val="22"/>
          <w:lang w:val="es-ES"/>
        </w:rPr>
      </w:pPr>
      <w:bookmarkStart w:id="6" w:name="_Toc535584945"/>
      <w:r w:rsidRPr="000D5434">
        <w:rPr>
          <w:szCs w:val="22"/>
          <w:lang w:val="es-ES"/>
        </w:rPr>
        <w:t>Adaptación</w:t>
      </w:r>
      <w:bookmarkEnd w:id="6"/>
    </w:p>
    <w:p w:rsidR="00C0409B" w:rsidRPr="000D5434" w:rsidRDefault="00C0409B" w:rsidP="00103D66">
      <w:pPr>
        <w:pStyle w:val="ONUMFS"/>
        <w:numPr>
          <w:ilvl w:val="0"/>
          <w:numId w:val="0"/>
        </w:numPr>
        <w:rPr>
          <w:szCs w:val="22"/>
          <w:lang w:val="es-ES"/>
        </w:rPr>
      </w:pPr>
      <w:bookmarkStart w:id="7" w:name="_Ref289433821"/>
      <w:bookmarkEnd w:id="7"/>
      <w:r w:rsidRPr="000D5434">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w:t>
      </w:r>
      <w:r w:rsidRPr="000D5434">
        <w:rPr>
          <w:szCs w:val="22"/>
          <w:lang w:val="es-ES"/>
        </w:rPr>
        <w:lastRenderedPageBreak/>
        <w:t>fusionados.</w:t>
      </w:r>
      <w:r w:rsidRPr="000D5434">
        <w:rPr>
          <w:rStyle w:val="FootnoteReference"/>
          <w:szCs w:val="22"/>
          <w:lang w:val="es-ES"/>
        </w:rPr>
        <w:footnoteReference w:id="7"/>
      </w:r>
      <w:r w:rsidR="00B834A4" w:rsidRPr="000D5434">
        <w:rPr>
          <w:szCs w:val="22"/>
          <w:lang w:val="es-ES"/>
        </w:rPr>
        <w:t xml:space="preserve"> </w:t>
      </w:r>
      <w:r w:rsidRPr="000D5434">
        <w:rPr>
          <w:szCs w:val="22"/>
          <w:lang w:val="es-ES"/>
        </w:rPr>
        <w:t xml:space="preserve">En el artículo 12 del </w:t>
      </w:r>
      <w:r w:rsidRPr="000D5434">
        <w:rPr>
          <w:i/>
          <w:szCs w:val="22"/>
          <w:lang w:val="es-ES"/>
        </w:rPr>
        <w:t>Convenio de Berna para la Protección de las Obras Literarias y Artísticas</w:t>
      </w:r>
      <w:r w:rsidRPr="000D5434">
        <w:rPr>
          <w:szCs w:val="22"/>
          <w:lang w:val="es-ES"/>
        </w:rPr>
        <w:t xml:space="preserve"> (1971) se establece que los autores de obras literarias o artísticas gozarán del derecho exclusivo de autorizar las adaptaciones, arreglos y otras transformaciones de sus obras.</w:t>
      </w:r>
      <w:r w:rsidR="00B834A4" w:rsidRPr="000D5434">
        <w:rPr>
          <w:szCs w:val="22"/>
          <w:lang w:val="es-ES"/>
        </w:rPr>
        <w:t xml:space="preserve"> </w:t>
      </w: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y también el </w:t>
      </w:r>
      <w:r w:rsidRPr="000D5434">
        <w:rPr>
          <w:iCs/>
          <w:szCs w:val="22"/>
          <w:lang w:val="es-ES"/>
        </w:rPr>
        <w:t xml:space="preserve">Black’s Law Dictionary, </w:t>
      </w:r>
      <w:r w:rsidRPr="000D5434">
        <w:rPr>
          <w:szCs w:val="22"/>
          <w:lang w:val="es-ES"/>
        </w:rPr>
        <w:t>los titulares de las obras protegidas gozan del derecho exclusivo de realizar obras derivadas o adaptaciones de dichas obras.</w:t>
      </w:r>
      <w:r w:rsidRPr="000D5434">
        <w:rPr>
          <w:rStyle w:val="FootnoteReference"/>
          <w:iCs/>
          <w:szCs w:val="22"/>
          <w:lang w:val="es-ES"/>
        </w:rPr>
        <w:footnoteReference w:id="8"/>
      </w:r>
    </w:p>
    <w:p w:rsidR="006F56A7" w:rsidRPr="000D5434" w:rsidRDefault="006F56A7" w:rsidP="00A758A0">
      <w:pPr>
        <w:pStyle w:val="Heading1"/>
        <w:rPr>
          <w:b w:val="0"/>
          <w:szCs w:val="22"/>
          <w:lang w:val="es-ES"/>
        </w:rPr>
      </w:pPr>
      <w:bookmarkStart w:id="8" w:name="_Toc535584946"/>
      <w:r w:rsidRPr="000D5434">
        <w:rPr>
          <w:szCs w:val="22"/>
          <w:lang w:val="es-ES"/>
        </w:rPr>
        <w:t>Solución extrajudicial de controversias</w:t>
      </w:r>
      <w:bookmarkEnd w:id="8"/>
    </w:p>
    <w:p w:rsidR="006F56A7" w:rsidRPr="000D5434" w:rsidRDefault="006F56A7" w:rsidP="00103D66">
      <w:pPr>
        <w:autoSpaceDE w:val="0"/>
        <w:autoSpaceDN w:val="0"/>
        <w:adjustRightInd w:val="0"/>
        <w:spacing w:after="220"/>
        <w:rPr>
          <w:szCs w:val="22"/>
          <w:lang w:val="es-ES"/>
        </w:rPr>
      </w:pPr>
      <w:r w:rsidRPr="000D5434">
        <w:rPr>
          <w:szCs w:val="22"/>
          <w:lang w:val="es-ES"/>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00B834A4" w:rsidRPr="000D5434">
        <w:rPr>
          <w:szCs w:val="22"/>
          <w:lang w:val="es-ES"/>
        </w:rPr>
        <w:t xml:space="preserve"> </w:t>
      </w:r>
      <w:r w:rsidRPr="000D5434">
        <w:rPr>
          <w:szCs w:val="22"/>
          <w:lang w:val="es-ES"/>
        </w:rPr>
        <w:t>La solución extrajudicial de controversias tiene por fin solventar las controversias sin recurrir a mecanismos contenciosos con el fin de obtener resultados que beneficien a todas las partes.</w:t>
      </w:r>
      <w:r w:rsidR="00B834A4" w:rsidRPr="000D5434">
        <w:rPr>
          <w:szCs w:val="22"/>
          <w:lang w:val="es-ES"/>
        </w:rPr>
        <w:t xml:space="preserve"> </w:t>
      </w:r>
      <w:r w:rsidRPr="000D5434">
        <w:rPr>
          <w:szCs w:val="22"/>
          <w:lang w:val="es-ES"/>
        </w:rPr>
        <w:t>Gracias a la solución extrajudicial de controversias, las partes mismas asumen la responsabilidad de solventar el conflicto y en ese sentido pueden tener en cuenta otras cuestiones, al margen de las normas jurídicas.</w:t>
      </w:r>
      <w:r w:rsidR="00B834A4" w:rsidRPr="000D5434">
        <w:rPr>
          <w:szCs w:val="22"/>
          <w:lang w:val="es-ES"/>
        </w:rPr>
        <w:t xml:space="preserve"> </w:t>
      </w:r>
      <w:r w:rsidRPr="000D5434">
        <w:rPr>
          <w:szCs w:val="22"/>
          <w:lang w:val="es-ES"/>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00B834A4" w:rsidRPr="000D5434">
        <w:rPr>
          <w:szCs w:val="22"/>
          <w:lang w:val="es-ES"/>
        </w:rPr>
        <w:t xml:space="preserve"> </w:t>
      </w:r>
      <w:r w:rsidRPr="000D5434">
        <w:rPr>
          <w:szCs w:val="22"/>
          <w:lang w:val="es-ES"/>
        </w:rPr>
        <w:t>Los cuatro métodos esenciales de la solución extrajudicial de controversias son la negociación, la mediación, el arbitraje y el derecho colaborativo.</w:t>
      </w:r>
      <w:r w:rsidR="00B834A4" w:rsidRPr="000D5434">
        <w:rPr>
          <w:szCs w:val="22"/>
          <w:lang w:val="es-ES"/>
        </w:rPr>
        <w:t xml:space="preserve"> </w:t>
      </w:r>
      <w:r w:rsidRPr="000D5434">
        <w:rPr>
          <w:szCs w:val="22"/>
          <w:lang w:val="es-ES"/>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w:t>
      </w:r>
      <w:r w:rsidR="00B834A4" w:rsidRPr="000D5434">
        <w:rPr>
          <w:szCs w:val="22"/>
          <w:lang w:val="es-ES"/>
        </w:rPr>
        <w:t xml:space="preserve"> </w:t>
      </w:r>
      <w:r w:rsidRPr="000D5434">
        <w:rPr>
          <w:szCs w:val="22"/>
          <w:lang w:val="es-ES"/>
        </w:rPr>
        <w:t>La solución extrajudicial de controversias es un elemento importante de la serie de opciones disponibles para los pueblos indígenas y los usuarios a la hora de solucionar las controversias.</w:t>
      </w:r>
      <w:r w:rsidRPr="000D5434">
        <w:rPr>
          <w:rStyle w:val="FootnoteReference"/>
          <w:szCs w:val="22"/>
          <w:lang w:val="es-ES"/>
        </w:rPr>
        <w:footnoteReference w:id="9"/>
      </w:r>
    </w:p>
    <w:p w:rsidR="00C0409B" w:rsidRPr="000D5434" w:rsidRDefault="00C0409B" w:rsidP="00A758A0">
      <w:pPr>
        <w:pStyle w:val="Heading1"/>
        <w:rPr>
          <w:b w:val="0"/>
          <w:szCs w:val="22"/>
          <w:lang w:val="es-ES"/>
        </w:rPr>
      </w:pPr>
      <w:bookmarkStart w:id="9" w:name="_Toc535584947"/>
      <w:r w:rsidRPr="000D5434">
        <w:rPr>
          <w:szCs w:val="22"/>
          <w:lang w:val="es-ES"/>
        </w:rPr>
        <w:t>Aprobación y participación</w:t>
      </w:r>
      <w:bookmarkEnd w:id="9"/>
    </w:p>
    <w:p w:rsidR="00C0409B" w:rsidRPr="000D5434" w:rsidRDefault="00C0409B" w:rsidP="00103D66">
      <w:pPr>
        <w:pStyle w:val="ONUMFS"/>
        <w:numPr>
          <w:ilvl w:val="0"/>
          <w:numId w:val="0"/>
        </w:numPr>
        <w:rPr>
          <w:szCs w:val="22"/>
          <w:lang w:val="es-ES"/>
        </w:rPr>
      </w:pPr>
      <w:r w:rsidRPr="000D5434">
        <w:rPr>
          <w:szCs w:val="22"/>
          <w:lang w:val="es-ES"/>
        </w:rPr>
        <w:t>No existe una definición estandarizada de esta expresión.</w:t>
      </w:r>
      <w:r w:rsidR="00B834A4" w:rsidRPr="000D5434">
        <w:rPr>
          <w:szCs w:val="22"/>
          <w:lang w:val="es-ES"/>
        </w:rPr>
        <w:t xml:space="preserve"> </w:t>
      </w:r>
      <w:r w:rsidRPr="000D5434">
        <w:rPr>
          <w:szCs w:val="22"/>
          <w:lang w:val="es-ES"/>
        </w:rPr>
        <w:t xml:space="preserve">En un determinado contexto se ha sostenido que, si bien en el artículo 8.j) del </w:t>
      </w:r>
      <w:r w:rsidRPr="000D5434">
        <w:rPr>
          <w:i/>
          <w:szCs w:val="22"/>
          <w:lang w:val="es-ES"/>
        </w:rPr>
        <w:t>Convenio sobre la Diversidad Biológica</w:t>
      </w:r>
      <w:r w:rsidRPr="000D5434">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0D5434">
        <w:rPr>
          <w:rStyle w:val="FootnoteReference"/>
          <w:szCs w:val="22"/>
          <w:lang w:val="es-ES"/>
        </w:rPr>
        <w:footnoteReference w:id="10"/>
      </w:r>
    </w:p>
    <w:p w:rsidR="00C0409B" w:rsidRPr="000D5434" w:rsidRDefault="00C0409B" w:rsidP="00A758A0">
      <w:pPr>
        <w:pStyle w:val="Heading1"/>
        <w:rPr>
          <w:b w:val="0"/>
          <w:szCs w:val="22"/>
          <w:lang w:val="es-ES"/>
        </w:rPr>
      </w:pPr>
      <w:bookmarkStart w:id="10" w:name="_Toc535584948"/>
      <w:r w:rsidRPr="000D5434">
        <w:rPr>
          <w:szCs w:val="22"/>
          <w:lang w:val="es-ES"/>
        </w:rPr>
        <w:t>Beneficiarios</w:t>
      </w:r>
      <w:bookmarkEnd w:id="10"/>
    </w:p>
    <w:p w:rsidR="00C0409B" w:rsidRPr="000D5434" w:rsidRDefault="00C0409B" w:rsidP="00103D66">
      <w:pPr>
        <w:pStyle w:val="ONUMFS"/>
        <w:numPr>
          <w:ilvl w:val="0"/>
          <w:numId w:val="0"/>
        </w:numPr>
        <w:rPr>
          <w:szCs w:val="22"/>
          <w:lang w:val="es-ES"/>
        </w:rPr>
      </w:pPr>
      <w:r w:rsidRPr="000D5434">
        <w:rPr>
          <w:szCs w:val="22"/>
          <w:lang w:val="es-ES"/>
        </w:rPr>
        <w:t>No existe una definición estandarizada de esta expresión.</w:t>
      </w:r>
      <w:r w:rsidR="00B834A4" w:rsidRPr="000D5434">
        <w:rPr>
          <w:szCs w:val="22"/>
          <w:lang w:val="es-ES"/>
        </w:rPr>
        <w:t xml:space="preserve"> </w:t>
      </w:r>
      <w:r w:rsidRPr="000D5434">
        <w:rPr>
          <w:szCs w:val="22"/>
          <w:lang w:val="es-ES"/>
        </w:rPr>
        <w:t xml:space="preserve">No obstante, varias partes interesadas han puesto de relieve que, por lo general, se considera que los conocimientos tradicionales se originan en la colectividad y </w:t>
      </w:r>
      <w:r w:rsidR="00D4348B">
        <w:rPr>
          <w:szCs w:val="22"/>
          <w:lang w:val="es-ES"/>
        </w:rPr>
        <w:t>esta</w:t>
      </w:r>
      <w:r w:rsidRPr="000D5434">
        <w:rPr>
          <w:szCs w:val="22"/>
          <w:lang w:val="es-ES"/>
        </w:rPr>
        <w:t xml:space="preserve"> es quien los posee, por lo que los derechos e intereses sobre los mismos corresponden a comunidades y no a individuos.</w:t>
      </w:r>
      <w:r w:rsidR="00B834A4" w:rsidRPr="000D5434">
        <w:rPr>
          <w:szCs w:val="22"/>
          <w:lang w:val="es-ES"/>
        </w:rPr>
        <w:t xml:space="preserve"> </w:t>
      </w:r>
      <w:r w:rsidRPr="000D5434">
        <w:rPr>
          <w:szCs w:val="22"/>
          <w:lang w:val="es-ES"/>
        </w:rPr>
        <w:t>Con todo, en determinados casos, individuos como los curanderos tradicionales pueden ser considerados poseedores de conocimientos tradicionales y beneficiarios de la protección que se confiera.</w:t>
      </w:r>
      <w:r w:rsidRPr="000D5434">
        <w:rPr>
          <w:rStyle w:val="FootnoteReference"/>
          <w:szCs w:val="22"/>
          <w:lang w:val="es-ES"/>
        </w:rPr>
        <w:footnoteReference w:id="11"/>
      </w:r>
    </w:p>
    <w:p w:rsidR="00C0409B" w:rsidRPr="000D5434" w:rsidRDefault="00C0409B" w:rsidP="00103D66">
      <w:pPr>
        <w:pStyle w:val="ONUMFS"/>
        <w:numPr>
          <w:ilvl w:val="0"/>
          <w:numId w:val="0"/>
        </w:numPr>
        <w:rPr>
          <w:szCs w:val="22"/>
          <w:lang w:val="es-ES"/>
        </w:rPr>
      </w:pPr>
      <w:r w:rsidRPr="000D5434">
        <w:rPr>
          <w:szCs w:val="22"/>
          <w:lang w:val="es-ES"/>
        </w:rPr>
        <w:lastRenderedPageBreak/>
        <w:t>Algunas leyes nacionales y regionales de protección de los conocimientos tradicionales otorgan derechos directamente a las comunidades y los pueblos concernidos.</w:t>
      </w:r>
      <w:r w:rsidR="00B834A4" w:rsidRPr="000D5434">
        <w:rPr>
          <w:szCs w:val="22"/>
          <w:lang w:val="es-ES"/>
        </w:rPr>
        <w:t xml:space="preserve"> </w:t>
      </w:r>
      <w:r w:rsidRPr="000D5434">
        <w:rPr>
          <w:szCs w:val="22"/>
          <w:lang w:val="es-ES"/>
        </w:rPr>
        <w:t>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0D5434" w:rsidRDefault="00C0409B" w:rsidP="00103D66">
      <w:pPr>
        <w:pStyle w:val="ONUMFS"/>
        <w:numPr>
          <w:ilvl w:val="0"/>
          <w:numId w:val="0"/>
        </w:numPr>
        <w:rPr>
          <w:szCs w:val="22"/>
          <w:lang w:val="es-ES"/>
        </w:rPr>
      </w:pPr>
      <w:r w:rsidRPr="000D5434">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Pr="000D5434" w:rsidRDefault="00C0409B" w:rsidP="00A758A0">
      <w:pPr>
        <w:pStyle w:val="Heading1"/>
        <w:rPr>
          <w:b w:val="0"/>
          <w:szCs w:val="22"/>
          <w:lang w:val="es-ES"/>
        </w:rPr>
      </w:pPr>
      <w:bookmarkStart w:id="11" w:name="_Toc535584949"/>
      <w:r w:rsidRPr="000D5434">
        <w:rPr>
          <w:snapToGrid w:val="0"/>
          <w:szCs w:val="22"/>
          <w:lang w:val="es-ES"/>
        </w:rPr>
        <w:t>Diversidad biológica</w:t>
      </w:r>
      <w:bookmarkEnd w:id="11"/>
    </w:p>
    <w:p w:rsidR="00C0409B" w:rsidRPr="000D5434" w:rsidRDefault="00C0409B" w:rsidP="00E1039C">
      <w:pPr>
        <w:pStyle w:val="ONUMFS"/>
        <w:numPr>
          <w:ilvl w:val="0"/>
          <w:numId w:val="0"/>
        </w:numPr>
        <w:rPr>
          <w:b/>
          <w:szCs w:val="22"/>
          <w:lang w:val="es-ES"/>
        </w:rPr>
      </w:pPr>
      <w:r w:rsidRPr="000D5434">
        <w:rPr>
          <w:szCs w:val="22"/>
          <w:lang w:val="es-ES"/>
        </w:rPr>
        <w:t xml:space="preserve">En el </w:t>
      </w:r>
      <w:r w:rsidRPr="000D5434">
        <w:rPr>
          <w:snapToGrid w:val="0"/>
          <w:szCs w:val="22"/>
          <w:lang w:val="es-ES"/>
        </w:rPr>
        <w:t xml:space="preserve">artículo 2 del </w:t>
      </w:r>
      <w:r w:rsidRPr="000D5434">
        <w:rPr>
          <w:i/>
          <w:snapToGrid w:val="0"/>
          <w:szCs w:val="22"/>
          <w:lang w:val="es-ES"/>
        </w:rPr>
        <w:t>Convenio sobre la Diversidad Biológica</w:t>
      </w:r>
      <w:r w:rsidRPr="000D5434">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w:t>
      </w:r>
      <w:r w:rsidR="00B834A4" w:rsidRPr="000D5434">
        <w:rPr>
          <w:snapToGrid w:val="0"/>
          <w:szCs w:val="22"/>
          <w:lang w:val="es-ES"/>
        </w:rPr>
        <w:t xml:space="preserve"> </w:t>
      </w:r>
      <w:r w:rsidRPr="000D5434">
        <w:rPr>
          <w:snapToGrid w:val="0"/>
          <w:szCs w:val="22"/>
          <w:lang w:val="es-ES"/>
        </w:rPr>
        <w:t>comprende la diversidad dentro de cada especie, entre las especies y de los ecosistemas”.</w:t>
      </w:r>
    </w:p>
    <w:p w:rsidR="00C0409B" w:rsidRPr="000D5434" w:rsidRDefault="00C0409B" w:rsidP="00A758A0">
      <w:pPr>
        <w:pStyle w:val="Heading1"/>
        <w:rPr>
          <w:b w:val="0"/>
          <w:szCs w:val="22"/>
          <w:lang w:val="es-ES"/>
        </w:rPr>
      </w:pPr>
      <w:bookmarkStart w:id="12" w:name="_Toc535584950"/>
      <w:r w:rsidRPr="000D5434">
        <w:rPr>
          <w:szCs w:val="22"/>
          <w:lang w:val="es-ES"/>
        </w:rPr>
        <w:t>Recursos biológicos</w:t>
      </w:r>
      <w:bookmarkEnd w:id="12"/>
    </w:p>
    <w:p w:rsidR="00C0409B" w:rsidRPr="000D5434" w:rsidRDefault="00C0409B" w:rsidP="00103D66">
      <w:pPr>
        <w:pStyle w:val="ONUMFS"/>
        <w:numPr>
          <w:ilvl w:val="0"/>
          <w:numId w:val="0"/>
        </w:numPr>
        <w:rPr>
          <w:szCs w:val="22"/>
          <w:lang w:val="es-ES"/>
        </w:rPr>
      </w:pPr>
      <w:r w:rsidRPr="000D5434">
        <w:rPr>
          <w:szCs w:val="22"/>
          <w:lang w:val="es-ES"/>
        </w:rPr>
        <w:t xml:space="preserve">Según la definición del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“por recursos biológicos se entiende los recursos genéticos, los organismos o parte de ellos, las poblaciones, o cualquier otro tipo del componente biótico de los ecosistemas de valor o utilidad real o potencial para las humanidad”.</w:t>
      </w:r>
      <w:r w:rsidR="00B834A4" w:rsidRPr="000D5434">
        <w:rPr>
          <w:szCs w:val="22"/>
          <w:lang w:val="es-ES"/>
        </w:rPr>
        <w:t xml:space="preserve"> </w:t>
      </w:r>
      <w:r w:rsidRPr="000D5434">
        <w:rPr>
          <w:szCs w:val="22"/>
          <w:lang w:val="es-ES"/>
        </w:rPr>
        <w:t>Así, los recursos genéticos constituyen una categoría de los recursos biológicos.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el término se define como “individuos, organismos o partes de </w:t>
      </w:r>
      <w:r w:rsidR="00D4348B">
        <w:rPr>
          <w:szCs w:val="22"/>
          <w:lang w:val="es-ES"/>
        </w:rPr>
        <w:t>estos</w:t>
      </w:r>
      <w:r w:rsidRPr="000D5434">
        <w:rPr>
          <w:szCs w:val="22"/>
          <w:lang w:val="es-ES"/>
        </w:rPr>
        <w:t>, poblaciones o cualquier componente biótico de valor o utilidad real o potencial que contiene el recurso genético u otros recursos derivados”.</w:t>
      </w:r>
    </w:p>
    <w:p w:rsidR="006526C6" w:rsidRPr="000D5434" w:rsidRDefault="006526C6" w:rsidP="00103D66">
      <w:pPr>
        <w:pStyle w:val="ONUMFS"/>
        <w:numPr>
          <w:ilvl w:val="0"/>
          <w:numId w:val="0"/>
        </w:numPr>
        <w:rPr>
          <w:szCs w:val="22"/>
          <w:lang w:val="es-ES"/>
        </w:rPr>
      </w:pPr>
      <w:r w:rsidRPr="000D5434">
        <w:rPr>
          <w:rStyle w:val="Emphasis"/>
          <w:i w:val="0"/>
          <w:szCs w:val="22"/>
          <w:lang w:val="es-ES"/>
        </w:rPr>
        <w:t>En otros instrumentos jurídicos sobre P.I. no se utiliza el término, sino que se habla de “materia biológica”.</w:t>
      </w:r>
      <w:r w:rsidR="00B834A4" w:rsidRPr="000D5434">
        <w:rPr>
          <w:rStyle w:val="Emphasis"/>
          <w:i w:val="0"/>
          <w:szCs w:val="22"/>
          <w:lang w:val="es-ES"/>
        </w:rPr>
        <w:t xml:space="preserve"> </w:t>
      </w:r>
      <w:r w:rsidRPr="000D5434">
        <w:rPr>
          <w:rStyle w:val="Emphasis"/>
          <w:i w:val="0"/>
          <w:szCs w:val="22"/>
          <w:lang w:val="es-ES"/>
        </w:rPr>
        <w:t>En la</w:t>
      </w:r>
      <w:r w:rsidRPr="000D5434">
        <w:rPr>
          <w:rStyle w:val="Emphasis"/>
          <w:szCs w:val="22"/>
          <w:lang w:val="es-ES"/>
        </w:rPr>
        <w:t xml:space="preserve"> Directiva sobre la protección jurídica de las invenciones biotecnológicas</w:t>
      </w:r>
      <w:r w:rsidRPr="000D5434">
        <w:rPr>
          <w:rStyle w:val="Emphasis"/>
          <w:i w:val="0"/>
          <w:szCs w:val="22"/>
          <w:lang w:val="es-ES"/>
        </w:rPr>
        <w:t>, de la Unión Europea, se define como</w:t>
      </w:r>
      <w:r w:rsidRPr="000D5434">
        <w:rPr>
          <w:i/>
          <w:iCs/>
          <w:szCs w:val="22"/>
          <w:lang w:val="es-ES"/>
        </w:rPr>
        <w:t xml:space="preserve"> </w:t>
      </w:r>
      <w:r w:rsidRPr="000D5434">
        <w:rPr>
          <w:szCs w:val="22"/>
          <w:lang w:val="es-ES"/>
        </w:rPr>
        <w:t>“materia que contenga información genética autorreproducible o reproducible en un sistema biológico”.</w:t>
      </w:r>
    </w:p>
    <w:p w:rsidR="006526C6" w:rsidRPr="000D5434" w:rsidRDefault="006526C6" w:rsidP="00103D66">
      <w:pPr>
        <w:pStyle w:val="ONUMFS"/>
        <w:numPr>
          <w:ilvl w:val="0"/>
          <w:numId w:val="0"/>
        </w:numPr>
        <w:rPr>
          <w:szCs w:val="22"/>
          <w:lang w:val="es-ES"/>
        </w:rPr>
      </w:pPr>
      <w:r w:rsidRPr="000D5434">
        <w:rPr>
          <w:szCs w:val="22"/>
          <w:lang w:val="es-ES"/>
        </w:rPr>
        <w:t xml:space="preserve">Con arreglo al </w:t>
      </w:r>
      <w:r w:rsidRPr="000D5434">
        <w:rPr>
          <w:i/>
          <w:szCs w:val="22"/>
          <w:lang w:val="es-ES"/>
        </w:rPr>
        <w:t>Código de Reglamentos Federales</w:t>
      </w:r>
      <w:r w:rsidRPr="000D5434">
        <w:rPr>
          <w:szCs w:val="22"/>
          <w:lang w:val="es-ES"/>
        </w:rPr>
        <w:t xml:space="preserve"> estadounidense, la definición del término “materia biológica” comprenderá “toda materia capaz de autorreproducirse directa o indirectamente”.</w:t>
      </w:r>
    </w:p>
    <w:p w:rsidR="006526C6" w:rsidRPr="000D5434" w:rsidRDefault="006526C6" w:rsidP="00103D66">
      <w:pPr>
        <w:pStyle w:val="ONUMFS"/>
        <w:numPr>
          <w:ilvl w:val="0"/>
          <w:numId w:val="0"/>
        </w:numPr>
        <w:rPr>
          <w:szCs w:val="22"/>
          <w:lang w:val="es-ES"/>
        </w:rPr>
      </w:pPr>
      <w:r w:rsidRPr="000D5434">
        <w:rPr>
          <w:szCs w:val="22"/>
          <w:lang w:val="es-ES"/>
        </w:rPr>
        <w:t xml:space="preserve">Según el artículo 2 del </w:t>
      </w:r>
      <w:r w:rsidRPr="000D5434">
        <w:rPr>
          <w:i/>
          <w:szCs w:val="22"/>
          <w:lang w:val="es-ES"/>
        </w:rPr>
        <w:t>Convenio sobre la Diversidad Biológica</w:t>
      </w:r>
      <w:r w:rsidRPr="000D5434">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0D5434" w:rsidRDefault="00C0409B" w:rsidP="00A758A0">
      <w:pPr>
        <w:pStyle w:val="Heading1"/>
        <w:rPr>
          <w:b w:val="0"/>
          <w:bCs w:val="0"/>
          <w:szCs w:val="22"/>
          <w:lang w:val="es-ES"/>
        </w:rPr>
      </w:pPr>
      <w:bookmarkStart w:id="13" w:name="_Toc535584951"/>
      <w:r w:rsidRPr="000D5434">
        <w:rPr>
          <w:szCs w:val="22"/>
          <w:lang w:val="es-ES"/>
        </w:rPr>
        <w:t>Invenciones biotecnológicas</w:t>
      </w:r>
      <w:bookmarkEnd w:id="13"/>
    </w:p>
    <w:p w:rsidR="002F5651"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Directiva de la Unión Europea sobre la protección jurídica de las invenciones biotecnológicas</w:t>
      </w:r>
      <w:r w:rsidRPr="000D5434">
        <w:rPr>
          <w:szCs w:val="22"/>
          <w:lang w:val="es-ES"/>
        </w:rPr>
        <w:t>, el término se define como “invenciones que tengan por objeto un producto que esté compuesto o que contenga materia biológica o un procedimiento mediante el cual se produzca, transforme o utilice la materia biológica”.</w:t>
      </w:r>
      <w:r w:rsidRPr="000D5434">
        <w:rPr>
          <w:rStyle w:val="FootnoteReference"/>
          <w:szCs w:val="22"/>
          <w:lang w:val="es-ES"/>
        </w:rPr>
        <w:footnoteReference w:id="12"/>
      </w:r>
      <w:r w:rsidR="00B834A4" w:rsidRPr="000D5434">
        <w:rPr>
          <w:szCs w:val="22"/>
          <w:lang w:val="es-ES"/>
        </w:rPr>
        <w:t xml:space="preserve"> </w:t>
      </w:r>
      <w:r w:rsidRPr="000D5434">
        <w:rPr>
          <w:szCs w:val="22"/>
          <w:lang w:val="es-ES"/>
        </w:rPr>
        <w:t xml:space="preserve">Las invenciones biotecnológicas se </w:t>
      </w:r>
      <w:r w:rsidRPr="000D5434">
        <w:rPr>
          <w:szCs w:val="22"/>
          <w:lang w:val="es-ES"/>
        </w:rPr>
        <w:lastRenderedPageBreak/>
        <w:t>clasifican en tres categorías:</w:t>
      </w:r>
      <w:r w:rsidR="00B834A4" w:rsidRPr="000D5434">
        <w:rPr>
          <w:szCs w:val="22"/>
          <w:lang w:val="es-ES"/>
        </w:rPr>
        <w:t xml:space="preserve"> </w:t>
      </w:r>
      <w:r w:rsidRPr="000D5434">
        <w:rPr>
          <w:szCs w:val="22"/>
          <w:lang w:val="es-ES"/>
        </w:rPr>
        <w:t>procesos para la creación o modificación de organismos vivos y material biológico, el resultado de tales procesos y la utilización de dichos resultados.</w:t>
      </w:r>
      <w:r w:rsidRPr="000D5434">
        <w:rPr>
          <w:rStyle w:val="FootnoteReference"/>
          <w:szCs w:val="22"/>
          <w:lang w:val="es-ES"/>
        </w:rPr>
        <w:footnoteReference w:id="13"/>
      </w:r>
    </w:p>
    <w:p w:rsidR="00C0409B" w:rsidRPr="000D5434" w:rsidRDefault="00C0409B" w:rsidP="00A758A0">
      <w:pPr>
        <w:pStyle w:val="Heading1"/>
        <w:rPr>
          <w:b w:val="0"/>
          <w:bCs w:val="0"/>
          <w:szCs w:val="22"/>
          <w:lang w:val="es-ES"/>
        </w:rPr>
      </w:pPr>
      <w:bookmarkStart w:id="14" w:name="_Toc535584952"/>
      <w:r w:rsidRPr="000D5434">
        <w:rPr>
          <w:szCs w:val="22"/>
          <w:lang w:val="es-ES"/>
        </w:rPr>
        <w:t>Biotecnología</w:t>
      </w:r>
      <w:bookmarkEnd w:id="14"/>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w:t>
      </w:r>
      <w:r w:rsidRPr="000D543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0D5434">
        <w:rPr>
          <w:rStyle w:val="Emphasis"/>
          <w:szCs w:val="22"/>
          <w:lang w:val="es-ES"/>
        </w:rPr>
        <w:t>.</w:t>
      </w:r>
      <w:r w:rsidR="00B834A4" w:rsidRPr="000D5434">
        <w:rPr>
          <w:rStyle w:val="Emphasis"/>
          <w:szCs w:val="22"/>
          <w:lang w:val="es-ES"/>
        </w:rPr>
        <w:t xml:space="preserve"> </w:t>
      </w:r>
      <w:r w:rsidRPr="000D5434">
        <w:rPr>
          <w:rStyle w:val="Emphasis"/>
          <w:i w:val="0"/>
          <w:szCs w:val="22"/>
          <w:lang w:val="es-ES"/>
        </w:rPr>
        <w:t>En el artículo 2 del</w:t>
      </w:r>
      <w:r w:rsidRPr="000D5434">
        <w:rPr>
          <w:rStyle w:val="Emphasis"/>
          <w:szCs w:val="22"/>
          <w:lang w:val="es-ES"/>
        </w:rPr>
        <w:t xml:space="preserve"> </w:t>
      </w:r>
      <w:r w:rsidRPr="000D5434">
        <w:rPr>
          <w:i/>
          <w:szCs w:val="22"/>
          <w:lang w:val="es-ES"/>
        </w:rPr>
        <w:t>Protocolo de Nagoya sobre Acceso a los Recursos Genéticos y Participación Justa y Equitativa en los Beneficios que se Deriven de su Utilización</w:t>
      </w:r>
      <w:r w:rsidRPr="000D5434">
        <w:rPr>
          <w:szCs w:val="22"/>
          <w:lang w:val="es-ES"/>
        </w:rPr>
        <w:t xml:space="preserve"> (2010) se utiliza la misma definición.</w:t>
      </w:r>
    </w:p>
    <w:p w:rsidR="00C0409B" w:rsidRPr="000D5434" w:rsidRDefault="00C0409B" w:rsidP="00E1039C">
      <w:pPr>
        <w:pStyle w:val="ONUMFS"/>
        <w:numPr>
          <w:ilvl w:val="0"/>
          <w:numId w:val="0"/>
        </w:numPr>
        <w:rPr>
          <w:i/>
          <w:szCs w:val="22"/>
          <w:lang w:val="es-ES"/>
        </w:rPr>
      </w:pPr>
      <w:r w:rsidRPr="000D5434">
        <w:rPr>
          <w:rStyle w:val="Emphasis"/>
          <w:i w:val="0"/>
          <w:szCs w:val="22"/>
          <w:lang w:val="es-ES"/>
        </w:rPr>
        <w:t xml:space="preserve">Según la </w:t>
      </w:r>
      <w:r w:rsidRPr="000D5434">
        <w:rPr>
          <w:rStyle w:val="Emphasis"/>
          <w:szCs w:val="22"/>
          <w:lang w:val="es-ES"/>
        </w:rPr>
        <w:t>Declaración de la Organización para la Alimentación y la Agricultura (FAO) sobre biotecnología del año 2000</w:t>
      </w:r>
      <w:r w:rsidRPr="000D5434">
        <w:rPr>
          <w:rStyle w:val="Emphasis"/>
          <w:i w:val="0"/>
          <w:szCs w:val="22"/>
          <w:lang w:val="es-ES"/>
        </w:rPr>
        <w:t>:</w:t>
      </w:r>
      <w:r w:rsidR="00B834A4" w:rsidRPr="000D5434">
        <w:rPr>
          <w:rStyle w:val="Emphasis"/>
          <w:i w:val="0"/>
          <w:szCs w:val="22"/>
          <w:lang w:val="es-ES"/>
        </w:rPr>
        <w:t xml:space="preserve"> </w:t>
      </w:r>
      <w:r w:rsidRPr="000D5434">
        <w:rPr>
          <w:rStyle w:val="Emphasis"/>
          <w:i w:val="0"/>
          <w:szCs w:val="22"/>
          <w:lang w:val="es-ES"/>
        </w:rPr>
        <w:t>“Interpretada en este sentido amplio, la definición de biotecnología abarca muchos de los instrumentos y técnicas que se usan normalmente en la agricultura y la producción de alimentos.</w:t>
      </w:r>
      <w:r w:rsidR="00B834A4" w:rsidRPr="000D5434">
        <w:rPr>
          <w:rStyle w:val="Emphasis"/>
          <w:i w:val="0"/>
          <w:szCs w:val="22"/>
          <w:lang w:val="es-ES"/>
        </w:rPr>
        <w:t xml:space="preserve"> </w:t>
      </w:r>
      <w:r w:rsidRPr="000D5434">
        <w:rPr>
          <w:rStyle w:val="Emphasis"/>
          <w:i w:val="0"/>
          <w:szCs w:val="22"/>
          <w:lang w:val="es-ES"/>
        </w:rPr>
        <w:t>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0D5434">
        <w:rPr>
          <w:szCs w:val="22"/>
          <w:lang w:val="es-ES"/>
        </w:rPr>
        <w:t>”.</w:t>
      </w:r>
      <w:r w:rsidRPr="000D5434">
        <w:rPr>
          <w:rStyle w:val="FootnoteReference"/>
          <w:szCs w:val="22"/>
          <w:lang w:val="es-ES"/>
        </w:rPr>
        <w:footnoteReference w:id="14"/>
      </w:r>
    </w:p>
    <w:p w:rsidR="00C0409B" w:rsidRPr="000D5434" w:rsidRDefault="00C0409B" w:rsidP="00103D66">
      <w:pPr>
        <w:pStyle w:val="ONUMFS"/>
        <w:numPr>
          <w:ilvl w:val="0"/>
          <w:numId w:val="0"/>
        </w:numPr>
        <w:rPr>
          <w:i/>
          <w:szCs w:val="22"/>
          <w:lang w:val="es-ES"/>
        </w:rPr>
      </w:pPr>
      <w:r w:rsidRPr="000D5434">
        <w:rPr>
          <w:rStyle w:val="Emphasis"/>
          <w:i w:val="0"/>
          <w:szCs w:val="22"/>
          <w:lang w:val="es-ES"/>
        </w:rPr>
        <w:t xml:space="preserve">En el artículo 3 del </w:t>
      </w:r>
      <w:r w:rsidRPr="000D5434">
        <w:rPr>
          <w:rStyle w:val="Emphasis"/>
          <w:szCs w:val="22"/>
          <w:lang w:val="es-ES"/>
        </w:rPr>
        <w:t>Protocolo de Cartagena sobre Seguridad de la Biotecnología del Convenio sobre la Diversidad Biológica</w:t>
      </w:r>
      <w:r w:rsidRPr="000D5434">
        <w:rPr>
          <w:rStyle w:val="Emphasis"/>
          <w:i w:val="0"/>
          <w:szCs w:val="22"/>
          <w:lang w:val="es-ES"/>
        </w:rPr>
        <w:t>, adoptado en el año 2000, se establece lo siguiente:</w:t>
      </w:r>
      <w:r w:rsidR="00B834A4" w:rsidRPr="000D5434">
        <w:rPr>
          <w:rStyle w:val="Emphasis"/>
          <w:i w:val="0"/>
          <w:szCs w:val="22"/>
          <w:lang w:val="es-ES"/>
        </w:rPr>
        <w:t xml:space="preserve"> </w:t>
      </w:r>
      <w:r w:rsidRPr="000D5434">
        <w:rPr>
          <w:rStyle w:val="Emphasis"/>
          <w:i w:val="0"/>
          <w:szCs w:val="22"/>
          <w:lang w:val="es-ES"/>
        </w:rPr>
        <w:t>“por biotecnología moderna se entiende la aplicación de:</w:t>
      </w:r>
      <w:r w:rsidR="00B834A4" w:rsidRPr="000D5434">
        <w:rPr>
          <w:rStyle w:val="Emphasis"/>
          <w:i w:val="0"/>
          <w:szCs w:val="22"/>
          <w:lang w:val="es-ES"/>
        </w:rPr>
        <w:t xml:space="preserve"> </w:t>
      </w:r>
      <w:r w:rsidRPr="000D5434">
        <w:rPr>
          <w:rStyle w:val="Emphasis"/>
          <w:i w:val="0"/>
          <w:szCs w:val="22"/>
          <w:lang w:val="es-ES"/>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0D5434" w:rsidRDefault="00C0409B" w:rsidP="00103D66">
      <w:pPr>
        <w:pStyle w:val="ONUMFS"/>
        <w:numPr>
          <w:ilvl w:val="0"/>
          <w:numId w:val="0"/>
        </w:numPr>
        <w:rPr>
          <w:szCs w:val="22"/>
          <w:lang w:val="es-ES"/>
        </w:rPr>
      </w:pPr>
      <w:r w:rsidRPr="000D5434">
        <w:rPr>
          <w:szCs w:val="22"/>
          <w:lang w:val="es-ES"/>
        </w:rPr>
        <w:t>La Organización de Cooperación y Desarrollo Económicos (OCDE) utiliza una definición deliberadamente amplia, que abarca toda la biotecnología moderna pero también muchas actividades tradicionales o indeterminadas.</w:t>
      </w:r>
      <w:r w:rsidR="00B834A4" w:rsidRPr="000D5434">
        <w:rPr>
          <w:szCs w:val="22"/>
          <w:lang w:val="es-ES"/>
        </w:rPr>
        <w:t xml:space="preserve"> </w:t>
      </w:r>
      <w:r w:rsidRPr="000D5434">
        <w:rPr>
          <w:szCs w:val="22"/>
          <w:lang w:val="es-ES"/>
        </w:rPr>
        <w:t>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0D5434">
        <w:rPr>
          <w:rStyle w:val="Strong"/>
          <w:iCs/>
          <w:szCs w:val="22"/>
          <w:lang w:val="es-ES"/>
        </w:rPr>
        <w:t>.</w:t>
      </w:r>
      <w:r w:rsidRPr="000D5434">
        <w:rPr>
          <w:rStyle w:val="FootnoteReference"/>
          <w:bCs/>
          <w:iCs/>
          <w:szCs w:val="22"/>
          <w:lang w:val="es-ES"/>
        </w:rPr>
        <w:footnoteReference w:id="15"/>
      </w:r>
    </w:p>
    <w:p w:rsidR="00C0409B" w:rsidRPr="000D5434" w:rsidRDefault="00C0409B" w:rsidP="00A758A0">
      <w:pPr>
        <w:pStyle w:val="Heading1"/>
        <w:rPr>
          <w:b w:val="0"/>
          <w:bCs w:val="0"/>
          <w:szCs w:val="22"/>
          <w:lang w:val="es-ES"/>
        </w:rPr>
      </w:pPr>
      <w:bookmarkStart w:id="15" w:name="_Toc535584953"/>
      <w:r w:rsidRPr="000D5434">
        <w:rPr>
          <w:szCs w:val="22"/>
          <w:lang w:val="es-ES"/>
        </w:rPr>
        <w:t>Directrices de Bonn sobre el Acceso a los Recursos Genéticos y la Participación Justa y Equitativa en los Beneficios Provenientes de su Utilización</w:t>
      </w:r>
      <w:bookmarkEnd w:id="15"/>
    </w:p>
    <w:p w:rsidR="00C0409B" w:rsidRPr="000D5434" w:rsidRDefault="00C0409B" w:rsidP="00103D66">
      <w:pPr>
        <w:pStyle w:val="ONUMFS"/>
        <w:numPr>
          <w:ilvl w:val="0"/>
          <w:numId w:val="0"/>
        </w:numPr>
        <w:rPr>
          <w:szCs w:val="22"/>
          <w:lang w:val="es-ES"/>
        </w:rPr>
      </w:pPr>
      <w:r w:rsidRPr="000D5434">
        <w:rPr>
          <w:szCs w:val="22"/>
          <w:lang w:val="es-ES"/>
        </w:rPr>
        <w:t xml:space="preserve">Las </w:t>
      </w:r>
      <w:r w:rsidRPr="000D5434">
        <w:rPr>
          <w:i/>
          <w:szCs w:val="22"/>
          <w:lang w:val="es-ES"/>
        </w:rPr>
        <w:t>Directrices de Bonn sobre el Acceso a los Recursos Genéticos y la Participación Justa y Equitativa en los Beneficios Provenientes de su Utilización</w:t>
      </w:r>
      <w:r w:rsidRPr="000D5434">
        <w:rPr>
          <w:szCs w:val="22"/>
          <w:lang w:val="es-ES"/>
        </w:rPr>
        <w:t xml:space="preserve"> fueron adoptadas en 2002 por la Conferencia de las Partes en el </w:t>
      </w:r>
      <w:r w:rsidRPr="000D5434">
        <w:rPr>
          <w:i/>
          <w:szCs w:val="22"/>
          <w:lang w:val="es-ES"/>
        </w:rPr>
        <w:t>Convenio sobre la Diversidad Biológica</w:t>
      </w:r>
      <w:r w:rsidRPr="000D5434">
        <w:rPr>
          <w:szCs w:val="22"/>
          <w:lang w:val="es-ES"/>
        </w:rPr>
        <w:t xml:space="preserve"> a fin de proporcionar orientación acerca de la aplicación de las disposiciones previstas en los artículos 8.j), 10.c), 15, 16 y 19 del Convenio (1992) relativos al acceso a los recursos genéticos y la participación en los beneficios.</w:t>
      </w:r>
      <w:r w:rsidR="00B834A4" w:rsidRPr="000D5434">
        <w:rPr>
          <w:szCs w:val="22"/>
          <w:lang w:val="es-ES"/>
        </w:rPr>
        <w:t xml:space="preserve"> </w:t>
      </w:r>
      <w:r w:rsidRPr="000D5434">
        <w:rPr>
          <w:szCs w:val="22"/>
          <w:lang w:val="es-ES"/>
        </w:rPr>
        <w:t>Las directrices no son vinculantes y están destinadas a diversos sectores interesados.</w:t>
      </w:r>
      <w:r w:rsidRPr="000D5434">
        <w:rPr>
          <w:rStyle w:val="FootnoteReference"/>
          <w:szCs w:val="22"/>
          <w:lang w:val="es-ES"/>
        </w:rPr>
        <w:footnoteReference w:id="16"/>
      </w:r>
      <w:r w:rsidR="00B834A4" w:rsidRPr="000D5434">
        <w:rPr>
          <w:szCs w:val="22"/>
          <w:lang w:val="es-ES"/>
        </w:rPr>
        <w:t xml:space="preserve"> </w:t>
      </w:r>
      <w:r w:rsidRPr="000D5434">
        <w:rPr>
          <w:szCs w:val="22"/>
          <w:lang w:val="es-ES"/>
        </w:rPr>
        <w:t xml:space="preserve">Además, abarcan aspectos de procedimiento y </w:t>
      </w:r>
      <w:r w:rsidRPr="000D5434">
        <w:rPr>
          <w:szCs w:val="22"/>
          <w:lang w:val="es-ES"/>
        </w:rPr>
        <w:lastRenderedPageBreak/>
        <w:t>reglamentación, en particular, en relación con el consentimiento fundamentado previo, y señalan formas monetarias y no monetarias de participación en los beneficios.</w:t>
      </w:r>
      <w:r w:rsidRPr="000D5434">
        <w:rPr>
          <w:rStyle w:val="FootnoteReference"/>
          <w:szCs w:val="22"/>
          <w:lang w:val="es-ES"/>
        </w:rPr>
        <w:footnoteReference w:id="17"/>
      </w:r>
    </w:p>
    <w:p w:rsidR="00C0409B" w:rsidRPr="000D5434" w:rsidRDefault="00C0409B" w:rsidP="00A758A0">
      <w:pPr>
        <w:pStyle w:val="Heading1"/>
        <w:rPr>
          <w:b w:val="0"/>
          <w:szCs w:val="22"/>
          <w:lang w:val="es-ES"/>
        </w:rPr>
      </w:pPr>
      <w:bookmarkStart w:id="16" w:name="_Toc535584954"/>
      <w:r w:rsidRPr="000D5434">
        <w:rPr>
          <w:szCs w:val="22"/>
          <w:lang w:val="es-ES"/>
        </w:rPr>
        <w:t>Mecanismo de facilitación del Conveni</w:t>
      </w:r>
      <w:r w:rsidR="00886929" w:rsidRPr="000D5434">
        <w:rPr>
          <w:szCs w:val="22"/>
          <w:lang w:val="es-ES"/>
        </w:rPr>
        <w:t>o sobre la Diversidad Biológica (CDB)</w:t>
      </w:r>
      <w:bookmarkEnd w:id="16"/>
    </w:p>
    <w:p w:rsidR="00C0409B" w:rsidRPr="000D5434" w:rsidRDefault="00C0409B" w:rsidP="00103D66">
      <w:pPr>
        <w:pStyle w:val="ONUMFS"/>
        <w:numPr>
          <w:ilvl w:val="0"/>
          <w:numId w:val="0"/>
        </w:numPr>
        <w:rPr>
          <w:szCs w:val="22"/>
          <w:lang w:val="es-ES"/>
        </w:rPr>
      </w:pPr>
      <w:r w:rsidRPr="000D5434">
        <w:rPr>
          <w:szCs w:val="22"/>
          <w:lang w:val="es-ES"/>
        </w:rPr>
        <w:t xml:space="preserve">Según el glosario que se utiliza en el Programa de Naciones Unidas para el Medio Ambiente, (PNUMA), </w:t>
      </w:r>
      <w:r w:rsidR="00886929" w:rsidRPr="000D5434">
        <w:rPr>
          <w:szCs w:val="22"/>
          <w:lang w:val="es-ES"/>
        </w:rPr>
        <w:t>la expresión “</w:t>
      </w:r>
      <w:r w:rsidRPr="000D5434">
        <w:rPr>
          <w:szCs w:val="22"/>
          <w:lang w:val="es-ES"/>
        </w:rPr>
        <w:t>mecanismo de facilitación</w:t>
      </w:r>
      <w:r w:rsidR="00886929" w:rsidRPr="000D5434">
        <w:rPr>
          <w:szCs w:val="22"/>
          <w:lang w:val="es-ES"/>
        </w:rPr>
        <w:t>” se refería originalmente a un establecimiento financiero en el que los bancos miembros intercambiaran cheques y letras de cambio de manera que solo fuese necesario liquidar en efectivo los saldos netos.</w:t>
      </w:r>
      <w:r w:rsidR="00B834A4" w:rsidRPr="000D5434">
        <w:rPr>
          <w:szCs w:val="22"/>
          <w:lang w:val="es-ES"/>
        </w:rPr>
        <w:t xml:space="preserve"> </w:t>
      </w:r>
      <w:r w:rsidR="00886929" w:rsidRPr="000D5434">
        <w:rPr>
          <w:szCs w:val="22"/>
          <w:lang w:val="es-ES"/>
        </w:rPr>
        <w:t>Hoy en día, su significado se ha extendido hasta incluir cualquier organismo que reúna a quienes demandan y quienes ofrecen productos, servicios o información, vinculando la demanda con la oferta.</w:t>
      </w:r>
      <w:r w:rsidR="00B834A4" w:rsidRPr="000D5434">
        <w:rPr>
          <w:szCs w:val="22"/>
          <w:lang w:val="es-ES"/>
        </w:rPr>
        <w:t xml:space="preserve"> </w:t>
      </w:r>
      <w:r w:rsidR="00886929" w:rsidRPr="000D5434">
        <w:rPr>
          <w:szCs w:val="22"/>
          <w:lang w:val="es-ES"/>
        </w:rPr>
        <w:t>El CDB ha establecido un mecanismo de facilitación para asegurar que todos los gobiernos tengan acceso a la información y las tecnologías que necesitan para su trabajo en el campo de la biodiversidad</w:t>
      </w:r>
      <w:r w:rsidR="00886929" w:rsidRPr="000D5434">
        <w:rPr>
          <w:rStyle w:val="contentpane"/>
          <w:szCs w:val="22"/>
          <w:lang w:val="es-ES"/>
        </w:rPr>
        <w:t>.</w:t>
      </w:r>
      <w:r w:rsidR="00886929" w:rsidRPr="000D5434">
        <w:rPr>
          <w:rStyle w:val="FootnoteReference"/>
          <w:szCs w:val="22"/>
          <w:lang w:val="es-ES"/>
        </w:rPr>
        <w:footnoteReference w:id="18"/>
      </w:r>
    </w:p>
    <w:p w:rsidR="00C0409B" w:rsidRPr="000D5434" w:rsidRDefault="00C0409B" w:rsidP="00A758A0">
      <w:pPr>
        <w:pStyle w:val="Heading1"/>
        <w:rPr>
          <w:b w:val="0"/>
          <w:szCs w:val="22"/>
          <w:lang w:val="es-ES"/>
        </w:rPr>
      </w:pPr>
      <w:bookmarkStart w:id="17" w:name="_Toc535584955"/>
      <w:r w:rsidRPr="000D5434">
        <w:rPr>
          <w:szCs w:val="22"/>
          <w:lang w:val="es-ES"/>
        </w:rPr>
        <w:t>Conocimientos tradicionales codificados</w:t>
      </w:r>
      <w:bookmarkEnd w:id="17"/>
    </w:p>
    <w:p w:rsidR="00C0409B" w:rsidRPr="000D5434" w:rsidRDefault="00C0409B" w:rsidP="00E1039C">
      <w:pPr>
        <w:pStyle w:val="ONUMFS"/>
        <w:numPr>
          <w:ilvl w:val="0"/>
          <w:numId w:val="0"/>
        </w:numPr>
        <w:rPr>
          <w:szCs w:val="22"/>
          <w:lang w:val="es-ES"/>
        </w:rPr>
      </w:pPr>
      <w:r w:rsidRPr="000D5434">
        <w:rPr>
          <w:szCs w:val="22"/>
          <w:lang w:val="es-ES"/>
        </w:rPr>
        <w:t>Por “conocimientos tradicionales codificados” se entiende “</w:t>
      </w:r>
      <w:r w:rsidRPr="000D5434">
        <w:rPr>
          <w:iCs/>
          <w:szCs w:val="22"/>
          <w:lang w:val="es-ES"/>
        </w:rPr>
        <w:t>conocimientos tradicionales que se presentan de una manera sistemática y estructurada, en la que los conocimientos están ordenados, organizados, clasificados y categorizados de alguna forma</w:t>
      </w:r>
      <w:r w:rsidRPr="000D5434">
        <w:rPr>
          <w:szCs w:val="22"/>
          <w:lang w:val="es-ES"/>
        </w:rPr>
        <w:t>”.</w:t>
      </w:r>
      <w:r w:rsidRPr="000D5434">
        <w:rPr>
          <w:rStyle w:val="FootnoteReference"/>
          <w:szCs w:val="22"/>
          <w:lang w:val="es-ES"/>
        </w:rPr>
        <w:footnoteReference w:id="19"/>
      </w:r>
    </w:p>
    <w:p w:rsidR="00C0409B" w:rsidRPr="000D5434" w:rsidRDefault="00C0409B" w:rsidP="00103D66">
      <w:pPr>
        <w:pStyle w:val="ONUMFS"/>
        <w:numPr>
          <w:ilvl w:val="0"/>
          <w:numId w:val="0"/>
        </w:numPr>
        <w:rPr>
          <w:szCs w:val="22"/>
          <w:lang w:val="es-ES"/>
        </w:rPr>
      </w:pPr>
      <w:r w:rsidRPr="000D5434">
        <w:rPr>
          <w:szCs w:val="22"/>
          <w:lang w:val="es-ES"/>
        </w:rPr>
        <w:t>En el ámbito de la medicina tradicional, por ejemplo, el Equipo sobre Medicina Tradicional de la Organización Mundial de la Salud (OMS) distingue entre:</w:t>
      </w:r>
      <w:r w:rsidR="00B834A4" w:rsidRPr="000D5434">
        <w:rPr>
          <w:szCs w:val="22"/>
          <w:lang w:val="es-ES"/>
        </w:rPr>
        <w:t xml:space="preserve"> </w:t>
      </w:r>
      <w:r w:rsidRPr="000D5434">
        <w:rPr>
          <w:szCs w:val="22"/>
          <w:lang w:val="es-ES"/>
        </w:rPr>
        <w:t xml:space="preserve">a) sistemas </w:t>
      </w:r>
      <w:r w:rsidRPr="000D5434">
        <w:rPr>
          <w:iCs/>
          <w:szCs w:val="22"/>
          <w:lang w:val="es-ES"/>
        </w:rPr>
        <w:t>codificados</w:t>
      </w:r>
      <w:r w:rsidRPr="000D5434">
        <w:rPr>
          <w:i/>
          <w:iCs/>
          <w:szCs w:val="22"/>
          <w:lang w:val="es-ES"/>
        </w:rPr>
        <w:t xml:space="preserve"> </w:t>
      </w:r>
      <w:r w:rsidRPr="000D5434">
        <w:rPr>
          <w:szCs w:val="22"/>
          <w:lang w:val="es-ES"/>
        </w:rPr>
        <w:t>de medicina tradicional, que han sido divulgados por escrito en antiguos textos y que pertenecen enteramente al dominio público, por ejemplo, la medicina Ayurveda divulgada en los antiguos textos sánscritos</w:t>
      </w:r>
      <w:r w:rsidRPr="000D5434">
        <w:rPr>
          <w:rStyle w:val="FootnoteReference"/>
          <w:szCs w:val="22"/>
          <w:lang w:val="es-ES"/>
        </w:rPr>
        <w:footnoteReference w:id="20"/>
      </w:r>
      <w:r w:rsidRPr="000D5434">
        <w:rPr>
          <w:szCs w:val="22"/>
          <w:lang w:val="es-ES"/>
        </w:rPr>
        <w:t xml:space="preserve"> o la medicina tradicional china divulgada en antiguos textos médicos chinos</w:t>
      </w:r>
      <w:r w:rsidRPr="000D5434">
        <w:rPr>
          <w:rStyle w:val="FootnoteReference"/>
          <w:szCs w:val="22"/>
          <w:lang w:val="es-ES"/>
        </w:rPr>
        <w:footnoteReference w:id="21"/>
      </w:r>
      <w:r w:rsidRPr="000D5434">
        <w:rPr>
          <w:szCs w:val="22"/>
          <w:lang w:val="es-ES"/>
        </w:rPr>
        <w:t xml:space="preserve"> y b) conocimientos de medicina tradicional </w:t>
      </w:r>
      <w:r w:rsidRPr="000D5434">
        <w:rPr>
          <w:iCs/>
          <w:szCs w:val="22"/>
          <w:lang w:val="es-ES"/>
        </w:rPr>
        <w:t>no codificados</w:t>
      </w:r>
      <w:r w:rsidRPr="000D5434">
        <w:rPr>
          <w:szCs w:val="22"/>
          <w:lang w:val="es-ES"/>
        </w:rPr>
        <w:t xml:space="preserve"> por escrito y que son mantenidos en secreto por los poseedores de conocimientos tradicionales, transmitiéndose oralmente de generación en generación.</w:t>
      </w:r>
      <w:r w:rsidR="00B834A4" w:rsidRPr="000D5434">
        <w:rPr>
          <w:szCs w:val="22"/>
          <w:lang w:val="es-ES"/>
        </w:rPr>
        <w:t xml:space="preserve"> </w:t>
      </w:r>
      <w:r w:rsidRPr="000D5434">
        <w:rPr>
          <w:szCs w:val="22"/>
          <w:lang w:val="es-ES"/>
        </w:rPr>
        <w:t xml:space="preserve">Por ejemplo, en Asia meridional, los sistemas de conocimientos codificados incluyen el sistema </w:t>
      </w:r>
      <w:r w:rsidR="006614B8" w:rsidRPr="000D5434">
        <w:rPr>
          <w:szCs w:val="22"/>
          <w:lang w:val="es-ES"/>
        </w:rPr>
        <w:t xml:space="preserve">ayurvédico </w:t>
      </w:r>
      <w:r w:rsidRPr="000D5434">
        <w:rPr>
          <w:szCs w:val="22"/>
          <w:lang w:val="es-ES"/>
        </w:rPr>
        <w:t xml:space="preserve">de medicina, que está codificado en los 54 libros autorizados del sistema </w:t>
      </w:r>
      <w:r w:rsidR="006614B8" w:rsidRPr="000D5434">
        <w:rPr>
          <w:szCs w:val="22"/>
          <w:lang w:val="es-ES"/>
        </w:rPr>
        <w:t>ayurvédico</w:t>
      </w:r>
      <w:r w:rsidRPr="000D5434">
        <w:rPr>
          <w:szCs w:val="22"/>
          <w:lang w:val="es-ES"/>
        </w:rPr>
        <w:t>, el sistema Siddha, codificado en 29 libros autorizados, y la tradición Unani Tibb, codificada en 13 libros autorizados.</w:t>
      </w:r>
      <w:r w:rsidRPr="000D5434">
        <w:rPr>
          <w:rStyle w:val="FootnoteReference"/>
          <w:szCs w:val="22"/>
          <w:lang w:val="es-ES"/>
        </w:rPr>
        <w:footnoteReference w:id="22"/>
      </w:r>
    </w:p>
    <w:p w:rsidR="00C0409B" w:rsidRPr="000D5434" w:rsidRDefault="00C0409B" w:rsidP="00103D66">
      <w:pPr>
        <w:pStyle w:val="ONUMFS"/>
        <w:numPr>
          <w:ilvl w:val="0"/>
          <w:numId w:val="0"/>
        </w:numPr>
        <w:rPr>
          <w:szCs w:val="22"/>
          <w:lang w:val="es-ES"/>
        </w:rPr>
      </w:pPr>
      <w:r w:rsidRPr="000D5434">
        <w:rPr>
          <w:szCs w:val="22"/>
          <w:lang w:val="es-ES"/>
        </w:rPr>
        <w:t>Otros distinguen entre:</w:t>
      </w:r>
      <w:r w:rsidR="00B834A4" w:rsidRPr="000D5434">
        <w:rPr>
          <w:szCs w:val="22"/>
          <w:lang w:val="es-ES"/>
        </w:rPr>
        <w:t xml:space="preserve"> </w:t>
      </w:r>
      <w:r w:rsidRPr="000D5434">
        <w:rPr>
          <w:szCs w:val="22"/>
          <w:lang w:val="es-ES"/>
        </w:rPr>
        <w:t>i) conocimientos tradicionales codificados, es decir, conocimientos tradicionales que constan por escrito y que están en el dominio público;</w:t>
      </w:r>
      <w:r w:rsidR="00B834A4" w:rsidRPr="000D5434">
        <w:rPr>
          <w:szCs w:val="22"/>
          <w:lang w:val="es-ES"/>
        </w:rPr>
        <w:t xml:space="preserve"> </w:t>
      </w:r>
      <w:r w:rsidRPr="000D5434">
        <w:rPr>
          <w:szCs w:val="22"/>
          <w:lang w:val="es-ES"/>
        </w:rPr>
        <w:t>y ii) conocimientos tradicionales no codificados que forman parte de la tradición oral de comunidades indígenas.</w:t>
      </w:r>
      <w:r w:rsidRPr="000D5434">
        <w:rPr>
          <w:rStyle w:val="FootnoteReference"/>
          <w:szCs w:val="22"/>
          <w:lang w:val="es-ES"/>
        </w:rPr>
        <w:footnoteReference w:id="23"/>
      </w:r>
      <w:r w:rsidR="00B834A4" w:rsidRPr="000D5434">
        <w:rPr>
          <w:szCs w:val="22"/>
          <w:lang w:val="es-ES"/>
        </w:rPr>
        <w:t xml:space="preserve"> </w:t>
      </w:r>
      <w:r w:rsidRPr="000D5434">
        <w:rPr>
          <w:szCs w:val="22"/>
          <w:lang w:val="es-ES"/>
        </w:rPr>
        <w:t xml:space="preserve">En la “Lista y breve descripción técnica de las diversas formas que pueden presentar los conocimientos tradicionales” (WIPO/GRTKF/IC/17/INF/9) se abordan con </w:t>
      </w:r>
      <w:r w:rsidRPr="000D5434">
        <w:rPr>
          <w:szCs w:val="22"/>
          <w:lang w:val="es-ES"/>
        </w:rPr>
        <w:lastRenderedPageBreak/>
        <w:t>mayor detenimiento los conocimientos tradicionales codificados y los conocimientos tradicionales no codificados.</w:t>
      </w:r>
    </w:p>
    <w:p w:rsidR="00C0409B" w:rsidRPr="000D5434" w:rsidRDefault="00C0409B" w:rsidP="00A758A0">
      <w:pPr>
        <w:pStyle w:val="Heading1"/>
        <w:rPr>
          <w:b w:val="0"/>
          <w:szCs w:val="22"/>
          <w:lang w:val="es-ES"/>
        </w:rPr>
      </w:pPr>
      <w:bookmarkStart w:id="18" w:name="_Toc535584956"/>
      <w:r w:rsidRPr="000D5434">
        <w:rPr>
          <w:szCs w:val="22"/>
          <w:lang w:val="es-ES"/>
        </w:rPr>
        <w:t>Consulta</w:t>
      </w:r>
      <w:bookmarkEnd w:id="18"/>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es “parecer o dictamen que por escrito o de palabra se pide o se da acerca de algo” y, a su vez, en el </w:t>
      </w:r>
      <w:r w:rsidRPr="000D5434">
        <w:rPr>
          <w:iCs/>
          <w:szCs w:val="22"/>
          <w:lang w:val="es-ES"/>
        </w:rPr>
        <w:t>Diccionario de uso del español</w:t>
      </w:r>
      <w:r w:rsidRPr="000D5434">
        <w:rPr>
          <w:szCs w:val="22"/>
          <w:lang w:val="es-ES"/>
        </w:rPr>
        <w:t xml:space="preserve"> de María Moliner “consultar” quiere decir “preguntar su opinión a otra u otras personas </w:t>
      </w:r>
      <w:r w:rsidR="006008CD" w:rsidRPr="000D5434">
        <w:rPr>
          <w:szCs w:val="22"/>
          <w:lang w:val="es-ES"/>
        </w:rPr>
        <w:t xml:space="preserve">[por ejemplo, un abogado] </w:t>
      </w:r>
      <w:r w:rsidRPr="000D5434">
        <w:rPr>
          <w:szCs w:val="22"/>
          <w:lang w:val="es-ES"/>
        </w:rPr>
        <w:t>y tratar con ellas cierto asunto”.</w:t>
      </w:r>
    </w:p>
    <w:p w:rsidR="00C0409B" w:rsidRPr="000D5434" w:rsidRDefault="00C0409B" w:rsidP="00103D66">
      <w:pPr>
        <w:pStyle w:val="ONUMFS"/>
        <w:numPr>
          <w:ilvl w:val="0"/>
          <w:numId w:val="0"/>
        </w:numPr>
        <w:rPr>
          <w:szCs w:val="22"/>
          <w:lang w:val="es-ES"/>
        </w:rPr>
      </w:pPr>
      <w:r w:rsidRPr="000D5434">
        <w:rPr>
          <w:szCs w:val="22"/>
          <w:lang w:val="es-ES"/>
        </w:rPr>
        <w:t>Designa el canje de pareceres e información, por lo cual no se trata de una relación unilateral, sino que plasma la idea de que las partes de esa relación ponen en común conocimientos y opiniones.</w:t>
      </w:r>
      <w:r w:rsidR="00B834A4" w:rsidRPr="000D5434">
        <w:rPr>
          <w:szCs w:val="22"/>
          <w:lang w:val="es-ES"/>
        </w:rPr>
        <w:t xml:space="preserve"> </w:t>
      </w:r>
      <w:r w:rsidRPr="000D5434">
        <w:rPr>
          <w:szCs w:val="22"/>
          <w:lang w:val="es-ES"/>
        </w:rPr>
        <w:t>Obliga a trabajar de común acuerdo, a escuchar lo que tiene que decir la otra parte y a obrar en consecuencia.</w:t>
      </w:r>
      <w:r w:rsidR="00B834A4" w:rsidRPr="000D5434">
        <w:rPr>
          <w:szCs w:val="22"/>
          <w:lang w:val="es-ES"/>
        </w:rPr>
        <w:t xml:space="preserve"> </w:t>
      </w:r>
      <w:r w:rsidRPr="000D5434">
        <w:rPr>
          <w:szCs w:val="22"/>
          <w:lang w:val="es-ES"/>
        </w:rPr>
        <w:t>Algunos autores sostienen que hay una íntima relación entre la consulta y el consentimiento en la vida de las comunidades indígenas.</w:t>
      </w:r>
      <w:r w:rsidR="00B834A4" w:rsidRPr="000D5434">
        <w:rPr>
          <w:szCs w:val="22"/>
          <w:lang w:val="es-ES"/>
        </w:rPr>
        <w:t xml:space="preserve"> </w:t>
      </w:r>
      <w:r w:rsidRPr="000D5434">
        <w:rPr>
          <w:szCs w:val="22"/>
          <w:lang w:val="es-ES"/>
        </w:rPr>
        <w:t xml:space="preserve">En efecto, gracias a la consulta el usuario ajeno a la comunidad puede conocer no sólo aquello que debe ser objeto del consentimiento, sino también a la persona encargada de dar ese consentimiento, y a su vez, </w:t>
      </w:r>
      <w:r w:rsidR="00D4348B">
        <w:rPr>
          <w:szCs w:val="22"/>
          <w:lang w:val="es-ES"/>
        </w:rPr>
        <w:t>esta</w:t>
      </w:r>
      <w:r w:rsidRPr="000D5434">
        <w:rPr>
          <w:szCs w:val="22"/>
          <w:lang w:val="es-ES"/>
        </w:rPr>
        <w:t xml:space="preserve"> podrá conocer debidamente lo que pretenda autorizar.</w:t>
      </w:r>
      <w:r w:rsidRPr="000D5434">
        <w:rPr>
          <w:rStyle w:val="FootnoteReference"/>
          <w:szCs w:val="22"/>
          <w:lang w:val="es-ES"/>
        </w:rPr>
        <w:footnoteReference w:id="24"/>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Convenio Nº 169 sobre pueblos indígenas y tribales en países independientes</w:t>
      </w:r>
      <w:r w:rsidRPr="000D5434">
        <w:rPr>
          <w:szCs w:val="22"/>
          <w:lang w:val="es-ES"/>
        </w:rPr>
        <w:t xml:space="preserve"> (1989)</w:t>
      </w:r>
      <w:r w:rsidR="00A120FA" w:rsidRPr="000D5434">
        <w:rPr>
          <w:szCs w:val="22"/>
          <w:lang w:val="es-ES"/>
        </w:rPr>
        <w:t xml:space="preserve">, de la Organización Internacional del Trabajo (OIT), </w:t>
      </w:r>
      <w:r w:rsidRPr="000D5434">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0D5434" w:rsidRDefault="00C0409B" w:rsidP="00A758A0">
      <w:pPr>
        <w:pStyle w:val="Heading1"/>
        <w:rPr>
          <w:b w:val="0"/>
          <w:szCs w:val="22"/>
          <w:lang w:val="es-ES"/>
        </w:rPr>
      </w:pPr>
      <w:bookmarkStart w:id="19" w:name="_Toc535584957"/>
      <w:r w:rsidRPr="000D5434">
        <w:rPr>
          <w:szCs w:val="22"/>
          <w:lang w:val="es-ES"/>
        </w:rPr>
        <w:t>Convenio sobre la Diversidad Biológica (CDB)</w:t>
      </w:r>
      <w:bookmarkEnd w:id="19"/>
    </w:p>
    <w:p w:rsidR="00C0409B" w:rsidRPr="000D5434" w:rsidRDefault="00C0409B" w:rsidP="00103D66">
      <w:pPr>
        <w:pStyle w:val="ONUMFS"/>
        <w:numPr>
          <w:ilvl w:val="0"/>
          <w:numId w:val="0"/>
        </w:numPr>
        <w:rPr>
          <w:szCs w:val="22"/>
          <w:lang w:val="es-ES"/>
        </w:rPr>
      </w:pPr>
      <w:r w:rsidRPr="000D5434">
        <w:rPr>
          <w:szCs w:val="22"/>
          <w:lang w:val="es-ES"/>
        </w:rPr>
        <w:t>Convenio internacional adoptado en 1992 durante la Conferencia de las Naciones Unidas sobre el Medio Ambiente y el Desarrollo, celebrada en Río de Janeiro (Brasil).</w:t>
      </w:r>
      <w:r w:rsidR="00B834A4" w:rsidRPr="000D5434">
        <w:rPr>
          <w:szCs w:val="22"/>
          <w:lang w:val="es-ES"/>
        </w:rPr>
        <w:t xml:space="preserve"> </w:t>
      </w:r>
      <w:r w:rsidRPr="000D5434">
        <w:rPr>
          <w:szCs w:val="22"/>
          <w:lang w:val="es-ES"/>
        </w:rPr>
        <w:t>Conforme a su artículo 1, tiene por objetivos “</w:t>
      </w:r>
      <w:r w:rsidRPr="000D5434">
        <w:rPr>
          <w:iCs/>
          <w:szCs w:val="22"/>
          <w:lang w:val="es-ES"/>
        </w:rPr>
        <w:t>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B834A4" w:rsidRPr="000D5434">
        <w:rPr>
          <w:iCs/>
          <w:szCs w:val="22"/>
          <w:lang w:val="es-ES"/>
        </w:rPr>
        <w:t xml:space="preserve"> </w:t>
      </w:r>
      <w:r w:rsidRPr="000D5434">
        <w:rPr>
          <w:szCs w:val="22"/>
          <w:lang w:val="es-ES"/>
        </w:rPr>
        <w:t>El CDB entró en vigor el 29 de diciembre de 1993.</w:t>
      </w:r>
    </w:p>
    <w:p w:rsidR="00C0409B" w:rsidRPr="000D5434" w:rsidRDefault="00C0409B" w:rsidP="00A758A0">
      <w:pPr>
        <w:pStyle w:val="Heading1"/>
        <w:rPr>
          <w:b w:val="0"/>
          <w:szCs w:val="22"/>
          <w:lang w:val="es-ES"/>
        </w:rPr>
      </w:pPr>
      <w:bookmarkStart w:id="20" w:name="_Toc535584958"/>
      <w:r w:rsidRPr="000D5434">
        <w:rPr>
          <w:szCs w:val="22"/>
          <w:lang w:val="es-ES"/>
        </w:rPr>
        <w:t>País de origen de los recursos genéticos</w:t>
      </w:r>
      <w:bookmarkEnd w:id="20"/>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país de origen de recursos genéticos se entiende el país que posee esos recursos genéticos en condiciones </w:t>
      </w:r>
      <w:r w:rsidRPr="000D5434">
        <w:rPr>
          <w:i/>
          <w:iCs/>
          <w:szCs w:val="22"/>
          <w:lang w:val="es-ES"/>
        </w:rPr>
        <w:t>in situ</w:t>
      </w:r>
      <w:r w:rsidRPr="000D5434">
        <w:rPr>
          <w:szCs w:val="22"/>
          <w:lang w:val="es-ES"/>
        </w:rPr>
        <w:t>”.</w:t>
      </w:r>
      <w:r w:rsidR="00B834A4" w:rsidRPr="000D5434">
        <w:rPr>
          <w:szCs w:val="22"/>
          <w:lang w:val="es-ES"/>
        </w:rPr>
        <w:t xml:space="preserve"> </w:t>
      </w:r>
      <w:r w:rsidRPr="000D5434">
        <w:rPr>
          <w:szCs w:val="22"/>
          <w:lang w:val="es-ES"/>
        </w:rPr>
        <w:t xml:space="preserve">En otras definiciones se incluyen recursos genéticos en condiciones </w:t>
      </w:r>
      <w:r w:rsidRPr="000D5434">
        <w:rPr>
          <w:i/>
          <w:iCs/>
          <w:szCs w:val="22"/>
          <w:lang w:val="es-ES"/>
        </w:rPr>
        <w:t>ex situ</w:t>
      </w:r>
      <w:r w:rsidRPr="000D5434">
        <w:rPr>
          <w:szCs w:val="22"/>
          <w:lang w:val="es-ES"/>
        </w:rPr>
        <w:t>.</w:t>
      </w:r>
      <w:r w:rsidR="00B834A4" w:rsidRPr="000D5434">
        <w:rPr>
          <w:szCs w:val="22"/>
          <w:lang w:val="es-ES"/>
        </w:rPr>
        <w:t xml:space="preserve"> </w:t>
      </w:r>
      <w:r w:rsidRPr="000D5434">
        <w:rPr>
          <w:szCs w:val="22"/>
          <w:lang w:val="es-ES"/>
        </w:rPr>
        <w:t xml:space="preserve">Por ejemplo, 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el término “país de origen” se define como “país que posee los recursos genéticos en condiciones </w:t>
      </w:r>
      <w:r w:rsidRPr="000D5434">
        <w:rPr>
          <w:i/>
          <w:iCs/>
          <w:szCs w:val="22"/>
          <w:lang w:val="es-ES"/>
        </w:rPr>
        <w:t>in situ</w:t>
      </w:r>
      <w:r w:rsidRPr="000D5434">
        <w:rPr>
          <w:szCs w:val="22"/>
          <w:lang w:val="es-ES"/>
        </w:rPr>
        <w:t xml:space="preserve">, incluyendo aquellos que habiendo estado en dichas condiciones, se encuentran en condiciones </w:t>
      </w:r>
      <w:r w:rsidRPr="000D5434">
        <w:rPr>
          <w:i/>
          <w:iCs/>
          <w:szCs w:val="22"/>
          <w:lang w:val="es-ES"/>
        </w:rPr>
        <w:t>ex situ</w:t>
      </w:r>
      <w:r w:rsidRPr="000D5434">
        <w:rPr>
          <w:szCs w:val="22"/>
          <w:lang w:val="es-ES"/>
        </w:rPr>
        <w:t>”.</w:t>
      </w:r>
    </w:p>
    <w:p w:rsidR="00C0409B" w:rsidRPr="000D5434" w:rsidRDefault="00C0409B" w:rsidP="00A758A0">
      <w:pPr>
        <w:pStyle w:val="Heading1"/>
        <w:rPr>
          <w:b w:val="0"/>
          <w:szCs w:val="22"/>
          <w:lang w:val="es-ES"/>
        </w:rPr>
      </w:pPr>
      <w:bookmarkStart w:id="21" w:name="_Toc535584959"/>
      <w:r w:rsidRPr="000D5434">
        <w:rPr>
          <w:szCs w:val="22"/>
          <w:lang w:val="es-ES"/>
        </w:rPr>
        <w:t>País que aporta recursos genéticos</w:t>
      </w:r>
      <w:bookmarkEnd w:id="21"/>
    </w:p>
    <w:p w:rsidR="00C0409B" w:rsidRPr="000D5434" w:rsidRDefault="00C0409B" w:rsidP="00103D66">
      <w:pPr>
        <w:pStyle w:val="ONUMFS"/>
        <w:numPr>
          <w:ilvl w:val="0"/>
          <w:numId w:val="0"/>
        </w:numPr>
        <w:rPr>
          <w:szCs w:val="22"/>
          <w:lang w:val="es-ES"/>
        </w:rPr>
      </w:pPr>
      <w:r w:rsidRPr="000D5434">
        <w:rPr>
          <w:szCs w:val="22"/>
          <w:lang w:val="es-ES"/>
        </w:rPr>
        <w:t xml:space="preserve">Según el artículo 2 del </w:t>
      </w:r>
      <w:r w:rsidRPr="000D5434">
        <w:rPr>
          <w:i/>
          <w:snapToGrid w:val="0"/>
          <w:szCs w:val="22"/>
          <w:lang w:val="es-ES"/>
        </w:rPr>
        <w:t>Convenio sobre la Diversidad Biológica</w:t>
      </w:r>
      <w:r w:rsidRPr="000D5434">
        <w:rPr>
          <w:snapToGrid w:val="0"/>
          <w:szCs w:val="22"/>
          <w:lang w:val="es-ES"/>
        </w:rPr>
        <w:t xml:space="preserve"> (1992)</w:t>
      </w:r>
      <w:r w:rsidRPr="000D5434">
        <w:rPr>
          <w:szCs w:val="22"/>
          <w:lang w:val="es-ES"/>
        </w:rPr>
        <w:t xml:space="preserve">, “por país que aporta recursos genéticos se entiende el país que suministra recursos genéticos obtenidos de fuentes </w:t>
      </w:r>
      <w:r w:rsidRPr="000D5434">
        <w:rPr>
          <w:i/>
          <w:iCs/>
          <w:szCs w:val="22"/>
          <w:lang w:val="es-ES"/>
        </w:rPr>
        <w:t>in situ</w:t>
      </w:r>
      <w:r w:rsidRPr="000D5434">
        <w:rPr>
          <w:szCs w:val="22"/>
          <w:lang w:val="es-ES"/>
        </w:rPr>
        <w:t xml:space="preserve">, incluidas las poblaciones de especies silvestres y domesticadas, o de fuentes </w:t>
      </w:r>
      <w:r w:rsidRPr="000D5434">
        <w:rPr>
          <w:i/>
          <w:iCs/>
          <w:szCs w:val="22"/>
          <w:lang w:val="es-ES"/>
        </w:rPr>
        <w:t>ex situ</w:t>
      </w:r>
      <w:r w:rsidRPr="000D5434">
        <w:rPr>
          <w:szCs w:val="22"/>
          <w:lang w:val="es-ES"/>
        </w:rPr>
        <w:t>, que pueden tener o no su origen en ese país”.</w:t>
      </w:r>
    </w:p>
    <w:p w:rsidR="00C0409B" w:rsidRPr="000D5434" w:rsidRDefault="00C0409B" w:rsidP="00A758A0">
      <w:pPr>
        <w:pStyle w:val="Heading1"/>
        <w:rPr>
          <w:b w:val="0"/>
          <w:szCs w:val="22"/>
          <w:lang w:val="es-ES"/>
        </w:rPr>
      </w:pPr>
      <w:bookmarkStart w:id="22" w:name="_Toc535584960"/>
      <w:r w:rsidRPr="000D5434">
        <w:rPr>
          <w:szCs w:val="22"/>
          <w:lang w:val="es-ES"/>
        </w:rPr>
        <w:lastRenderedPageBreak/>
        <w:t>Comunidad cultural</w:t>
      </w:r>
      <w:bookmarkEnd w:id="22"/>
    </w:p>
    <w:p w:rsidR="00C0409B" w:rsidRPr="000D5434" w:rsidRDefault="00C0409B" w:rsidP="00103D66">
      <w:pPr>
        <w:pStyle w:val="ONUMFS"/>
        <w:numPr>
          <w:ilvl w:val="0"/>
          <w:numId w:val="0"/>
        </w:numPr>
        <w:rPr>
          <w:szCs w:val="22"/>
          <w:lang w:val="es-ES"/>
        </w:rPr>
      </w:pPr>
      <w:bookmarkStart w:id="23" w:name="_Ref289689074"/>
      <w:bookmarkEnd w:id="23"/>
      <w:r w:rsidRPr="000D5434">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0D5434">
        <w:rPr>
          <w:rStyle w:val="FootnoteReference"/>
          <w:szCs w:val="22"/>
          <w:lang w:val="es-ES"/>
        </w:rPr>
        <w:footnoteReference w:id="25"/>
      </w:r>
    </w:p>
    <w:p w:rsidR="00C0409B" w:rsidRPr="000D5434" w:rsidRDefault="00C0409B" w:rsidP="00A758A0">
      <w:pPr>
        <w:pStyle w:val="Heading1"/>
        <w:rPr>
          <w:b w:val="0"/>
          <w:bCs w:val="0"/>
          <w:szCs w:val="22"/>
          <w:lang w:val="es-ES"/>
        </w:rPr>
      </w:pPr>
      <w:bookmarkStart w:id="24" w:name="_Toc535584961"/>
      <w:r w:rsidRPr="000D5434">
        <w:rPr>
          <w:szCs w:val="22"/>
          <w:lang w:val="es-ES"/>
        </w:rPr>
        <w:t>Diversidad cultural</w:t>
      </w:r>
      <w:bookmarkEnd w:id="24"/>
    </w:p>
    <w:p w:rsidR="00C0409B" w:rsidRPr="000D5434" w:rsidRDefault="00C0409B" w:rsidP="00103D66">
      <w:pPr>
        <w:pStyle w:val="ONUMFS"/>
        <w:numPr>
          <w:ilvl w:val="0"/>
          <w:numId w:val="0"/>
        </w:numPr>
        <w:rPr>
          <w:szCs w:val="22"/>
          <w:lang w:val="es-ES"/>
        </w:rPr>
      </w:pPr>
      <w:r w:rsidRPr="000D5434">
        <w:rPr>
          <w:szCs w:val="22"/>
          <w:lang w:val="es-ES"/>
        </w:rPr>
        <w:t xml:space="preserve">Según la </w:t>
      </w:r>
      <w:r w:rsidRPr="000D5434">
        <w:rPr>
          <w:i/>
          <w:szCs w:val="22"/>
          <w:lang w:val="es-ES"/>
        </w:rPr>
        <w:t>Convención sobre la Protección y la Promoción de la Diversidad de las Expresiones Culturales</w:t>
      </w:r>
      <w:r w:rsidRPr="000D5434">
        <w:rPr>
          <w:szCs w:val="22"/>
          <w:lang w:val="es-ES"/>
        </w:rPr>
        <w:t xml:space="preserve"> (2005),</w:t>
      </w:r>
      <w:r w:rsidR="00A120FA" w:rsidRPr="000D5434">
        <w:rPr>
          <w:szCs w:val="22"/>
          <w:lang w:val="es-ES"/>
        </w:rPr>
        <w:t xml:space="preserve"> de la Organización de las Naciones Unidas para la Educación, la Ciencia y la Cultura (UNESCO),</w:t>
      </w:r>
      <w:r w:rsidRPr="000D5434">
        <w:rPr>
          <w:szCs w:val="22"/>
          <w:lang w:val="es-ES"/>
        </w:rPr>
        <w:t xml:space="preserve"> por diversidad cultural se entiende “la multiplicidad de formas en que se expresan las culturas de los grupos y sociedades.</w:t>
      </w:r>
      <w:r w:rsidR="00B834A4" w:rsidRPr="000D5434">
        <w:rPr>
          <w:szCs w:val="22"/>
          <w:lang w:val="es-ES"/>
        </w:rPr>
        <w:t xml:space="preserve"> </w:t>
      </w:r>
      <w:r w:rsidRPr="000D5434">
        <w:rPr>
          <w:szCs w:val="22"/>
          <w:lang w:val="es-ES"/>
        </w:rPr>
        <w:t>Estas expresiones se transmiten dentro y entre los grupos y las sociedades”.</w:t>
      </w:r>
      <w:r w:rsidRPr="000D5434">
        <w:rPr>
          <w:rStyle w:val="FootnoteReference"/>
          <w:szCs w:val="22"/>
          <w:lang w:val="es-ES"/>
        </w:rPr>
        <w:footnoteReference w:id="26"/>
      </w:r>
    </w:p>
    <w:p w:rsidR="00C0409B" w:rsidRPr="000D5434" w:rsidRDefault="00C0409B" w:rsidP="00A758A0">
      <w:pPr>
        <w:pStyle w:val="Heading1"/>
        <w:rPr>
          <w:b w:val="0"/>
          <w:bCs w:val="0"/>
          <w:szCs w:val="22"/>
          <w:lang w:val="es-ES"/>
        </w:rPr>
      </w:pPr>
      <w:bookmarkStart w:id="25" w:name="_Toc535584962"/>
      <w:r w:rsidRPr="000D5434">
        <w:rPr>
          <w:szCs w:val="22"/>
          <w:lang w:val="es-ES"/>
        </w:rPr>
        <w:t>Expresiones culturales</w:t>
      </w:r>
      <w:bookmarkEnd w:id="25"/>
    </w:p>
    <w:p w:rsidR="00C0409B" w:rsidRPr="000D5434" w:rsidRDefault="00C0409B" w:rsidP="00E1039C">
      <w:pPr>
        <w:pStyle w:val="ONUMFS"/>
        <w:numPr>
          <w:ilvl w:val="0"/>
          <w:numId w:val="0"/>
        </w:numPr>
        <w:rPr>
          <w:szCs w:val="22"/>
          <w:lang w:val="es-ES"/>
        </w:rPr>
      </w:pPr>
      <w:r w:rsidRPr="000D5434">
        <w:rPr>
          <w:szCs w:val="22"/>
          <w:lang w:val="es-ES"/>
        </w:rPr>
        <w:t xml:space="preserve">Según la </w:t>
      </w:r>
      <w:r w:rsidRPr="000D5434">
        <w:rPr>
          <w:i/>
          <w:szCs w:val="22"/>
          <w:lang w:val="es-ES"/>
        </w:rPr>
        <w:t>Convención sobre la Protección y la Promoción de la Diversidad de las Expresiones Culturales</w:t>
      </w:r>
      <w:r w:rsidRPr="000D5434">
        <w:rPr>
          <w:szCs w:val="22"/>
          <w:lang w:val="es-ES"/>
        </w:rPr>
        <w:t xml:space="preserve">, </w:t>
      </w:r>
      <w:r w:rsidR="00A120FA" w:rsidRPr="000D5434">
        <w:rPr>
          <w:szCs w:val="22"/>
          <w:lang w:val="es-ES"/>
        </w:rPr>
        <w:t xml:space="preserve">de la UNESCO, </w:t>
      </w:r>
      <w:r w:rsidRPr="000D5434">
        <w:rPr>
          <w:szCs w:val="22"/>
          <w:lang w:val="es-ES"/>
        </w:rPr>
        <w:t>las expresiones culturales son “las expresiones resultantes de la creatividad de personas, grupos y sociedades, que poseen un contenido cultural”.</w:t>
      </w:r>
      <w:r w:rsidRPr="000D5434">
        <w:rPr>
          <w:rStyle w:val="FootnoteReference"/>
          <w:szCs w:val="22"/>
          <w:lang w:val="es-ES"/>
        </w:rPr>
        <w:footnoteReference w:id="27"/>
      </w:r>
    </w:p>
    <w:p w:rsidR="00C0409B" w:rsidRPr="000D5434" w:rsidRDefault="00C0409B" w:rsidP="00A758A0">
      <w:pPr>
        <w:pStyle w:val="Heading1"/>
        <w:rPr>
          <w:b w:val="0"/>
          <w:bCs w:val="0"/>
          <w:szCs w:val="22"/>
          <w:lang w:val="es-ES"/>
        </w:rPr>
      </w:pPr>
      <w:bookmarkStart w:id="26" w:name="_Toc535584963"/>
      <w:r w:rsidRPr="000D5434">
        <w:rPr>
          <w:szCs w:val="22"/>
          <w:lang w:val="es-ES"/>
        </w:rPr>
        <w:t>Patrimonio cultural</w:t>
      </w:r>
      <w:bookmarkEnd w:id="26"/>
    </w:p>
    <w:p w:rsidR="00C0409B" w:rsidRPr="000D5434" w:rsidRDefault="00C0409B" w:rsidP="00103D66">
      <w:pPr>
        <w:pStyle w:val="ONUMFS"/>
        <w:numPr>
          <w:ilvl w:val="0"/>
          <w:numId w:val="0"/>
        </w:numPr>
        <w:rPr>
          <w:szCs w:val="22"/>
          <w:lang w:val="es-ES"/>
        </w:rPr>
      </w:pPr>
      <w:r w:rsidRPr="000D5434">
        <w:rPr>
          <w:szCs w:val="22"/>
          <w:lang w:val="es-ES"/>
        </w:rPr>
        <w:t xml:space="preserve">Según el artículo 1 de la </w:t>
      </w:r>
      <w:r w:rsidRPr="000D5434">
        <w:rPr>
          <w:i/>
          <w:szCs w:val="22"/>
          <w:lang w:val="es-ES"/>
        </w:rPr>
        <w:t>Convención sobre la Protección del Patrimonio Mundial Cultural y Natural</w:t>
      </w:r>
      <w:r w:rsidRPr="000D5434">
        <w:rPr>
          <w:szCs w:val="22"/>
          <w:lang w:val="es-ES"/>
        </w:rPr>
        <w:t xml:space="preserve"> (1972), </w:t>
      </w:r>
      <w:r w:rsidR="00A120FA" w:rsidRPr="000D5434">
        <w:rPr>
          <w:szCs w:val="22"/>
          <w:lang w:val="es-ES"/>
        </w:rPr>
        <w:t xml:space="preserve">de la UNESCO, </w:t>
      </w:r>
      <w:r w:rsidRPr="000D5434">
        <w:rPr>
          <w:szCs w:val="22"/>
          <w:lang w:val="es-ES"/>
        </w:rPr>
        <w:t>el “patrimonio cultural” comprende lo siguiente:</w:t>
      </w:r>
    </w:p>
    <w:p w:rsidR="00C0409B" w:rsidRPr="000D5434" w:rsidRDefault="00C0409B" w:rsidP="00103D66">
      <w:pPr>
        <w:pStyle w:val="ONUMFS"/>
        <w:numPr>
          <w:ilvl w:val="0"/>
          <w:numId w:val="0"/>
        </w:numPr>
        <w:ind w:left="567"/>
        <w:rPr>
          <w:i/>
          <w:iCs/>
          <w:szCs w:val="22"/>
          <w:lang w:val="es-ES"/>
        </w:rPr>
      </w:pPr>
      <w:r w:rsidRPr="000D5434">
        <w:rPr>
          <w:i/>
          <w:iCs/>
          <w:szCs w:val="22"/>
          <w:lang w:val="es-ES"/>
        </w:rPr>
        <w:t>“a)</w:t>
      </w:r>
      <w:r w:rsidRPr="000D5434">
        <w:rPr>
          <w:i/>
          <w:iCs/>
          <w:szCs w:val="22"/>
          <w:lang w:val="es-ES"/>
        </w:rPr>
        <w:tab/>
        <w:t>monumentos:</w:t>
      </w:r>
      <w:r w:rsidR="00B834A4" w:rsidRPr="000D5434">
        <w:rPr>
          <w:i/>
          <w:iCs/>
          <w:szCs w:val="22"/>
          <w:lang w:val="es-ES"/>
        </w:rPr>
        <w:t xml:space="preserve"> </w:t>
      </w:r>
      <w:r w:rsidRPr="000D5434">
        <w:rPr>
          <w:i/>
          <w:iCs/>
          <w:szCs w:val="22"/>
          <w:lang w:val="es-ES"/>
        </w:rPr>
        <w:t>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0D5434" w:rsidRDefault="00C0409B" w:rsidP="00103D66">
      <w:pPr>
        <w:pStyle w:val="ONUMFS"/>
        <w:numPr>
          <w:ilvl w:val="0"/>
          <w:numId w:val="0"/>
        </w:numPr>
        <w:ind w:left="567"/>
        <w:rPr>
          <w:i/>
          <w:iCs/>
          <w:szCs w:val="22"/>
          <w:lang w:val="es-ES"/>
        </w:rPr>
      </w:pPr>
      <w:r w:rsidRPr="000D5434">
        <w:rPr>
          <w:i/>
          <w:iCs/>
          <w:szCs w:val="22"/>
          <w:lang w:val="es-ES"/>
        </w:rPr>
        <w:t>b)</w:t>
      </w:r>
      <w:r w:rsidRPr="000D5434">
        <w:rPr>
          <w:i/>
          <w:iCs/>
          <w:szCs w:val="22"/>
          <w:lang w:val="es-ES"/>
        </w:rPr>
        <w:tab/>
        <w:t>conjuntos:</w:t>
      </w:r>
      <w:r w:rsidR="00B834A4" w:rsidRPr="000D5434">
        <w:rPr>
          <w:i/>
          <w:iCs/>
          <w:szCs w:val="22"/>
          <w:lang w:val="es-ES"/>
        </w:rPr>
        <w:t xml:space="preserve"> </w:t>
      </w:r>
      <w:r w:rsidRPr="000D5434">
        <w:rPr>
          <w:i/>
          <w:iCs/>
          <w:szCs w:val="22"/>
          <w:lang w:val="es-ES"/>
        </w:rPr>
        <w:t>grupos de construcciones, aisladas o reunidas, cuya arquitectura, unidad e integración en el paisaje les dé un valor universal excepcional desde el punto de vista de la historia, del arte o de la ciencia;</w:t>
      </w:r>
    </w:p>
    <w:p w:rsidR="00C0409B" w:rsidRPr="000D5434" w:rsidRDefault="00C0409B" w:rsidP="00103D66">
      <w:pPr>
        <w:pStyle w:val="ONUMFS"/>
        <w:numPr>
          <w:ilvl w:val="0"/>
          <w:numId w:val="0"/>
        </w:numPr>
        <w:ind w:left="567"/>
        <w:rPr>
          <w:szCs w:val="22"/>
          <w:lang w:val="es-ES"/>
        </w:rPr>
      </w:pPr>
      <w:r w:rsidRPr="000D5434">
        <w:rPr>
          <w:i/>
          <w:iCs/>
          <w:szCs w:val="22"/>
          <w:lang w:val="es-ES"/>
        </w:rPr>
        <w:t>c)</w:t>
      </w:r>
      <w:r w:rsidRPr="000D5434">
        <w:rPr>
          <w:i/>
          <w:iCs/>
          <w:szCs w:val="22"/>
          <w:lang w:val="es-ES"/>
        </w:rPr>
        <w:tab/>
        <w:t>lugares:</w:t>
      </w:r>
      <w:r w:rsidR="00B834A4" w:rsidRPr="000D5434">
        <w:rPr>
          <w:i/>
          <w:iCs/>
          <w:szCs w:val="22"/>
          <w:lang w:val="es-ES"/>
        </w:rPr>
        <w:t xml:space="preserve"> </w:t>
      </w:r>
      <w:r w:rsidRPr="000D5434">
        <w:rPr>
          <w:i/>
          <w:iCs/>
          <w:szCs w:val="22"/>
          <w:lang w:val="es-ES"/>
        </w:rPr>
        <w:t>obras del hombre u obras conjuntas del hombre y la naturaleza así como las zonas incluidos los lugares arqueológicos que tengan un valor universal excepcional desde el punto de vista histórico, estético, etnológico o antropológico.”</w:t>
      </w:r>
    </w:p>
    <w:p w:rsidR="00C0409B" w:rsidRPr="000D5434" w:rsidRDefault="00C0409B" w:rsidP="00A758A0">
      <w:pPr>
        <w:pStyle w:val="Heading1"/>
        <w:rPr>
          <w:b w:val="0"/>
          <w:bCs w:val="0"/>
          <w:szCs w:val="22"/>
          <w:lang w:val="es-ES"/>
        </w:rPr>
      </w:pPr>
      <w:bookmarkStart w:id="27" w:name="_Toc535584964"/>
      <w:r w:rsidRPr="000D5434">
        <w:rPr>
          <w:szCs w:val="22"/>
          <w:lang w:val="es-ES"/>
        </w:rPr>
        <w:t>Identidad cultural</w:t>
      </w:r>
      <w:bookmarkEnd w:id="27"/>
    </w:p>
    <w:p w:rsidR="00C0409B" w:rsidRPr="000D5434" w:rsidRDefault="00C0409B" w:rsidP="00103D66">
      <w:pPr>
        <w:pStyle w:val="ONUMFS"/>
        <w:numPr>
          <w:ilvl w:val="0"/>
          <w:numId w:val="0"/>
        </w:numPr>
        <w:rPr>
          <w:szCs w:val="22"/>
          <w:lang w:val="es-ES"/>
        </w:rPr>
      </w:pPr>
      <w:r w:rsidRPr="000D5434">
        <w:rPr>
          <w:szCs w:val="22"/>
          <w:lang w:val="es-ES"/>
        </w:rPr>
        <w:t>Designa la correspondencia que existe entre la comunidad (nacional, étnica, lingüística, etcétera) y su vida cultural, así como el derecho de la comunidad a la propia cultura.</w:t>
      </w:r>
      <w:r w:rsidRPr="000D5434">
        <w:rPr>
          <w:rStyle w:val="FootnoteReference"/>
          <w:szCs w:val="22"/>
          <w:lang w:val="es-ES"/>
        </w:rPr>
        <w:footnoteReference w:id="28"/>
      </w:r>
      <w:r w:rsidR="00B834A4" w:rsidRPr="000D5434">
        <w:rPr>
          <w:szCs w:val="22"/>
          <w:lang w:val="es-ES"/>
        </w:rPr>
        <w:t xml:space="preserve"> </w:t>
      </w:r>
      <w:r w:rsidRPr="000D5434">
        <w:rPr>
          <w:szCs w:val="22"/>
          <w:lang w:val="es-ES"/>
        </w:rPr>
        <w:t xml:space="preserve">En el </w:t>
      </w:r>
      <w:r w:rsidRPr="000D5434">
        <w:rPr>
          <w:i/>
          <w:szCs w:val="22"/>
          <w:lang w:val="es-ES"/>
        </w:rPr>
        <w:t>Convenio Nº 169 sobre pueblos indígenas y tribales en países independientes</w:t>
      </w:r>
      <w:r w:rsidRPr="000D5434">
        <w:rPr>
          <w:szCs w:val="22"/>
          <w:lang w:val="es-ES"/>
        </w:rPr>
        <w:t xml:space="preserve"> (1989)</w:t>
      </w:r>
      <w:r w:rsidR="00A120FA" w:rsidRPr="000D5434">
        <w:rPr>
          <w:szCs w:val="22"/>
          <w:lang w:val="es-ES"/>
        </w:rPr>
        <w:t>, de la OIT,</w:t>
      </w:r>
      <w:r w:rsidRPr="000D5434">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0D5434">
        <w:rPr>
          <w:rStyle w:val="FootnoteReference"/>
          <w:szCs w:val="22"/>
          <w:lang w:val="es-ES"/>
        </w:rPr>
        <w:footnoteReference w:id="29"/>
      </w:r>
    </w:p>
    <w:p w:rsidR="00C0409B" w:rsidRPr="000D5434" w:rsidRDefault="00C0409B" w:rsidP="00A758A0">
      <w:pPr>
        <w:pStyle w:val="Heading1"/>
        <w:rPr>
          <w:b w:val="0"/>
          <w:bCs w:val="0"/>
          <w:szCs w:val="22"/>
          <w:lang w:val="es-ES"/>
        </w:rPr>
      </w:pPr>
      <w:bookmarkStart w:id="28" w:name="_Toc535584965"/>
      <w:r w:rsidRPr="000D5434">
        <w:rPr>
          <w:szCs w:val="22"/>
          <w:lang w:val="es-ES"/>
        </w:rPr>
        <w:lastRenderedPageBreak/>
        <w:t>Bienes culturales</w:t>
      </w:r>
      <w:bookmarkEnd w:id="28"/>
    </w:p>
    <w:p w:rsidR="00C0409B" w:rsidRPr="000D5434" w:rsidRDefault="00C0409B" w:rsidP="00103D66">
      <w:pPr>
        <w:pStyle w:val="ONUMFS"/>
        <w:numPr>
          <w:ilvl w:val="0"/>
          <w:numId w:val="0"/>
        </w:numPr>
        <w:rPr>
          <w:szCs w:val="22"/>
          <w:lang w:val="es-ES"/>
        </w:rPr>
      </w:pPr>
      <w:r w:rsidRPr="000D5434">
        <w:rPr>
          <w:szCs w:val="22"/>
          <w:lang w:val="es-ES"/>
        </w:rPr>
        <w:t xml:space="preserve">Según la </w:t>
      </w:r>
      <w:r w:rsidR="008C07C1" w:rsidRPr="000D5434">
        <w:rPr>
          <w:szCs w:val="22"/>
          <w:lang w:val="es-ES"/>
        </w:rPr>
        <w:t xml:space="preserve">el Artículo 1 de la </w:t>
      </w:r>
      <w:r w:rsidRPr="000D5434">
        <w:rPr>
          <w:i/>
          <w:szCs w:val="22"/>
          <w:lang w:val="es-ES"/>
        </w:rPr>
        <w:t>Convención sobre las medidas que deben adoptarse para prohibir e impedir la importación, la exportación y la transferencia de propiedad ilícitas de bienes culturales</w:t>
      </w:r>
      <w:r w:rsidRPr="000D5434">
        <w:rPr>
          <w:szCs w:val="22"/>
          <w:lang w:val="es-ES"/>
        </w:rPr>
        <w:t xml:space="preserve"> (1970),</w:t>
      </w:r>
      <w:r w:rsidR="00A120FA" w:rsidRPr="000D5434">
        <w:rPr>
          <w:szCs w:val="22"/>
          <w:lang w:val="es-ES"/>
        </w:rPr>
        <w:t xml:space="preserve"> de la UNESCO,</w:t>
      </w:r>
      <w:r w:rsidRPr="000D5434">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r w:rsidR="00B834A4" w:rsidRPr="000D5434">
        <w:rPr>
          <w:szCs w:val="22"/>
          <w:lang w:val="es-ES"/>
        </w:rPr>
        <w:t xml:space="preserve"> </w:t>
      </w:r>
      <w:r w:rsidRPr="000D5434">
        <w:rPr>
          <w:szCs w:val="22"/>
          <w:lang w:val="es-ES"/>
        </w:rPr>
        <w:t>a) las colecciones y ejemplares raros de zoología, botánica, mineralogía, anatomía, y los objetos de interés paleontológico;</w:t>
      </w:r>
      <w:r w:rsidR="00B834A4" w:rsidRPr="000D5434">
        <w:rPr>
          <w:szCs w:val="22"/>
          <w:lang w:val="es-ES"/>
        </w:rPr>
        <w:t xml:space="preserve"> </w:t>
      </w:r>
      <w:r w:rsidRPr="000D5434">
        <w:rPr>
          <w:szCs w:val="22"/>
          <w:lang w:val="es-ES"/>
        </w:rPr>
        <w:t>b) los bienes relacionados con la historia, con inclusión de la historia de las ciencias y de las técnicas, la historia militar y la historia social, así como con la vida de los dirigentes, pensadores, sabios y artistas nacionales y con los acontecimientos de importancia nacional;</w:t>
      </w:r>
      <w:r w:rsidR="00B834A4" w:rsidRPr="000D5434">
        <w:rPr>
          <w:szCs w:val="22"/>
          <w:lang w:val="es-ES"/>
        </w:rPr>
        <w:t xml:space="preserve"> </w:t>
      </w:r>
      <w:r w:rsidRPr="000D5434">
        <w:rPr>
          <w:szCs w:val="22"/>
          <w:lang w:val="es-ES"/>
        </w:rPr>
        <w:t>c) el producto de las excavaciones (tanto autorizadas como clandestinas) o de los descubrimientos arqueológicos;</w:t>
      </w:r>
      <w:r w:rsidR="00B834A4" w:rsidRPr="000D5434">
        <w:rPr>
          <w:szCs w:val="22"/>
          <w:lang w:val="es-ES"/>
        </w:rPr>
        <w:t xml:space="preserve"> </w:t>
      </w:r>
      <w:r w:rsidRPr="000D5434">
        <w:rPr>
          <w:szCs w:val="22"/>
          <w:lang w:val="es-ES"/>
        </w:rPr>
        <w:t>d) los elementos procedentes de la desmembración de monumentos artísticos o históricos y de lugares de interés arqueológico;</w:t>
      </w:r>
      <w:r w:rsidR="00B834A4" w:rsidRPr="000D5434">
        <w:rPr>
          <w:szCs w:val="22"/>
          <w:lang w:val="es-ES"/>
        </w:rPr>
        <w:t xml:space="preserve"> </w:t>
      </w:r>
      <w:r w:rsidRPr="000D5434">
        <w:rPr>
          <w:szCs w:val="22"/>
          <w:lang w:val="es-ES"/>
        </w:rPr>
        <w:t>e) antigüedades que tengan más de 100 años, tales como inscripciones, monedas y sellos grabados:</w:t>
      </w:r>
      <w:r w:rsidR="00B834A4" w:rsidRPr="000D5434">
        <w:rPr>
          <w:szCs w:val="22"/>
          <w:lang w:val="es-ES"/>
        </w:rPr>
        <w:t xml:space="preserve"> </w:t>
      </w:r>
      <w:r w:rsidRPr="000D5434">
        <w:rPr>
          <w:szCs w:val="22"/>
          <w:lang w:val="es-ES"/>
        </w:rPr>
        <w:t>f) el material etnológico;</w:t>
      </w:r>
      <w:r w:rsidR="00B834A4" w:rsidRPr="000D5434">
        <w:rPr>
          <w:szCs w:val="22"/>
          <w:lang w:val="es-ES"/>
        </w:rPr>
        <w:t xml:space="preserve"> </w:t>
      </w:r>
      <w:r w:rsidRPr="000D5434">
        <w:rPr>
          <w:szCs w:val="22"/>
          <w:lang w:val="es-ES"/>
        </w:rPr>
        <w:t>g) los bienes de interés artístico tales como:</w:t>
      </w:r>
      <w:r w:rsidR="00B834A4" w:rsidRPr="000D5434">
        <w:rPr>
          <w:szCs w:val="22"/>
          <w:lang w:val="es-ES"/>
        </w:rPr>
        <w:t xml:space="preserve"> </w:t>
      </w:r>
      <w:r w:rsidRPr="000D5434">
        <w:rPr>
          <w:szCs w:val="22"/>
          <w:lang w:val="es-ES"/>
        </w:rPr>
        <w:t>i) cuadros, pinturas y dibujos hechos enteramente a mano sobre cualquier soporte y en cualquier material (con exclusión de los dibujos industriales y de los artículos manufacturados decorados a mano);</w:t>
      </w:r>
      <w:r w:rsidR="00B834A4" w:rsidRPr="000D5434">
        <w:rPr>
          <w:szCs w:val="22"/>
          <w:lang w:val="es-ES"/>
        </w:rPr>
        <w:t xml:space="preserve"> </w:t>
      </w:r>
      <w:r w:rsidRPr="000D5434">
        <w:rPr>
          <w:szCs w:val="22"/>
          <w:lang w:val="es-ES"/>
        </w:rPr>
        <w:t>ii) producciones originales de arte estatuario y de escultura en cualquier material;</w:t>
      </w:r>
      <w:r w:rsidR="00B834A4" w:rsidRPr="000D5434">
        <w:rPr>
          <w:szCs w:val="22"/>
          <w:lang w:val="es-ES"/>
        </w:rPr>
        <w:t xml:space="preserve"> </w:t>
      </w:r>
      <w:r w:rsidRPr="000D5434">
        <w:rPr>
          <w:szCs w:val="22"/>
          <w:lang w:val="es-ES"/>
        </w:rPr>
        <w:t>iii) grabados, estampas y litografías originales;</w:t>
      </w:r>
      <w:r w:rsidR="00B834A4" w:rsidRPr="000D5434">
        <w:rPr>
          <w:szCs w:val="22"/>
          <w:lang w:val="es-ES"/>
        </w:rPr>
        <w:t xml:space="preserve"> </w:t>
      </w:r>
      <w:r w:rsidRPr="000D5434">
        <w:rPr>
          <w:szCs w:val="22"/>
          <w:lang w:val="es-ES"/>
        </w:rPr>
        <w:t>iv) conjuntos y montajes artísticos originales en cualquier materia;</w:t>
      </w:r>
      <w:r w:rsidR="00B834A4" w:rsidRPr="000D5434">
        <w:rPr>
          <w:szCs w:val="22"/>
          <w:lang w:val="es-ES"/>
        </w:rPr>
        <w:t xml:space="preserve"> </w:t>
      </w:r>
      <w:r w:rsidRPr="000D5434">
        <w:rPr>
          <w:szCs w:val="22"/>
          <w:lang w:val="es-ES"/>
        </w:rPr>
        <w:t>h) manuscritos raros e incunables, libros, documentos y publicaciones antiguos de interés especial (histórico, artístico, científico, literario, etc.) sueltos o en colecciones;</w:t>
      </w:r>
      <w:r w:rsidR="00B834A4" w:rsidRPr="000D5434">
        <w:rPr>
          <w:szCs w:val="22"/>
          <w:lang w:val="es-ES"/>
        </w:rPr>
        <w:t xml:space="preserve"> </w:t>
      </w:r>
      <w:r w:rsidRPr="000D5434">
        <w:rPr>
          <w:szCs w:val="22"/>
          <w:lang w:val="es-ES"/>
        </w:rPr>
        <w:t>i) sellos de correo, sellos fiscales y análogos, sueltos o en colecciones;</w:t>
      </w:r>
      <w:r w:rsidR="00B834A4" w:rsidRPr="000D5434">
        <w:rPr>
          <w:szCs w:val="22"/>
          <w:lang w:val="es-ES"/>
        </w:rPr>
        <w:t xml:space="preserve"> </w:t>
      </w:r>
      <w:r w:rsidRPr="000D5434">
        <w:rPr>
          <w:szCs w:val="22"/>
          <w:lang w:val="es-ES"/>
        </w:rPr>
        <w:t>j) archivos, incluidos los fonográficos, fotográficos y cinematográficos;</w:t>
      </w:r>
      <w:r w:rsidR="00B834A4" w:rsidRPr="000D5434">
        <w:rPr>
          <w:szCs w:val="22"/>
          <w:lang w:val="es-ES"/>
        </w:rPr>
        <w:t xml:space="preserve"> </w:t>
      </w:r>
      <w:r w:rsidRPr="000D5434">
        <w:rPr>
          <w:szCs w:val="22"/>
          <w:lang w:val="es-ES"/>
        </w:rPr>
        <w:t>k) objetos de mobiliario que tengan más de 100 años e instrumentos de música antiguos”.</w:t>
      </w:r>
    </w:p>
    <w:p w:rsidR="00C0409B" w:rsidRPr="000D5434" w:rsidRDefault="00C0409B" w:rsidP="00A758A0">
      <w:pPr>
        <w:pStyle w:val="Heading1"/>
        <w:rPr>
          <w:b w:val="0"/>
          <w:bCs w:val="0"/>
          <w:szCs w:val="22"/>
          <w:lang w:val="es-ES"/>
        </w:rPr>
      </w:pPr>
      <w:bookmarkStart w:id="29" w:name="_Toc535584966"/>
      <w:r w:rsidRPr="000D5434">
        <w:rPr>
          <w:szCs w:val="22"/>
          <w:lang w:val="es-ES"/>
        </w:rPr>
        <w:t>Custodio</w:t>
      </w:r>
      <w:bookmarkEnd w:id="29"/>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el término “custodio” como “cuidador, guardián, vigilante, depositario”.</w:t>
      </w:r>
      <w:r w:rsidR="00B834A4" w:rsidRPr="000D5434">
        <w:rPr>
          <w:szCs w:val="22"/>
          <w:lang w:val="es-ES"/>
        </w:rPr>
        <w:t xml:space="preserve"> </w:t>
      </w:r>
      <w:r w:rsidRPr="000D5434">
        <w:rPr>
          <w:szCs w:val="22"/>
          <w:lang w:val="es-ES"/>
        </w:rPr>
        <w:t xml:space="preserve">A su vez, en el </w:t>
      </w:r>
      <w:r w:rsidRPr="000D5434">
        <w:rPr>
          <w:iCs/>
          <w:szCs w:val="22"/>
          <w:lang w:val="es-ES"/>
        </w:rPr>
        <w:t>Diccionario de la lengua española</w:t>
      </w:r>
      <w:r w:rsidRPr="000D5434">
        <w:rPr>
          <w:szCs w:val="22"/>
          <w:lang w:val="es-ES"/>
        </w:rPr>
        <w:t xml:space="preserve"> de la Real Academia Española se define “custodio” como “encargado de custodiar”, y el verbo “custodiar” como “guardar con cuidado y vigilancia”.</w:t>
      </w:r>
      <w:r w:rsidR="00B834A4" w:rsidRPr="000D5434">
        <w:rPr>
          <w:szCs w:val="22"/>
          <w:lang w:val="es-ES"/>
        </w:rPr>
        <w:t xml:space="preserve"> </w:t>
      </w:r>
      <w:r w:rsidRPr="000D5434">
        <w:rPr>
          <w:szCs w:val="22"/>
          <w:lang w:val="es-ES"/>
        </w:rPr>
        <w:t>Cabanellas precisa “que es también la guarda o tenencia de cosa ajena que se administra o conserva con cuidado hasta su entrega al legítimo dueño”.</w:t>
      </w:r>
      <w:r w:rsidR="00B834A4" w:rsidRPr="000D5434">
        <w:rPr>
          <w:szCs w:val="22"/>
          <w:lang w:val="es-ES"/>
        </w:rPr>
        <w:t xml:space="preserve"> </w:t>
      </w:r>
      <w:r w:rsidRPr="000D5434">
        <w:rPr>
          <w:szCs w:val="22"/>
          <w:lang w:val="es-ES"/>
        </w:rPr>
        <w:t>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w:t>
      </w:r>
      <w:r w:rsidR="00B834A4" w:rsidRPr="000D5434">
        <w:rPr>
          <w:szCs w:val="22"/>
          <w:lang w:val="es-ES"/>
        </w:rPr>
        <w:t xml:space="preserve"> </w:t>
      </w:r>
      <w:r w:rsidRPr="000D5434">
        <w:rPr>
          <w:szCs w:val="22"/>
          <w:lang w:val="es-ES"/>
        </w:rPr>
        <w:t>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30" w:name="sdfootnote15anc"/>
      <w:r w:rsidRPr="000D5434">
        <w:rPr>
          <w:szCs w:val="22"/>
          <w:lang w:val="es-ES"/>
        </w:rPr>
        <w:t>.</w:t>
      </w:r>
      <w:bookmarkEnd w:id="30"/>
    </w:p>
    <w:p w:rsidR="00C0409B" w:rsidRPr="000D5434" w:rsidRDefault="00C0409B" w:rsidP="00A758A0">
      <w:pPr>
        <w:pStyle w:val="Heading1"/>
        <w:rPr>
          <w:b w:val="0"/>
          <w:bCs w:val="0"/>
          <w:szCs w:val="22"/>
          <w:lang w:val="es-ES"/>
        </w:rPr>
      </w:pPr>
      <w:bookmarkStart w:id="31" w:name="_Toc535584967"/>
      <w:r w:rsidRPr="000D5434">
        <w:rPr>
          <w:szCs w:val="22"/>
          <w:lang w:val="es-ES"/>
        </w:rPr>
        <w:t>Contexto consuetudinario</w:t>
      </w:r>
      <w:bookmarkEnd w:id="31"/>
    </w:p>
    <w:p w:rsidR="00C0409B" w:rsidRPr="000D5434" w:rsidRDefault="00C0409B" w:rsidP="00103D66">
      <w:pPr>
        <w:pStyle w:val="ONUMFS"/>
        <w:numPr>
          <w:ilvl w:val="0"/>
          <w:numId w:val="0"/>
        </w:numPr>
        <w:rPr>
          <w:szCs w:val="22"/>
          <w:lang w:val="es-ES"/>
        </w:rPr>
      </w:pPr>
      <w:r w:rsidRPr="000D5434">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0D5434">
        <w:rPr>
          <w:rStyle w:val="FootnoteReference"/>
          <w:szCs w:val="22"/>
          <w:lang w:val="es-ES"/>
        </w:rPr>
        <w:footnoteReference w:id="30"/>
      </w:r>
    </w:p>
    <w:p w:rsidR="00C0409B" w:rsidRPr="000D5434" w:rsidRDefault="00C0409B" w:rsidP="00A758A0">
      <w:pPr>
        <w:pStyle w:val="Heading1"/>
        <w:rPr>
          <w:b w:val="0"/>
          <w:bCs w:val="0"/>
          <w:szCs w:val="22"/>
          <w:lang w:val="es-ES"/>
        </w:rPr>
      </w:pPr>
      <w:bookmarkStart w:id="32" w:name="_Toc535584968"/>
      <w:r w:rsidRPr="000D5434">
        <w:rPr>
          <w:szCs w:val="22"/>
          <w:lang w:val="es-ES"/>
        </w:rPr>
        <w:lastRenderedPageBreak/>
        <w:t>Derecho y protocolos consuetudinarios</w:t>
      </w:r>
      <w:bookmarkEnd w:id="32"/>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el Derecho consuetudinario como “el que nace de la costumbre;</w:t>
      </w:r>
      <w:r w:rsidR="00B834A4" w:rsidRPr="000D5434">
        <w:rPr>
          <w:szCs w:val="22"/>
          <w:lang w:val="es-ES"/>
        </w:rPr>
        <w:t xml:space="preserve"> </w:t>
      </w:r>
      <w:r w:rsidRPr="000D5434">
        <w:rPr>
          <w:szCs w:val="22"/>
          <w:lang w:val="es-ES"/>
        </w:rPr>
        <w:t>el Derecho no escrito.</w:t>
      </w:r>
      <w:r w:rsidR="00B834A4" w:rsidRPr="000D5434">
        <w:rPr>
          <w:szCs w:val="22"/>
          <w:lang w:val="es-ES"/>
        </w:rPr>
        <w:t xml:space="preserve"> </w:t>
      </w:r>
      <w:r w:rsidRPr="000D5434">
        <w:rPr>
          <w:szCs w:val="22"/>
          <w:lang w:val="es-ES"/>
        </w:rPr>
        <w:t>En los pueblos primitivos, en un estadio preliminar de la cultura jurídica, este Derecho es el primero y exclusivo durante mucho tiempo”.</w:t>
      </w:r>
      <w:r w:rsidR="00B834A4" w:rsidRPr="000D5434">
        <w:rPr>
          <w:szCs w:val="22"/>
          <w:lang w:val="es-ES"/>
        </w:rPr>
        <w:t xml:space="preserve"> </w:t>
      </w:r>
      <w:r w:rsidRPr="000D5434">
        <w:rPr>
          <w:szCs w:val="22"/>
          <w:lang w:val="es-ES"/>
        </w:rPr>
        <w:t>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0D5434">
        <w:rPr>
          <w:rStyle w:val="FootnoteReference"/>
          <w:szCs w:val="22"/>
          <w:lang w:val="es-ES"/>
        </w:rPr>
        <w:footnoteReference w:id="31"/>
      </w:r>
      <w:r w:rsidR="00B834A4" w:rsidRPr="000D5434">
        <w:rPr>
          <w:szCs w:val="22"/>
          <w:lang w:val="es-ES"/>
        </w:rPr>
        <w:t xml:space="preserve"> </w:t>
      </w:r>
      <w:r w:rsidRPr="000D5434">
        <w:rPr>
          <w:szCs w:val="22"/>
          <w:lang w:val="es-ES"/>
        </w:rPr>
        <w:t>La forma en que están plasmadas las leyes consuetudinarias difiere de un caso a otro.</w:t>
      </w:r>
      <w:r w:rsidR="00B834A4" w:rsidRPr="000D5434">
        <w:rPr>
          <w:szCs w:val="22"/>
          <w:lang w:val="es-ES"/>
        </w:rPr>
        <w:t xml:space="preserve"> </w:t>
      </w:r>
      <w:r w:rsidRPr="000D5434">
        <w:rPr>
          <w:szCs w:val="22"/>
          <w:lang w:val="es-ES"/>
        </w:rPr>
        <w:t>Por ejemplo, dichas leyes pueden estar codificadas, escritas o ser orales, y estar formuladas explícitamente o aplicadas en prácticas tradicionales.</w:t>
      </w:r>
      <w:r w:rsidR="00B834A4" w:rsidRPr="000D5434">
        <w:rPr>
          <w:szCs w:val="22"/>
          <w:lang w:val="es-ES"/>
        </w:rPr>
        <w:t xml:space="preserve"> </w:t>
      </w:r>
      <w:r w:rsidRPr="000D5434">
        <w:rPr>
          <w:szCs w:val="22"/>
          <w:lang w:val="es-ES"/>
        </w:rPr>
        <w:t>Otro elemento importante es determinar en qué medida esas leyes son realmente objeto de reconocimiento “oficial” o están vinculadas al sistema jurídico nacional del país en el que reside la comunidad.</w:t>
      </w:r>
      <w:r w:rsidR="00B834A4" w:rsidRPr="000D5434">
        <w:rPr>
          <w:szCs w:val="22"/>
          <w:lang w:val="es-ES"/>
        </w:rPr>
        <w:t xml:space="preserve"> </w:t>
      </w:r>
      <w:r w:rsidRPr="000D5434">
        <w:rPr>
          <w:szCs w:val="22"/>
          <w:lang w:val="es-ES"/>
        </w:rPr>
        <w:t>Un factor decisivo a la hora de determinar si las costumbres gozan de la condición de ley es saber si la comunidad las concibe en tanto que normas con efecto vinculante o si se trata únicamente de una forma de describir prácticas concretas.</w:t>
      </w:r>
    </w:p>
    <w:p w:rsidR="00C0409B" w:rsidRPr="000D5434" w:rsidRDefault="00C0409B" w:rsidP="00E1039C">
      <w:pPr>
        <w:pStyle w:val="ONUMFS"/>
        <w:numPr>
          <w:ilvl w:val="0"/>
          <w:numId w:val="0"/>
        </w:numPr>
        <w:rPr>
          <w:szCs w:val="22"/>
          <w:lang w:val="es-ES"/>
        </w:rPr>
      </w:pPr>
      <w:r w:rsidRPr="000D5434">
        <w:rPr>
          <w:szCs w:val="22"/>
          <w:lang w:val="es-ES"/>
        </w:rPr>
        <w:t>Las normas del Derecho consuetudinario rigen numerosos aspectos de la vida de la comunidad.</w:t>
      </w:r>
      <w:r w:rsidR="00B834A4" w:rsidRPr="000D5434">
        <w:rPr>
          <w:szCs w:val="22"/>
          <w:lang w:val="es-ES"/>
        </w:rPr>
        <w:t xml:space="preserve"> </w:t>
      </w:r>
      <w:r w:rsidRPr="000D5434">
        <w:rPr>
          <w:szCs w:val="22"/>
          <w:lang w:val="es-ES"/>
        </w:rPr>
        <w:t>Fijan los derechos y las obligaciones de los miembros de las comunidades en lo tocante a aspectos importantes de su vida, su cultura y su visión del mundo:</w:t>
      </w:r>
      <w:r w:rsidR="00B834A4" w:rsidRPr="000D5434">
        <w:rPr>
          <w:szCs w:val="22"/>
          <w:lang w:val="es-ES"/>
        </w:rPr>
        <w:t xml:space="preserve"> </w:t>
      </w:r>
      <w:r w:rsidRPr="000D5434">
        <w:rPr>
          <w:szCs w:val="22"/>
          <w:lang w:val="es-ES"/>
        </w:rPr>
        <w:t>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0D5434">
        <w:rPr>
          <w:rStyle w:val="FootnoteReference"/>
          <w:szCs w:val="22"/>
          <w:lang w:val="es-ES"/>
        </w:rPr>
        <w:footnoteReference w:id="32"/>
      </w:r>
      <w:r w:rsidR="00B834A4" w:rsidRPr="000D5434">
        <w:rPr>
          <w:szCs w:val="22"/>
          <w:lang w:val="es-ES"/>
        </w:rPr>
        <w:t xml:space="preserve"> </w:t>
      </w:r>
      <w:r w:rsidRPr="000D5434">
        <w:rPr>
          <w:szCs w:val="22"/>
          <w:lang w:val="es-ES"/>
        </w:rPr>
        <w:t>Se ha sostenido que el “Derecho consuetudinario está constituido por las costumbres indígenas de las comunidades tradicionales, y la infracción de las normas acarrea sanciones locales.</w:t>
      </w:r>
      <w:r w:rsidR="00B834A4" w:rsidRPr="000D5434">
        <w:rPr>
          <w:szCs w:val="22"/>
          <w:lang w:val="es-ES"/>
        </w:rPr>
        <w:t xml:space="preserve"> </w:t>
      </w:r>
      <w:r w:rsidRPr="000D5434">
        <w:rPr>
          <w:szCs w:val="22"/>
          <w:lang w:val="es-ES"/>
        </w:rPr>
        <w:t>La mayoría de las normas no están recogidas por escrito y no hay uniformidad en las leyes tradicionales entre los diferentes grupos étnicos.</w:t>
      </w:r>
      <w:r w:rsidR="00B834A4" w:rsidRPr="000D5434">
        <w:rPr>
          <w:szCs w:val="22"/>
          <w:lang w:val="es-ES"/>
        </w:rPr>
        <w:t xml:space="preserve"> </w:t>
      </w:r>
      <w:r w:rsidRPr="000D5434">
        <w:rPr>
          <w:szCs w:val="22"/>
          <w:lang w:val="es-ES"/>
        </w:rPr>
        <w:t>Las diferencias de las leyes tradicionales entre grupos étnicos se pueden vincular a factores como la lengua, la proximidad, el origen, la historia, la estructura social y la economía.</w:t>
      </w:r>
      <w:r w:rsidR="00B834A4" w:rsidRPr="000D5434">
        <w:rPr>
          <w:szCs w:val="22"/>
          <w:lang w:val="es-ES"/>
        </w:rPr>
        <w:t xml:space="preserve"> </w:t>
      </w:r>
      <w:r w:rsidRPr="000D5434">
        <w:rPr>
          <w:szCs w:val="22"/>
          <w:lang w:val="es-ES"/>
        </w:rPr>
        <w:t>El Derecho consuetudinario no es estático.</w:t>
      </w:r>
      <w:r w:rsidR="00B834A4" w:rsidRPr="000D5434">
        <w:rPr>
          <w:szCs w:val="22"/>
          <w:lang w:val="es-ES"/>
        </w:rPr>
        <w:t xml:space="preserve"> </w:t>
      </w:r>
      <w:r w:rsidRPr="000D5434">
        <w:rPr>
          <w:szCs w:val="22"/>
          <w:lang w:val="es-ES"/>
        </w:rPr>
        <w:t>Es dinámico y sus reglas se modifican de vez en cuando para reflejar las cambiantes condiciones sociales y económicas.</w:t>
      </w:r>
      <w:r w:rsidRPr="000D5434">
        <w:rPr>
          <w:rStyle w:val="FootnoteReference"/>
          <w:szCs w:val="22"/>
          <w:lang w:val="es-ES"/>
        </w:rPr>
        <w:footnoteReference w:id="33"/>
      </w:r>
    </w:p>
    <w:p w:rsidR="00C0409B" w:rsidRPr="000D5434" w:rsidRDefault="00C0409B" w:rsidP="00103D66">
      <w:pPr>
        <w:pStyle w:val="ONUMFS"/>
        <w:numPr>
          <w:ilvl w:val="0"/>
          <w:numId w:val="0"/>
        </w:numPr>
        <w:rPr>
          <w:szCs w:val="22"/>
          <w:lang w:val="es-ES"/>
        </w:rPr>
      </w:pPr>
      <w:r w:rsidRPr="000D5434">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0409B" w:rsidRPr="000D5434" w:rsidRDefault="00C0409B" w:rsidP="00A758A0">
      <w:pPr>
        <w:pStyle w:val="Heading1"/>
        <w:rPr>
          <w:b w:val="0"/>
          <w:bCs w:val="0"/>
          <w:szCs w:val="22"/>
          <w:lang w:val="es-ES"/>
        </w:rPr>
      </w:pPr>
      <w:bookmarkStart w:id="33" w:name="_Toc535584969"/>
      <w:r w:rsidRPr="000D5434">
        <w:rPr>
          <w:szCs w:val="22"/>
          <w:lang w:val="es-ES"/>
        </w:rPr>
        <w:t>Prácticas consuetudinarias</w:t>
      </w:r>
      <w:bookmarkEnd w:id="33"/>
    </w:p>
    <w:p w:rsidR="00C0409B" w:rsidRPr="000D5434" w:rsidRDefault="00C0409B" w:rsidP="00103D66">
      <w:pPr>
        <w:pStyle w:val="ONUMFS"/>
        <w:numPr>
          <w:ilvl w:val="0"/>
          <w:numId w:val="0"/>
        </w:numPr>
        <w:rPr>
          <w:szCs w:val="22"/>
          <w:lang w:val="es-ES"/>
        </w:rPr>
      </w:pPr>
      <w:r w:rsidRPr="000D5434">
        <w:rPr>
          <w:szCs w:val="22"/>
          <w:lang w:val="es-ES"/>
        </w:rPr>
        <w:t>Las prácticas consuetudinarias son los actos y usos destinados a regir u orientar muchos aspectos de la vida de la comunidad.</w:t>
      </w:r>
      <w:r w:rsidR="00B834A4" w:rsidRPr="000D5434">
        <w:rPr>
          <w:szCs w:val="22"/>
          <w:lang w:val="es-ES"/>
        </w:rPr>
        <w:t xml:space="preserve"> </w:t>
      </w:r>
      <w:r w:rsidRPr="000D5434">
        <w:rPr>
          <w:szCs w:val="22"/>
          <w:lang w:val="es-ES"/>
        </w:rPr>
        <w:t>Tales prácticas pueden estar hasta tal punto arraigadas en el seno de la comunidad y de su forma de vida y de trabajo que no se perciban como autónomas, es decir como “leyes” codificadas.</w:t>
      </w:r>
      <w:r w:rsidRPr="000D5434">
        <w:rPr>
          <w:rStyle w:val="FootnoteReference"/>
          <w:szCs w:val="22"/>
          <w:lang w:val="es-ES"/>
        </w:rPr>
        <w:footnoteReference w:id="34"/>
      </w:r>
    </w:p>
    <w:p w:rsidR="00C0409B" w:rsidRPr="000D5434" w:rsidRDefault="00C0409B" w:rsidP="00A758A0">
      <w:pPr>
        <w:pStyle w:val="Heading1"/>
        <w:rPr>
          <w:b w:val="0"/>
          <w:bCs w:val="0"/>
          <w:szCs w:val="22"/>
          <w:lang w:val="es-ES"/>
        </w:rPr>
      </w:pPr>
      <w:bookmarkStart w:id="34" w:name="_Toc535584970"/>
      <w:r w:rsidRPr="000D5434">
        <w:rPr>
          <w:szCs w:val="22"/>
          <w:lang w:val="es-ES"/>
        </w:rPr>
        <w:lastRenderedPageBreak/>
        <w:t>Base de datos de los acuerdos de acceso y de participación en los beneficios relacionados con la biodiversidad</w:t>
      </w:r>
      <w:bookmarkEnd w:id="34"/>
    </w:p>
    <w:p w:rsidR="00C0409B" w:rsidRPr="000D5434" w:rsidRDefault="00C0409B" w:rsidP="00103D66">
      <w:pPr>
        <w:pStyle w:val="ONUMFS"/>
        <w:numPr>
          <w:ilvl w:val="0"/>
          <w:numId w:val="0"/>
        </w:numPr>
        <w:rPr>
          <w:szCs w:val="22"/>
          <w:lang w:val="es-ES"/>
        </w:rPr>
      </w:pPr>
      <w:r w:rsidRPr="000D5434">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0D5434">
        <w:rPr>
          <w:rStyle w:val="FootnoteReference"/>
          <w:szCs w:val="22"/>
          <w:lang w:val="es-ES"/>
        </w:rPr>
        <w:footnoteReference w:id="35"/>
      </w:r>
      <w:r w:rsidR="00B834A4" w:rsidRPr="000D5434">
        <w:rPr>
          <w:szCs w:val="22"/>
          <w:vertAlign w:val="superscript"/>
          <w:lang w:val="es-ES"/>
        </w:rPr>
        <w:t xml:space="preserve"> </w:t>
      </w:r>
      <w:r w:rsidRPr="000D5434">
        <w:rPr>
          <w:szCs w:val="22"/>
          <w:lang w:val="es-ES"/>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w:t>
      </w:r>
      <w:r w:rsidR="00B834A4" w:rsidRPr="000D5434">
        <w:rPr>
          <w:szCs w:val="22"/>
          <w:lang w:val="es-ES"/>
        </w:rPr>
        <w:t xml:space="preserve"> </w:t>
      </w:r>
      <w:r w:rsidRPr="000D5434">
        <w:rPr>
          <w:szCs w:val="22"/>
          <w:lang w:val="es-ES"/>
        </w:rPr>
        <w:t>en tanto que base empírica, tiene por objeto contribuir a la elaboración, por parte de la OMPI, de directrices de P.I. sobre acceso a los recursos genéticos y participación en los beneficios que se derivan de su utilización.</w:t>
      </w:r>
      <w:r w:rsidRPr="000D5434">
        <w:rPr>
          <w:rStyle w:val="FootnoteReference"/>
          <w:szCs w:val="22"/>
          <w:lang w:val="es-ES"/>
        </w:rPr>
        <w:footnoteReference w:id="36"/>
      </w:r>
    </w:p>
    <w:p w:rsidR="00C0409B" w:rsidRPr="000D5434" w:rsidRDefault="00C0409B" w:rsidP="00A758A0">
      <w:pPr>
        <w:pStyle w:val="Heading1"/>
        <w:rPr>
          <w:b w:val="0"/>
          <w:bCs w:val="0"/>
          <w:szCs w:val="22"/>
          <w:lang w:val="es-ES"/>
        </w:rPr>
      </w:pPr>
      <w:bookmarkStart w:id="35" w:name="_Toc535584971"/>
      <w:r w:rsidRPr="000D5434">
        <w:rPr>
          <w:szCs w:val="22"/>
          <w:lang w:val="es-ES"/>
        </w:rPr>
        <w:t>Derivado</w:t>
      </w:r>
      <w:bookmarkEnd w:id="35"/>
    </w:p>
    <w:p w:rsidR="00C0409B" w:rsidRPr="000D5434" w:rsidRDefault="00C0409B" w:rsidP="00103D66">
      <w:pPr>
        <w:pStyle w:val="ONUMFS"/>
        <w:numPr>
          <w:ilvl w:val="0"/>
          <w:numId w:val="0"/>
        </w:numPr>
        <w:rPr>
          <w:szCs w:val="22"/>
          <w:lang w:val="es-ES"/>
        </w:rPr>
      </w:pPr>
      <w:r w:rsidRPr="000D5434">
        <w:rPr>
          <w:szCs w:val="22"/>
          <w:lang w:val="es-ES"/>
        </w:rPr>
        <w:t xml:space="preserve">En el artículo 2.e)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establece la siguiente definición:</w:t>
      </w:r>
      <w:r w:rsidR="00B834A4" w:rsidRPr="000D5434">
        <w:rPr>
          <w:szCs w:val="22"/>
          <w:lang w:val="es-ES"/>
        </w:rPr>
        <w:t xml:space="preserve"> </w:t>
      </w:r>
      <w:r w:rsidRPr="000D5434">
        <w:rPr>
          <w:szCs w:val="22"/>
          <w:lang w:val="es-ES"/>
        </w:rPr>
        <w:t>“compuesto bioquímico que existe naturalmente producido por la expresión genética o el metabolismo de los recursos biológicos o genéticos, incluso aunque no contenga unidades funcionales de la herencia”.</w:t>
      </w:r>
    </w:p>
    <w:p w:rsidR="00C0409B" w:rsidRPr="000D5434" w:rsidRDefault="00C0409B" w:rsidP="00A758A0">
      <w:pPr>
        <w:pStyle w:val="Heading1"/>
        <w:rPr>
          <w:b w:val="0"/>
          <w:bCs w:val="0"/>
          <w:szCs w:val="22"/>
          <w:lang w:val="es-ES"/>
        </w:rPr>
      </w:pPr>
      <w:bookmarkStart w:id="36" w:name="_Toc535584972"/>
      <w:r w:rsidRPr="000D5434">
        <w:rPr>
          <w:szCs w:val="22"/>
          <w:lang w:val="es-ES"/>
        </w:rPr>
        <w:t>Obra derivada</w:t>
      </w:r>
      <w:bookmarkEnd w:id="36"/>
    </w:p>
    <w:p w:rsidR="00C0409B" w:rsidRPr="000D5434" w:rsidRDefault="00C0409B" w:rsidP="00103D66">
      <w:pPr>
        <w:pStyle w:val="ONUMFS"/>
        <w:numPr>
          <w:ilvl w:val="0"/>
          <w:numId w:val="0"/>
        </w:numPr>
        <w:rPr>
          <w:szCs w:val="22"/>
          <w:lang w:val="es-ES"/>
        </w:rPr>
      </w:pPr>
      <w:bookmarkStart w:id="37" w:name="_Ref289432997"/>
      <w:bookmarkEnd w:id="37"/>
      <w:r w:rsidRPr="000D5434">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0D5434">
        <w:rPr>
          <w:i/>
          <w:szCs w:val="22"/>
          <w:lang w:val="es-ES"/>
        </w:rPr>
        <w:t>Convenio de Berna para la Protección de las Obras Literarias y Artísticas</w:t>
      </w:r>
      <w:r w:rsidRPr="000D5434">
        <w:rPr>
          <w:szCs w:val="22"/>
          <w:lang w:val="es-ES"/>
        </w:rPr>
        <w:t xml:space="preserve"> (1971), sin perjuicio de los derechos del autor de la obra original.</w:t>
      </w:r>
      <w:r w:rsidRPr="000D5434">
        <w:rPr>
          <w:rStyle w:val="FootnoteReference"/>
          <w:szCs w:val="22"/>
          <w:lang w:val="es-ES"/>
        </w:rPr>
        <w:footnoteReference w:id="37"/>
      </w:r>
      <w:r w:rsidR="00B834A4" w:rsidRPr="000D5434">
        <w:rPr>
          <w:szCs w:val="22"/>
          <w:lang w:val="es-ES"/>
        </w:rPr>
        <w:t xml:space="preserve"> </w:t>
      </w:r>
      <w:r w:rsidRPr="000D5434">
        <w:rPr>
          <w:szCs w:val="22"/>
          <w:lang w:val="es-ES"/>
        </w:rPr>
        <w:t xml:space="preserve">La expresión tiene también un sentido más amplio, en el que quedan comprendidas las compilaciones o las colecciones de las obras amparadas por el artículo 2.5) de ese mismo Convenio de Berna, así como por efecto del artículo 10.2 del </w:t>
      </w:r>
      <w:r w:rsidRPr="000D5434">
        <w:rPr>
          <w:i/>
          <w:szCs w:val="22"/>
          <w:lang w:val="es-ES"/>
        </w:rPr>
        <w:t>Acuerdo sobre los Aspectos de los Derechos de Propiedad Intelectual relacionados con el Comercio</w:t>
      </w:r>
      <w:r w:rsidRPr="000D5434">
        <w:rPr>
          <w:szCs w:val="22"/>
          <w:lang w:val="es-ES"/>
        </w:rPr>
        <w:t xml:space="preserve"> (1994)</w:t>
      </w:r>
      <w:r w:rsidR="00672806" w:rsidRPr="000D5434">
        <w:rPr>
          <w:szCs w:val="22"/>
          <w:lang w:val="es-ES"/>
        </w:rPr>
        <w:t xml:space="preserve"> de la OMC</w:t>
      </w:r>
      <w:r w:rsidRPr="000D5434">
        <w:rPr>
          <w:szCs w:val="22"/>
          <w:lang w:val="es-ES"/>
        </w:rPr>
        <w:t xml:space="preserve"> (Acuerdo sobre los ADPIC) y del artículo 5 del </w:t>
      </w:r>
      <w:r w:rsidRPr="000D5434">
        <w:rPr>
          <w:i/>
          <w:szCs w:val="22"/>
          <w:lang w:val="es-ES"/>
        </w:rPr>
        <w:t>Tratado de la OMPI sobre Derecho de Autor</w:t>
      </w:r>
      <w:r w:rsidRPr="000D5434">
        <w:rPr>
          <w:szCs w:val="22"/>
          <w:lang w:val="es-ES"/>
        </w:rPr>
        <w:t xml:space="preserve"> (1996) (WCT).</w:t>
      </w:r>
      <w:r w:rsidRPr="000D5434">
        <w:rPr>
          <w:rStyle w:val="FootnoteReference"/>
          <w:szCs w:val="22"/>
          <w:lang w:val="es-ES"/>
        </w:rPr>
        <w:footnoteReference w:id="38"/>
      </w:r>
    </w:p>
    <w:p w:rsidR="00C0409B" w:rsidRPr="000D5434" w:rsidRDefault="00C0409B" w:rsidP="00103D66">
      <w:pPr>
        <w:pStyle w:val="ONUMFS"/>
        <w:numPr>
          <w:ilvl w:val="0"/>
          <w:numId w:val="0"/>
        </w:numPr>
        <w:rPr>
          <w:szCs w:val="22"/>
          <w:lang w:val="es-ES"/>
        </w:rPr>
      </w:pPr>
      <w:r w:rsidRPr="000D5434">
        <w:rPr>
          <w:szCs w:val="22"/>
          <w:lang w:val="es-ES"/>
        </w:rPr>
        <w:t xml:space="preserve">Con arreglo a dicho sentido amplio, la “obra derivada” abarca también las compilaciones de datos o de otros materiales, en forma legible por máquina o en otra forma, que por razones de la selección o disposición de sus contenidos constituyan creaciones de carácter </w:t>
      </w:r>
      <w:r w:rsidRPr="000D5434">
        <w:rPr>
          <w:szCs w:val="22"/>
          <w:lang w:val="es-ES"/>
        </w:rPr>
        <w:lastRenderedPageBreak/>
        <w:t>intelectual.</w:t>
      </w:r>
      <w:r w:rsidRPr="000D5434">
        <w:rPr>
          <w:rStyle w:val="FootnoteReference"/>
          <w:szCs w:val="22"/>
          <w:lang w:val="es-ES"/>
        </w:rPr>
        <w:footnoteReference w:id="39"/>
      </w:r>
      <w:r w:rsidR="00B834A4" w:rsidRPr="000D5434">
        <w:rPr>
          <w:szCs w:val="22"/>
          <w:lang w:val="es-ES"/>
        </w:rPr>
        <w:t xml:space="preserve"> </w:t>
      </w:r>
      <w:r w:rsidRPr="000D5434">
        <w:rPr>
          <w:szCs w:val="22"/>
          <w:lang w:val="es-ES"/>
        </w:rPr>
        <w:t xml:space="preserve">El </w:t>
      </w:r>
      <w:r w:rsidRPr="000D5434">
        <w:rPr>
          <w:i/>
          <w:szCs w:val="22"/>
          <w:lang w:val="es-ES"/>
        </w:rPr>
        <w:t>Convenio de Berna</w:t>
      </w:r>
      <w:r w:rsidRPr="000D5434">
        <w:rPr>
          <w:szCs w:val="22"/>
          <w:lang w:val="es-ES"/>
        </w:rPr>
        <w:t xml:space="preserve"> otorga a las obras que son fruto de labores de compilación o de colección idéntica protección que a las demás obras derivadas.</w:t>
      </w:r>
      <w:r w:rsidRPr="000D5434">
        <w:rPr>
          <w:rStyle w:val="FootnoteReference"/>
          <w:szCs w:val="22"/>
          <w:lang w:val="es-ES"/>
        </w:rPr>
        <w:footnoteReference w:id="40"/>
      </w:r>
    </w:p>
    <w:p w:rsidR="00C0409B" w:rsidRPr="000D5434" w:rsidRDefault="00C0409B" w:rsidP="00103D66">
      <w:pPr>
        <w:pStyle w:val="ONUMFS"/>
        <w:numPr>
          <w:ilvl w:val="0"/>
          <w:numId w:val="0"/>
        </w:numPr>
        <w:rPr>
          <w:szCs w:val="22"/>
          <w:lang w:val="es-ES"/>
        </w:rPr>
      </w:pPr>
      <w:r w:rsidRPr="000D5434">
        <w:rPr>
          <w:szCs w:val="22"/>
          <w:lang w:val="es-ES"/>
        </w:rPr>
        <w:t>El derecho moral del autor pone límites a la creación de obras derivadas por terceros.</w:t>
      </w:r>
      <w:r w:rsidR="00B834A4" w:rsidRPr="000D5434">
        <w:rPr>
          <w:szCs w:val="22"/>
          <w:lang w:val="es-ES"/>
        </w:rPr>
        <w:t xml:space="preserve"> </w:t>
      </w:r>
      <w:r w:rsidRPr="000D5434">
        <w:rPr>
          <w:szCs w:val="22"/>
          <w:lang w:val="es-ES"/>
        </w:rPr>
        <w:t xml:space="preserve">En razón de ello, aunque por ley o con arreglo a pactos contractuales el tercero quede autorizado a modificar la obra o a hacer uso de ella para crear una obra derivada, el autor podrá oponerse al acto de deformación de la obra cuando </w:t>
      </w:r>
      <w:r w:rsidR="00D4348B">
        <w:rPr>
          <w:szCs w:val="22"/>
          <w:lang w:val="es-ES"/>
        </w:rPr>
        <w:t>este</w:t>
      </w:r>
      <w:r w:rsidRPr="000D5434">
        <w:rPr>
          <w:szCs w:val="22"/>
          <w:lang w:val="es-ES"/>
        </w:rPr>
        <w:t xml:space="preserve"> cause perjuicio a su prestigio.</w:t>
      </w:r>
    </w:p>
    <w:p w:rsidR="00C0409B" w:rsidRPr="000D5434" w:rsidRDefault="00C0409B" w:rsidP="00103D66">
      <w:pPr>
        <w:pStyle w:val="ONUMFS"/>
        <w:numPr>
          <w:ilvl w:val="0"/>
          <w:numId w:val="0"/>
        </w:numPr>
        <w:rPr>
          <w:szCs w:val="22"/>
          <w:lang w:val="es-ES"/>
        </w:rPr>
      </w:pPr>
      <w:r w:rsidRPr="000D5434">
        <w:rPr>
          <w:szCs w:val="22"/>
          <w:lang w:val="es-ES"/>
        </w:rPr>
        <w:t>En algunas legislaciones se recoge la figura de la obra derivada en el campo de las expresiones culturales tradicionales.</w:t>
      </w:r>
      <w:r w:rsidR="00B834A4" w:rsidRPr="000D5434">
        <w:rPr>
          <w:szCs w:val="22"/>
          <w:lang w:val="es-ES"/>
        </w:rPr>
        <w:t xml:space="preserve"> </w:t>
      </w:r>
      <w:r w:rsidRPr="000D5434">
        <w:rPr>
          <w:szCs w:val="22"/>
          <w:lang w:val="es-ES"/>
        </w:rPr>
        <w:t xml:space="preserve">En el </w:t>
      </w:r>
      <w:r w:rsidRPr="000D5434">
        <w:rPr>
          <w:i/>
          <w:szCs w:val="22"/>
          <w:lang w:val="es-ES"/>
        </w:rPr>
        <w:t>Marco Regional para el Pacífico relativo a la protección de los conocimientos tradicionales y las expresiones de la cultura</w:t>
      </w:r>
      <w:r w:rsidRPr="000D5434">
        <w:rPr>
          <w:szCs w:val="22"/>
          <w:lang w:val="es-ES"/>
        </w:rPr>
        <w:t xml:space="preserve"> (2002), se establece explícitamente que es </w:t>
      </w:r>
      <w:r w:rsidRPr="000D5434">
        <w:rPr>
          <w:iCs/>
          <w:szCs w:val="22"/>
          <w:lang w:val="es-ES"/>
        </w:rPr>
        <w:t xml:space="preserve">“la creación o innovación de carácter intelectual que se inspira en los conocimientos tradicionales o las expresiones de cultura o se deriva de </w:t>
      </w:r>
      <w:r w:rsidR="00D4348B">
        <w:rPr>
          <w:iCs/>
          <w:szCs w:val="22"/>
          <w:lang w:val="es-ES"/>
        </w:rPr>
        <w:t>estos</w:t>
      </w:r>
      <w:r w:rsidRPr="000D5434">
        <w:rPr>
          <w:i/>
          <w:iCs/>
          <w:szCs w:val="22"/>
          <w:lang w:val="es-ES"/>
        </w:rPr>
        <w:t>”</w:t>
      </w:r>
      <w:r w:rsidRPr="000D5434">
        <w:rPr>
          <w:iCs/>
          <w:szCs w:val="22"/>
          <w:lang w:val="es-ES"/>
        </w:rPr>
        <w:t>.</w:t>
      </w:r>
      <w:r w:rsidRPr="000D5434">
        <w:rPr>
          <w:rStyle w:val="FootnoteReference"/>
          <w:iCs/>
          <w:szCs w:val="22"/>
          <w:lang w:val="es-ES"/>
        </w:rPr>
        <w:footnoteReference w:id="41"/>
      </w:r>
    </w:p>
    <w:p w:rsidR="00C0409B" w:rsidRPr="000D5434" w:rsidRDefault="00C0409B" w:rsidP="00A758A0">
      <w:pPr>
        <w:pStyle w:val="Heading1"/>
        <w:rPr>
          <w:b w:val="0"/>
          <w:szCs w:val="22"/>
          <w:lang w:val="es-ES"/>
        </w:rPr>
      </w:pPr>
      <w:bookmarkStart w:id="38" w:name="_Toc535584973"/>
      <w:r w:rsidRPr="000D5434">
        <w:rPr>
          <w:szCs w:val="22"/>
          <w:lang w:val="es-ES"/>
        </w:rPr>
        <w:t>Atentado a la obra</w:t>
      </w:r>
      <w:r w:rsidR="00672806" w:rsidRPr="000D5434">
        <w:rPr>
          <w:szCs w:val="22"/>
          <w:lang w:val="es-ES"/>
        </w:rPr>
        <w:t xml:space="preserve"> (o acto lesivo)</w:t>
      </w:r>
      <w:bookmarkEnd w:id="38"/>
    </w:p>
    <w:p w:rsidR="00C0409B" w:rsidRPr="000D5434" w:rsidRDefault="00C0409B" w:rsidP="00E1039C">
      <w:pPr>
        <w:pStyle w:val="ONUMFS"/>
        <w:numPr>
          <w:ilvl w:val="0"/>
          <w:numId w:val="0"/>
        </w:numPr>
        <w:rPr>
          <w:szCs w:val="22"/>
          <w:lang w:val="es-ES"/>
        </w:rPr>
      </w:pPr>
      <w:r w:rsidRPr="000D5434">
        <w:rPr>
          <w:szCs w:val="22"/>
          <w:lang w:val="es-ES"/>
        </w:rPr>
        <w:t>Con arreglo a lo que se establece en el artículo 6</w:t>
      </w:r>
      <w:r w:rsidRPr="000D5434">
        <w:rPr>
          <w:i/>
          <w:iCs/>
          <w:szCs w:val="22"/>
          <w:lang w:val="es-ES"/>
        </w:rPr>
        <w:t>bis</w:t>
      </w:r>
      <w:r w:rsidRPr="000D5434">
        <w:rPr>
          <w:szCs w:val="22"/>
          <w:lang w:val="es-ES"/>
        </w:rPr>
        <w:t xml:space="preserve"> del </w:t>
      </w:r>
      <w:r w:rsidRPr="000D5434">
        <w:rPr>
          <w:i/>
          <w:szCs w:val="22"/>
          <w:lang w:val="es-ES"/>
        </w:rPr>
        <w:t>Convenio de Berna para la Protección de las Obras Literarias y Artísticas</w:t>
      </w:r>
      <w:r w:rsidRPr="000D5434">
        <w:rPr>
          <w:szCs w:val="22"/>
          <w:lang w:val="es-ES"/>
        </w:rPr>
        <w:t xml:space="preserve"> (1971), se califica de “atentado a la obra” al acto de efectos “lesivos”, o sea, “dañosos” o “perjudiciales”, que cause perjuicio al honor o al prestigio del autor.</w:t>
      </w:r>
      <w:r w:rsidR="00B834A4" w:rsidRPr="000D5434">
        <w:rPr>
          <w:szCs w:val="22"/>
          <w:lang w:val="es-ES"/>
        </w:rPr>
        <w:t xml:space="preserve"> </w:t>
      </w:r>
      <w:r w:rsidRPr="000D5434">
        <w:rPr>
          <w:szCs w:val="22"/>
          <w:lang w:val="es-ES"/>
        </w:rPr>
        <w:t>La figura del “atentado a la obra” o “acto lesivo” comprende no sólo la modificación o alteración efectiva de la obra en sí, sino todo acto cuyos efectos recaigan sobre ella.</w:t>
      </w:r>
      <w:r w:rsidR="00B834A4" w:rsidRPr="000D5434">
        <w:rPr>
          <w:szCs w:val="22"/>
          <w:lang w:val="es-ES"/>
        </w:rPr>
        <w:t xml:space="preserve"> </w:t>
      </w:r>
      <w:r w:rsidRPr="000D5434">
        <w:rPr>
          <w:szCs w:val="22"/>
          <w:lang w:val="es-ES"/>
        </w:rPr>
        <w:t>La expresión es fruto de la Revisión de Bruselas y se recogió en el Convenio para tipificar los actos de uso de la obra que causen perjuicio al autor.</w:t>
      </w:r>
      <w:r w:rsidR="00B834A4" w:rsidRPr="000D5434">
        <w:rPr>
          <w:szCs w:val="22"/>
          <w:lang w:val="es-ES"/>
        </w:rPr>
        <w:t xml:space="preserve"> </w:t>
      </w:r>
      <w:r w:rsidRPr="000D5434">
        <w:rPr>
          <w:szCs w:val="22"/>
          <w:lang w:val="es-ES"/>
        </w:rPr>
        <w:t>Designa los supuestos en que la comunicación de la obra, por el modo en que se lleva a cabo, acarree perjuicio o menoscabo para el autor.</w:t>
      </w:r>
      <w:r w:rsidRPr="000D5434">
        <w:rPr>
          <w:rStyle w:val="FootnoteReference"/>
          <w:szCs w:val="22"/>
          <w:lang w:val="es-ES"/>
        </w:rPr>
        <w:footnoteReference w:id="42"/>
      </w:r>
    </w:p>
    <w:p w:rsidR="00C0409B" w:rsidRPr="000D5434" w:rsidRDefault="00C0409B" w:rsidP="00A758A0">
      <w:pPr>
        <w:pStyle w:val="Heading1"/>
        <w:rPr>
          <w:b w:val="0"/>
          <w:szCs w:val="22"/>
          <w:lang w:val="es-ES"/>
        </w:rPr>
      </w:pPr>
      <w:bookmarkStart w:id="39" w:name="_Toc535584974"/>
      <w:r w:rsidRPr="000D5434">
        <w:rPr>
          <w:szCs w:val="22"/>
          <w:lang w:val="es-ES"/>
        </w:rPr>
        <w:t>Conocimientos tradicionales divulgados</w:t>
      </w:r>
      <w:bookmarkEnd w:id="39"/>
    </w:p>
    <w:p w:rsidR="00C0409B" w:rsidRPr="000D5434" w:rsidRDefault="00C0409B" w:rsidP="00103D66">
      <w:pPr>
        <w:pStyle w:val="ONUMFS"/>
        <w:numPr>
          <w:ilvl w:val="0"/>
          <w:numId w:val="0"/>
        </w:numPr>
        <w:rPr>
          <w:szCs w:val="22"/>
          <w:lang w:val="es-ES"/>
        </w:rPr>
      </w:pPr>
      <w:r w:rsidRPr="000D5434">
        <w:rPr>
          <w:szCs w:val="22"/>
          <w:lang w:val="es-ES"/>
        </w:rPr>
        <w:t>Por “conocimientos tradicionales divulgados” se entiende “los conocimientos tradicionales</w:t>
      </w:r>
      <w:r w:rsidRPr="000D5434">
        <w:rPr>
          <w:i/>
          <w:iCs/>
          <w:szCs w:val="22"/>
          <w:lang w:val="es-ES"/>
        </w:rPr>
        <w:t xml:space="preserve"> </w:t>
      </w:r>
      <w:r w:rsidRPr="000D5434">
        <w:rPr>
          <w:iCs/>
          <w:szCs w:val="22"/>
          <w:lang w:val="es-ES"/>
        </w:rPr>
        <w:t>[que son accesibles a las personas que no son miembros de la comunidad indígena o local a la que se considera “poseedora” de los [conocimientos tradicionales].</w:t>
      </w:r>
      <w:r w:rsidR="00B834A4" w:rsidRPr="000D5434">
        <w:rPr>
          <w:iCs/>
          <w:szCs w:val="22"/>
          <w:lang w:val="es-ES"/>
        </w:rPr>
        <w:t xml:space="preserve"> </w:t>
      </w:r>
      <w:r w:rsidRPr="000D5434">
        <w:rPr>
          <w:iCs/>
          <w:szCs w:val="22"/>
          <w:lang w:val="es-ES"/>
        </w:rPr>
        <w:t>Esos [conocimientos tradicionales] pueden ser objeto de fácil acceso tras su catalogación en medios tangibles, por Internet o mediante otros tipos de telecomunicación o registro.</w:t>
      </w:r>
      <w:r w:rsidR="00B834A4" w:rsidRPr="000D5434">
        <w:rPr>
          <w:iCs/>
          <w:szCs w:val="22"/>
          <w:lang w:val="es-ES"/>
        </w:rPr>
        <w:t xml:space="preserve"> </w:t>
      </w:r>
      <w:r w:rsidRPr="000D5434">
        <w:rPr>
          <w:iCs/>
          <w:szCs w:val="22"/>
          <w:lang w:val="es-ES"/>
        </w:rPr>
        <w:t>Los [conocimientos tradicionales] pueden divulgarse a terceros o a personas que no sean miembros de las comunidades indígenas y locales en las que se originaron los [conocimientos tradicionales], con o sin autorización de las comunidades indígenas y locales.</w:t>
      </w:r>
      <w:r w:rsidRPr="000D5434">
        <w:rPr>
          <w:szCs w:val="22"/>
          <w:lang w:val="es-ES"/>
        </w:rPr>
        <w:t>”</w:t>
      </w:r>
      <w:r w:rsidRPr="000D5434">
        <w:rPr>
          <w:rStyle w:val="FootnoteReference"/>
          <w:szCs w:val="22"/>
          <w:lang w:val="es-ES"/>
        </w:rPr>
        <w:footnoteReference w:id="43"/>
      </w:r>
    </w:p>
    <w:p w:rsidR="00C0409B" w:rsidRPr="000D5434" w:rsidRDefault="00C0409B" w:rsidP="00103D66">
      <w:pPr>
        <w:pStyle w:val="ONUMFS"/>
        <w:numPr>
          <w:ilvl w:val="0"/>
          <w:numId w:val="0"/>
        </w:numPr>
        <w:rPr>
          <w:szCs w:val="22"/>
          <w:lang w:val="es-ES"/>
        </w:rPr>
      </w:pPr>
      <w:r w:rsidRPr="000D5434">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0D5434" w:rsidRDefault="00C0409B" w:rsidP="00A758A0">
      <w:pPr>
        <w:pStyle w:val="Heading1"/>
        <w:rPr>
          <w:b w:val="0"/>
          <w:szCs w:val="22"/>
          <w:lang w:val="es-ES"/>
        </w:rPr>
      </w:pPr>
      <w:bookmarkStart w:id="40" w:name="_Toc535584975"/>
      <w:r w:rsidRPr="000D5434">
        <w:rPr>
          <w:szCs w:val="22"/>
          <w:lang w:val="es-ES"/>
        </w:rPr>
        <w:lastRenderedPageBreak/>
        <w:t>Divulgación</w:t>
      </w:r>
      <w:bookmarkEnd w:id="40"/>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“divulgar” es </w:t>
      </w:r>
      <w:r w:rsidRPr="000D5434">
        <w:rPr>
          <w:iCs/>
          <w:szCs w:val="22"/>
          <w:lang w:val="es-ES"/>
        </w:rPr>
        <w:t>“publicar, extender, poner al alcance del público algo”</w:t>
      </w:r>
      <w:r w:rsidRPr="000D5434">
        <w:rPr>
          <w:szCs w:val="22"/>
          <w:lang w:val="es-ES"/>
        </w:rPr>
        <w:t>.</w:t>
      </w:r>
      <w:r w:rsidR="00B834A4" w:rsidRPr="000D5434">
        <w:rPr>
          <w:szCs w:val="22"/>
          <w:lang w:val="es-ES"/>
        </w:rPr>
        <w:t xml:space="preserve"> </w:t>
      </w:r>
      <w:r w:rsidRPr="000D5434">
        <w:rPr>
          <w:szCs w:val="22"/>
          <w:lang w:val="es-ES"/>
        </w:rPr>
        <w:t>En la rama del derecho de autor, “divulgar” consiste en hacer que una obra sea accesible al público por primera vez.</w:t>
      </w:r>
      <w:r w:rsidR="00B834A4" w:rsidRPr="000D5434">
        <w:rPr>
          <w:szCs w:val="22"/>
          <w:lang w:val="es-ES"/>
        </w:rPr>
        <w:t xml:space="preserve"> </w:t>
      </w:r>
      <w:r w:rsidRPr="000D5434">
        <w:rPr>
          <w:szCs w:val="22"/>
          <w:lang w:val="es-ES"/>
        </w:rPr>
        <w:t>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0D5434">
        <w:rPr>
          <w:rStyle w:val="FootnoteReference"/>
          <w:szCs w:val="22"/>
          <w:lang w:val="es-ES"/>
        </w:rPr>
        <w:footnoteReference w:id="44"/>
      </w:r>
      <w:r w:rsidR="00B834A4" w:rsidRPr="000D5434">
        <w:rPr>
          <w:szCs w:val="22"/>
          <w:lang w:val="es-ES"/>
        </w:rPr>
        <w:t xml:space="preserve"> </w:t>
      </w:r>
      <w:r w:rsidRPr="000D5434">
        <w:rPr>
          <w:szCs w:val="22"/>
          <w:lang w:val="es-ES"/>
        </w:rPr>
        <w:t>El reconocimiento de este derecho no es obligatorio en virtud de las normas internacionales de derecho autor.</w:t>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habla de la obra divulgada en el capítulo referido a las excepciones.</w:t>
      </w:r>
      <w:r w:rsidR="00B834A4" w:rsidRPr="000D5434">
        <w:rPr>
          <w:szCs w:val="22"/>
          <w:lang w:val="es-ES"/>
        </w:rPr>
        <w:t xml:space="preserve"> </w:t>
      </w:r>
      <w:r w:rsidRPr="000D5434">
        <w:rPr>
          <w:szCs w:val="22"/>
          <w:lang w:val="es-ES"/>
        </w:rPr>
        <w:t>El autor posee el derecho a divulgar la obra a todo el mundo.</w:t>
      </w:r>
      <w:r w:rsidRPr="000D5434">
        <w:rPr>
          <w:rStyle w:val="FootnoteReference"/>
          <w:szCs w:val="22"/>
          <w:lang w:val="es-ES"/>
        </w:rPr>
        <w:footnoteReference w:id="45"/>
      </w:r>
      <w:r w:rsidR="00B834A4" w:rsidRPr="000D5434">
        <w:rPr>
          <w:szCs w:val="22"/>
          <w:lang w:val="es-ES"/>
        </w:rPr>
        <w:t xml:space="preserve"> </w:t>
      </w:r>
      <w:r w:rsidRPr="000D5434">
        <w:rPr>
          <w:szCs w:val="22"/>
          <w:lang w:val="es-ES"/>
        </w:rPr>
        <w:t>En virtud de determinadas legislaciones nacionales, el “derecho de divulgación” constituye un derecho moral.</w:t>
      </w:r>
    </w:p>
    <w:p w:rsidR="00C0409B" w:rsidRPr="000D5434" w:rsidRDefault="00C0409B" w:rsidP="00A758A0">
      <w:pPr>
        <w:pStyle w:val="Heading1"/>
        <w:rPr>
          <w:b w:val="0"/>
          <w:szCs w:val="22"/>
          <w:lang w:val="es-ES"/>
        </w:rPr>
      </w:pPr>
      <w:bookmarkStart w:id="41" w:name="_Toc535584976"/>
      <w:r w:rsidRPr="000D5434">
        <w:rPr>
          <w:szCs w:val="22"/>
          <w:lang w:val="es-ES"/>
        </w:rPr>
        <w:t>Requisitos de divulgación</w:t>
      </w:r>
      <w:bookmarkEnd w:id="41"/>
    </w:p>
    <w:p w:rsidR="00C0409B" w:rsidRPr="000D5434" w:rsidRDefault="00C0409B" w:rsidP="00103D66">
      <w:pPr>
        <w:pStyle w:val="ONUMFS"/>
        <w:numPr>
          <w:ilvl w:val="0"/>
          <w:numId w:val="0"/>
        </w:numPr>
        <w:rPr>
          <w:szCs w:val="22"/>
          <w:lang w:val="es-ES"/>
        </w:rPr>
      </w:pPr>
      <w:r w:rsidRPr="000D5434">
        <w:rPr>
          <w:szCs w:val="22"/>
          <w:lang w:val="es-ES"/>
        </w:rPr>
        <w:t>La divulgación forma parte de la base fundamental del Derecho de patentes.</w:t>
      </w:r>
      <w:bookmarkStart w:id="42" w:name="sdfootnote19anc"/>
      <w:r w:rsidRPr="000D5434">
        <w:rPr>
          <w:rStyle w:val="FootnoteReference"/>
          <w:szCs w:val="22"/>
          <w:lang w:val="es-ES"/>
        </w:rPr>
        <w:footnoteReference w:id="46"/>
      </w:r>
      <w:bookmarkEnd w:id="42"/>
      <w:r w:rsidR="00B834A4" w:rsidRPr="000D5434">
        <w:rPr>
          <w:szCs w:val="22"/>
          <w:lang w:val="es-ES"/>
        </w:rPr>
        <w:t xml:space="preserve"> </w:t>
      </w:r>
      <w:r w:rsidRPr="000D5434">
        <w:rPr>
          <w:szCs w:val="22"/>
          <w:lang w:val="es-ES"/>
        </w:rPr>
        <w:t xml:space="preserve">El Derecho de patentes impone una obligación general a los solicitantes de patentes, como se establece en el artículo 5 del </w:t>
      </w:r>
      <w:r w:rsidRPr="000D5434">
        <w:rPr>
          <w:i/>
          <w:szCs w:val="22"/>
          <w:lang w:val="es-ES"/>
        </w:rPr>
        <w:t>Tratado de Cooperación en materia de Patentes</w:t>
      </w:r>
      <w:r w:rsidRPr="000D5434">
        <w:rPr>
          <w:szCs w:val="22"/>
          <w:lang w:val="es-ES"/>
        </w:rPr>
        <w:t>:</w:t>
      </w:r>
      <w:r w:rsidR="00B834A4" w:rsidRPr="000D5434">
        <w:rPr>
          <w:szCs w:val="22"/>
          <w:lang w:val="es-ES"/>
        </w:rPr>
        <w:t xml:space="preserve"> </w:t>
      </w:r>
      <w:r w:rsidRPr="000D5434">
        <w:rPr>
          <w:szCs w:val="22"/>
          <w:lang w:val="es-ES"/>
        </w:rPr>
        <w:t>“[…] divulgar la invención de una manera suficientemente clara y completa para que pueda ser realizada por un experto en la materia”.</w:t>
      </w:r>
      <w:r w:rsidR="00B834A4" w:rsidRPr="000D5434">
        <w:rPr>
          <w:szCs w:val="22"/>
          <w:lang w:val="es-ES"/>
        </w:rPr>
        <w:t xml:space="preserve"> </w:t>
      </w:r>
      <w:r w:rsidRPr="000D5434">
        <w:rPr>
          <w:szCs w:val="22"/>
          <w:lang w:val="es-ES"/>
        </w:rPr>
        <w:t>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0D5434">
        <w:rPr>
          <w:rStyle w:val="FootnoteReference"/>
          <w:szCs w:val="22"/>
          <w:lang w:val="es-ES"/>
        </w:rPr>
        <w:footnoteReference w:id="47"/>
      </w:r>
    </w:p>
    <w:p w:rsidR="00C0409B" w:rsidRPr="000D5434" w:rsidRDefault="00C0409B" w:rsidP="00103D66">
      <w:pPr>
        <w:pStyle w:val="ONUMFS"/>
        <w:numPr>
          <w:ilvl w:val="0"/>
          <w:numId w:val="0"/>
        </w:numPr>
        <w:rPr>
          <w:szCs w:val="22"/>
          <w:lang w:val="es-ES"/>
        </w:rPr>
      </w:pPr>
      <w:r w:rsidRPr="000D5434">
        <w:rPr>
          <w:szCs w:val="22"/>
          <w:lang w:val="es-ES"/>
        </w:rPr>
        <w:t>Se han examinado tres amplias funciones en relación con los métodos de divulgación relativos a los RR.GG. y CC.TT.:</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divulgar la fuente u or</w:t>
      </w:r>
      <w:r w:rsidR="008D49E2" w:rsidRPr="000D5434">
        <w:rPr>
          <w:szCs w:val="22"/>
          <w:lang w:val="es-ES"/>
        </w:rPr>
        <w:t xml:space="preserve">igen real de los RR.GG./CC.TT. </w:t>
      </w:r>
      <w:r w:rsidRPr="000D5434">
        <w:rPr>
          <w:szCs w:val="22"/>
          <w:lang w:val="es-ES"/>
        </w:rPr>
        <w:t>(divulgación de su fuente de origen, relacionada con el lugar en que se hayan obtenido;</w:t>
      </w:r>
      <w:r w:rsidR="00B834A4" w:rsidRPr="000D5434">
        <w:rPr>
          <w:szCs w:val="22"/>
          <w:lang w:val="es-ES"/>
        </w:rPr>
        <w:t xml:space="preserve"> </w:t>
      </w:r>
      <w:r w:rsidRPr="000D5434">
        <w:rPr>
          <w:szCs w:val="22"/>
          <w:lang w:val="es-ES"/>
        </w:rPr>
        <w:t>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w:t>
      </w:r>
      <w:r w:rsidRPr="000D5434">
        <w:rPr>
          <w:szCs w:val="22"/>
          <w:lang w:val="es-ES"/>
        </w:rPr>
        <w:tab/>
        <w:t>mostrar un compromiso o proporcionar pruebas del consentimiento fundamentado previo (función de observancia relativa a la legitimidad de los actos de acceso al material de origen de los RR.GG./CC.TT.);</w:t>
      </w:r>
      <w:r w:rsidR="00B834A4" w:rsidRPr="000D5434">
        <w:rPr>
          <w:szCs w:val="22"/>
          <w:lang w:val="es-ES"/>
        </w:rPr>
        <w:t xml:space="preserve"> </w:t>
      </w:r>
      <w:r w:rsidRPr="000D5434">
        <w:rPr>
          <w:szCs w:val="22"/>
          <w:lang w:val="es-ES"/>
        </w:rPr>
        <w:t xml:space="preserve">a este respecto, puede ser necesario demostrar que los RR.GG./CC.TT. utilizados en la invención han sido obtenidos y utilizados de conformidad con la legislación vigente en el país de origen o de conformidad con las cláusulas de acuerdos específicos de consentimiento </w:t>
      </w:r>
      <w:r w:rsidRPr="000D5434">
        <w:rPr>
          <w:szCs w:val="22"/>
          <w:lang w:val="es-ES"/>
        </w:rPr>
        <w:lastRenderedPageBreak/>
        <w:t>fundamentado previo;</w:t>
      </w:r>
      <w:r w:rsidR="00B834A4" w:rsidRPr="000D5434">
        <w:rPr>
          <w:szCs w:val="22"/>
          <w:lang w:val="es-ES"/>
        </w:rPr>
        <w:t xml:space="preserve"> </w:t>
      </w:r>
      <w:r w:rsidRPr="000D5434">
        <w:rPr>
          <w:szCs w:val="22"/>
          <w:lang w:val="es-ES"/>
        </w:rPr>
        <w:t>o demostrar que el acto de solicitar la patente ha sido efectuado de por sí con el consentimiento fundamentado previo necesario.</w:t>
      </w:r>
      <w:r w:rsidRPr="000D5434">
        <w:rPr>
          <w:rStyle w:val="FootnoteReference"/>
          <w:szCs w:val="22"/>
          <w:lang w:val="es-ES"/>
        </w:rPr>
        <w:footnoteReference w:id="48"/>
      </w:r>
    </w:p>
    <w:p w:rsidR="00C0409B" w:rsidRPr="000D5434" w:rsidRDefault="00C0409B" w:rsidP="00103D66">
      <w:pPr>
        <w:pStyle w:val="ONUMFS"/>
        <w:numPr>
          <w:ilvl w:val="0"/>
          <w:numId w:val="0"/>
        </w:numPr>
        <w:rPr>
          <w:b/>
          <w:szCs w:val="22"/>
          <w:lang w:val="es-ES"/>
        </w:rPr>
      </w:pPr>
      <w:r w:rsidRPr="000D5434">
        <w:rPr>
          <w:szCs w:val="22"/>
          <w:lang w:val="es-ES"/>
        </w:rPr>
        <w:t>Asimismo, se han propuesto mecanismos alternativos a los requisitos de divulgación.</w:t>
      </w:r>
      <w:r w:rsidRPr="000D5434">
        <w:rPr>
          <w:rStyle w:val="FootnoteReference"/>
          <w:szCs w:val="22"/>
          <w:lang w:val="es-ES"/>
        </w:rPr>
        <w:footnoteReference w:id="49"/>
      </w:r>
      <w:r w:rsidR="00B834A4" w:rsidRPr="000D5434">
        <w:rPr>
          <w:szCs w:val="22"/>
          <w:lang w:val="es-ES"/>
        </w:rPr>
        <w:t xml:space="preserve"> </w:t>
      </w:r>
      <w:r w:rsidRPr="000D5434">
        <w:rPr>
          <w:szCs w:val="22"/>
          <w:lang w:val="es-ES"/>
        </w:rPr>
        <w:t>Y una de las iniciativas internacionales emprendidas actualmente con relación al requisito de divulgación:</w:t>
      </w:r>
      <w:r w:rsidR="00B834A4" w:rsidRPr="000D5434">
        <w:rPr>
          <w:szCs w:val="22"/>
          <w:lang w:val="es-ES"/>
        </w:rPr>
        <w:t xml:space="preserve"> </w:t>
      </w:r>
      <w:r w:rsidRPr="000D5434">
        <w:rPr>
          <w:szCs w:val="22"/>
          <w:lang w:val="es-ES"/>
        </w:rPr>
        <w:t>el artículo 29</w:t>
      </w:r>
      <w:r w:rsidRPr="000D5434">
        <w:rPr>
          <w:i/>
          <w:iCs/>
          <w:szCs w:val="22"/>
          <w:lang w:val="es-ES"/>
        </w:rPr>
        <w:t>bis</w:t>
      </w:r>
      <w:r w:rsidRPr="000D5434">
        <w:rPr>
          <w:szCs w:val="22"/>
          <w:lang w:val="es-ES"/>
        </w:rPr>
        <w:t xml:space="preserve"> del </w:t>
      </w:r>
      <w:r w:rsidRPr="000D5434">
        <w:rPr>
          <w:i/>
          <w:szCs w:val="22"/>
          <w:lang w:val="es-ES"/>
        </w:rPr>
        <w:t>Acuerdo sobre los ADPIC</w:t>
      </w:r>
      <w:r w:rsidRPr="000D5434">
        <w:rPr>
          <w:szCs w:val="22"/>
          <w:lang w:val="es-ES"/>
        </w:rPr>
        <w:t xml:space="preserve"> de la OMC, propuesto por algunos países.</w:t>
      </w:r>
      <w:r w:rsidRPr="000D5434">
        <w:rPr>
          <w:rStyle w:val="FootnoteReference"/>
          <w:szCs w:val="22"/>
          <w:lang w:val="es-ES"/>
        </w:rPr>
        <w:footnoteReference w:id="50"/>
      </w:r>
    </w:p>
    <w:p w:rsidR="00C0409B" w:rsidRPr="000D5434" w:rsidRDefault="00C0409B" w:rsidP="00A758A0">
      <w:pPr>
        <w:pStyle w:val="Heading1"/>
        <w:rPr>
          <w:b w:val="0"/>
          <w:szCs w:val="22"/>
          <w:lang w:val="es-ES"/>
        </w:rPr>
      </w:pPr>
      <w:bookmarkStart w:id="43" w:name="_Toc535584977"/>
      <w:r w:rsidRPr="000D5434">
        <w:rPr>
          <w:szCs w:val="22"/>
          <w:lang w:val="es-ES"/>
        </w:rPr>
        <w:t>Catalogación</w:t>
      </w:r>
      <w:bookmarkEnd w:id="43"/>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“catalogar” es </w:t>
      </w:r>
      <w:r w:rsidRPr="000D5434">
        <w:rPr>
          <w:i/>
          <w:iCs/>
          <w:szCs w:val="22"/>
          <w:lang w:val="es-ES"/>
        </w:rPr>
        <w:t>“</w:t>
      </w:r>
      <w:r w:rsidRPr="000D5434">
        <w:rPr>
          <w:iCs/>
          <w:szCs w:val="22"/>
          <w:lang w:val="es-ES"/>
        </w:rPr>
        <w:t>apuntar, registrar ordenadamente libros, documentos, etc., formando catálogo de ellos”</w:t>
      </w:r>
      <w:r w:rsidRPr="000D5434">
        <w:rPr>
          <w:szCs w:val="22"/>
          <w:lang w:val="es-ES"/>
        </w:rPr>
        <w:t xml:space="preserve"> y, a su vez, por “catálogo” se entiende lo siguiente:</w:t>
      </w:r>
      <w:r w:rsidR="00B834A4" w:rsidRPr="000D5434">
        <w:rPr>
          <w:szCs w:val="22"/>
          <w:lang w:val="es-ES"/>
        </w:rPr>
        <w:t xml:space="preserve"> </w:t>
      </w:r>
      <w:r w:rsidRPr="000D5434">
        <w:rPr>
          <w:szCs w:val="22"/>
          <w:lang w:val="es-ES"/>
        </w:rPr>
        <w:t>“</w:t>
      </w:r>
      <w:r w:rsidRPr="000D5434">
        <w:rPr>
          <w:iCs/>
          <w:szCs w:val="22"/>
          <w:lang w:val="es-ES"/>
        </w:rPr>
        <w:t>relación ordenada en la que se incluyen o describen de forma individual libros, documentos, personas, objetos, etc., que están relacionados entre sí”</w:t>
      </w:r>
      <w:r w:rsidRPr="000D5434">
        <w:rPr>
          <w:szCs w:val="22"/>
          <w:lang w:val="es-ES"/>
        </w:rPr>
        <w:t>.</w:t>
      </w:r>
      <w:r w:rsidR="00B834A4" w:rsidRPr="000D5434">
        <w:rPr>
          <w:szCs w:val="22"/>
          <w:lang w:val="es-ES"/>
        </w:rPr>
        <w:t xml:space="preserve"> </w:t>
      </w:r>
      <w:r w:rsidRPr="000D5434">
        <w:rPr>
          <w:szCs w:val="22"/>
          <w:lang w:val="es-ES"/>
        </w:rPr>
        <w:t>La catalogación de los conocimientos y las expresiones culturales tradicionales consiste en su registro, anotación, grabación en forma de fotografías o películas, es decir, cualquier registro de manera que se conserven y puedan ponerse a disposición de los demás.</w:t>
      </w:r>
      <w:r w:rsidR="00B834A4" w:rsidRPr="000D5434">
        <w:rPr>
          <w:szCs w:val="22"/>
          <w:lang w:val="es-ES"/>
        </w:rPr>
        <w:t xml:space="preserve"> </w:t>
      </w:r>
      <w:r w:rsidRPr="000D5434">
        <w:rPr>
          <w:szCs w:val="22"/>
          <w:lang w:val="es-ES"/>
        </w:rPr>
        <w:t>Difiere de las maneras tradicionales de conservar y transmitir los conocimientos y las expresiones culturales tradicionales en el seno de la comunidad.</w:t>
      </w:r>
    </w:p>
    <w:p w:rsidR="00C0409B" w:rsidRPr="000D5434" w:rsidRDefault="00C0409B" w:rsidP="00103D66">
      <w:pPr>
        <w:pStyle w:val="ONUMFS"/>
        <w:numPr>
          <w:ilvl w:val="0"/>
          <w:numId w:val="0"/>
        </w:numPr>
        <w:rPr>
          <w:szCs w:val="22"/>
          <w:lang w:val="es-ES"/>
        </w:rPr>
      </w:pPr>
      <w:r w:rsidRPr="000D5434">
        <w:rPr>
          <w:szCs w:val="22"/>
          <w:lang w:val="es-ES"/>
        </w:rPr>
        <w:t>La catalogación es especialmente importante, pues a menudo es la manera en que las personas ajenas al círculo tradicional pueden acceder a los conocimientos.</w:t>
      </w:r>
      <w:r w:rsidRPr="000D5434">
        <w:rPr>
          <w:rStyle w:val="FootnoteReference"/>
          <w:szCs w:val="22"/>
          <w:lang w:val="es-ES"/>
        </w:rPr>
        <w:footnoteReference w:id="51"/>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examinan con detenimiento los conocimientos tradicionales catalogados y los conocimientos tradicionales no catalogados.</w:t>
      </w:r>
    </w:p>
    <w:p w:rsidR="008040C8" w:rsidRPr="000D5434" w:rsidRDefault="008040C8" w:rsidP="00A758A0">
      <w:pPr>
        <w:pStyle w:val="Heading1"/>
        <w:rPr>
          <w:szCs w:val="22"/>
          <w:lang w:val="es-ES"/>
        </w:rPr>
      </w:pPr>
      <w:bookmarkStart w:id="44" w:name="_Toc535584978"/>
      <w:r w:rsidRPr="000D5434">
        <w:rPr>
          <w:szCs w:val="22"/>
          <w:lang w:val="es-ES"/>
        </w:rPr>
        <w:t>Diligencia debida</w:t>
      </w:r>
      <w:bookmarkEnd w:id="44"/>
    </w:p>
    <w:p w:rsidR="008040C8" w:rsidRPr="000D5434" w:rsidRDefault="002D32A2" w:rsidP="00103D66">
      <w:pPr>
        <w:pStyle w:val="ONUMFS"/>
        <w:numPr>
          <w:ilvl w:val="0"/>
          <w:numId w:val="0"/>
        </w:numPr>
        <w:rPr>
          <w:szCs w:val="22"/>
          <w:lang w:val="es-ES"/>
        </w:rPr>
      </w:pPr>
      <w:r w:rsidRPr="000D5434">
        <w:rPr>
          <w:szCs w:val="22"/>
          <w:lang w:val="es-ES"/>
        </w:rPr>
        <w:t>Según el Diccionario del español jurídico, de la Real Academia Española, es el conjunto de precauciones que la ley o el buen sentido aconsejan adoptar en el desarrollo de una actividad para evitar daños previsibles.</w:t>
      </w:r>
    </w:p>
    <w:p w:rsidR="00C0409B" w:rsidRPr="000D5434" w:rsidRDefault="00C0409B" w:rsidP="00A758A0">
      <w:pPr>
        <w:pStyle w:val="Heading1"/>
        <w:rPr>
          <w:b w:val="0"/>
          <w:szCs w:val="22"/>
          <w:lang w:val="es-ES"/>
        </w:rPr>
      </w:pPr>
      <w:bookmarkStart w:id="45" w:name="_Toc535584979"/>
      <w:r w:rsidRPr="000D5434">
        <w:rPr>
          <w:szCs w:val="22"/>
          <w:lang w:val="es-ES"/>
        </w:rPr>
        <w:t>Remuneración equitativa</w:t>
      </w:r>
      <w:bookmarkEnd w:id="45"/>
    </w:p>
    <w:p w:rsidR="00C0409B" w:rsidRPr="000D5434" w:rsidRDefault="00C0409B" w:rsidP="00103D66">
      <w:pPr>
        <w:pStyle w:val="ONUMFS"/>
        <w:numPr>
          <w:ilvl w:val="0"/>
          <w:numId w:val="0"/>
        </w:numPr>
        <w:rPr>
          <w:b/>
          <w:szCs w:val="22"/>
          <w:lang w:val="es-ES"/>
        </w:rPr>
      </w:pPr>
      <w:r w:rsidRPr="000D5434">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w:t>
      </w:r>
      <w:r w:rsidR="00B834A4" w:rsidRPr="000D5434">
        <w:rPr>
          <w:szCs w:val="22"/>
          <w:lang w:val="es-ES"/>
        </w:rPr>
        <w:t xml:space="preserve"> </w:t>
      </w:r>
      <w:r w:rsidRPr="000D5434">
        <w:rPr>
          <w:szCs w:val="22"/>
          <w:lang w:val="es-ES"/>
        </w:rPr>
        <w:t>Esta remuneración normalmente suele efectuarse cuando los derechos patrimoniales se reducen al derecho de remuneración (y, en general, aplicarse a partir de licencias no voluntarias).</w:t>
      </w:r>
      <w:r w:rsidRPr="000D5434">
        <w:rPr>
          <w:rStyle w:val="FootnoteReference"/>
          <w:szCs w:val="22"/>
          <w:lang w:val="es-ES"/>
        </w:rPr>
        <w:footnoteReference w:id="52"/>
      </w:r>
      <w:r w:rsidR="00B834A4" w:rsidRPr="000D5434">
        <w:rPr>
          <w:szCs w:val="22"/>
          <w:lang w:val="es-ES"/>
        </w:rPr>
        <w:t xml:space="preserve"> </w:t>
      </w:r>
      <w:r w:rsidRPr="000D5434">
        <w:rPr>
          <w:szCs w:val="22"/>
          <w:lang w:val="es-ES"/>
        </w:rPr>
        <w:t xml:space="preserve">En el </w:t>
      </w:r>
      <w:r w:rsidRPr="000D5434">
        <w:rPr>
          <w:i/>
          <w:szCs w:val="22"/>
          <w:lang w:val="es-ES"/>
        </w:rPr>
        <w:t>Tratado de la OMPI sobre Interpretación o Ejecución y Fonogramas</w:t>
      </w:r>
      <w:r w:rsidRPr="000D5434">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w:t>
      </w:r>
      <w:r w:rsidR="00B834A4" w:rsidRPr="000D5434">
        <w:rPr>
          <w:szCs w:val="22"/>
          <w:lang w:val="es-ES"/>
        </w:rPr>
        <w:t xml:space="preserve"> </w:t>
      </w:r>
      <w:r w:rsidRPr="000D5434">
        <w:rPr>
          <w:szCs w:val="22"/>
          <w:lang w:val="es-ES"/>
        </w:rPr>
        <w:t xml:space="preserve">Ahora bien, las Partes </w:t>
      </w:r>
      <w:r w:rsidRPr="000D5434">
        <w:rPr>
          <w:szCs w:val="22"/>
          <w:lang w:val="es-ES"/>
        </w:rPr>
        <w:lastRenderedPageBreak/>
        <w:t>Contratantes pueden limitar o negar ese derecho, a condición de que formulen una reserva en relación con el Tratado (artículo 15.3)).</w:t>
      </w:r>
    </w:p>
    <w:p w:rsidR="00C0409B" w:rsidRPr="000D5434" w:rsidRDefault="00C0409B" w:rsidP="00A758A0">
      <w:pPr>
        <w:pStyle w:val="Heading1"/>
        <w:rPr>
          <w:b w:val="0"/>
          <w:szCs w:val="22"/>
          <w:lang w:val="es-ES"/>
        </w:rPr>
      </w:pPr>
      <w:bookmarkStart w:id="46" w:name="_Toc535584980"/>
      <w:r w:rsidRPr="000D5434">
        <w:rPr>
          <w:szCs w:val="22"/>
          <w:lang w:val="es-ES"/>
        </w:rPr>
        <w:t>Excepciones</w:t>
      </w:r>
      <w:bookmarkEnd w:id="46"/>
    </w:p>
    <w:p w:rsidR="00C0409B" w:rsidRPr="000D5434" w:rsidRDefault="00C0409B" w:rsidP="00103D66">
      <w:pPr>
        <w:pStyle w:val="ONUMFS"/>
        <w:numPr>
          <w:ilvl w:val="0"/>
          <w:numId w:val="0"/>
        </w:numPr>
        <w:rPr>
          <w:b/>
          <w:szCs w:val="22"/>
          <w:lang w:val="es-ES"/>
        </w:rPr>
      </w:pPr>
      <w:r w:rsidRPr="000D5434">
        <w:rPr>
          <w:szCs w:val="22"/>
          <w:lang w:val="es-ES"/>
        </w:rPr>
        <w:t>Las “excepciones” fijan las condiciones que limitan el uso de la obra protegida por derecho de autor.</w:t>
      </w:r>
      <w:r w:rsidR="00B834A4" w:rsidRPr="000D5434">
        <w:rPr>
          <w:szCs w:val="22"/>
          <w:lang w:val="es-ES"/>
        </w:rPr>
        <w:t xml:space="preserve"> </w:t>
      </w:r>
      <w:r w:rsidRPr="000D5434">
        <w:rPr>
          <w:szCs w:val="22"/>
          <w:lang w:val="es-ES"/>
        </w:rPr>
        <w:t>El término se refiere más bien a los actos relativos a los elementos que quedan protegidos.</w:t>
      </w:r>
      <w:r w:rsidR="00B834A4" w:rsidRPr="000D5434">
        <w:rPr>
          <w:szCs w:val="22"/>
          <w:lang w:val="es-ES"/>
        </w:rPr>
        <w:t xml:space="preserve"> </w:t>
      </w:r>
      <w:r w:rsidRPr="000D5434">
        <w:rPr>
          <w:szCs w:val="22"/>
          <w:lang w:val="es-ES"/>
        </w:rPr>
        <w:t>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0D5434">
        <w:rPr>
          <w:rStyle w:val="FootnoteReference"/>
          <w:szCs w:val="22"/>
          <w:lang w:val="es-ES"/>
        </w:rPr>
        <w:footnoteReference w:id="53"/>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establece la prueba del criterio triple, en la que se fijan los supuestos que debe cumplir la excepción:</w:t>
      </w:r>
      <w:r w:rsidR="00B834A4" w:rsidRPr="000D5434">
        <w:rPr>
          <w:szCs w:val="22"/>
          <w:lang w:val="es-ES"/>
        </w:rPr>
        <w:t xml:space="preserve"> </w:t>
      </w:r>
      <w:r w:rsidRPr="000D5434">
        <w:rPr>
          <w:szCs w:val="22"/>
          <w:lang w:val="es-ES"/>
        </w:rPr>
        <w:t>i) debe tener por objeto determinados casos especiales;</w:t>
      </w:r>
      <w:r w:rsidR="00B834A4" w:rsidRPr="000D5434">
        <w:rPr>
          <w:szCs w:val="22"/>
          <w:lang w:val="es-ES"/>
        </w:rPr>
        <w:t xml:space="preserve"> </w:t>
      </w:r>
      <w:r w:rsidRPr="000D5434">
        <w:rPr>
          <w:szCs w:val="22"/>
          <w:lang w:val="es-ES"/>
        </w:rPr>
        <w:t>ii) no debe atentar a la normal explotación de la obra;</w:t>
      </w:r>
      <w:r w:rsidR="00B834A4" w:rsidRPr="000D5434">
        <w:rPr>
          <w:szCs w:val="22"/>
          <w:lang w:val="es-ES"/>
        </w:rPr>
        <w:t xml:space="preserve"> </w:t>
      </w:r>
      <w:r w:rsidRPr="000D5434">
        <w:rPr>
          <w:szCs w:val="22"/>
          <w:lang w:val="es-ES"/>
        </w:rPr>
        <w:t>y iii) no debe causar un perjuicio injustificado a los intereses legítimos del autor.</w:t>
      </w:r>
      <w:r w:rsidRPr="000D5434">
        <w:rPr>
          <w:rStyle w:val="FootnoteReference"/>
          <w:szCs w:val="22"/>
          <w:lang w:val="es-ES"/>
        </w:rPr>
        <w:footnoteReference w:id="54"/>
      </w:r>
    </w:p>
    <w:p w:rsidR="00C0409B" w:rsidRPr="000D5434" w:rsidRDefault="00C0409B" w:rsidP="00A758A0">
      <w:pPr>
        <w:pStyle w:val="Heading1"/>
        <w:rPr>
          <w:b w:val="0"/>
          <w:szCs w:val="22"/>
          <w:lang w:val="es-ES"/>
        </w:rPr>
      </w:pPr>
      <w:bookmarkStart w:id="47" w:name="_Toc535584981"/>
      <w:r w:rsidRPr="000D5434">
        <w:rPr>
          <w:szCs w:val="22"/>
          <w:lang w:val="es-ES"/>
        </w:rPr>
        <w:t>Expresión corporal</w:t>
      </w:r>
      <w:bookmarkEnd w:id="47"/>
    </w:p>
    <w:p w:rsidR="00C0409B" w:rsidRPr="000D5434" w:rsidRDefault="00C0409B" w:rsidP="00103D66">
      <w:pPr>
        <w:pStyle w:val="ONUMFS"/>
        <w:numPr>
          <w:ilvl w:val="0"/>
          <w:numId w:val="0"/>
        </w:numPr>
        <w:rPr>
          <w:b/>
          <w:szCs w:val="22"/>
          <w:lang w:val="es-ES"/>
        </w:rPr>
      </w:pPr>
      <w:r w:rsidRPr="000D5434">
        <w:rPr>
          <w:szCs w:val="22"/>
          <w:lang w:val="es-ES"/>
        </w:rPr>
        <w:t>La “expresión corporal” es el modo de expresarse gracias al movimiento del cuerpo humano.</w:t>
      </w:r>
      <w:r w:rsidRPr="000D5434">
        <w:rPr>
          <w:rStyle w:val="FootnoteReference"/>
          <w:szCs w:val="22"/>
          <w:lang w:val="es-ES"/>
        </w:rPr>
        <w:footnoteReference w:id="55"/>
      </w:r>
      <w:r w:rsidR="00B834A4" w:rsidRPr="000D5434">
        <w:rPr>
          <w:szCs w:val="22"/>
          <w:lang w:val="es-ES"/>
        </w:rPr>
        <w:t xml:space="preserve"> </w:t>
      </w:r>
      <w:r w:rsidRPr="000D5434">
        <w:rPr>
          <w:szCs w:val="22"/>
          <w:lang w:val="es-ES"/>
        </w:rPr>
        <w:t>Comprende, entre otras, las danzas y representaciones escénicas populares y formas artísticas de rituales, y no necesitan estar fijadas en un soporte, por ejemplo, estar escritas mediante la notación coreográfica</w:t>
      </w:r>
      <w:r w:rsidRPr="000D5434">
        <w:rPr>
          <w:szCs w:val="22"/>
          <w:vertAlign w:val="superscript"/>
          <w:lang w:val="es-ES"/>
        </w:rPr>
        <w:t>”</w:t>
      </w:r>
      <w:r w:rsidRPr="000D5434">
        <w:rPr>
          <w:szCs w:val="22"/>
          <w:lang w:val="es-ES"/>
        </w:rPr>
        <w:t>.</w:t>
      </w:r>
      <w:r w:rsidRPr="000D5434">
        <w:rPr>
          <w:rStyle w:val="FootnoteReference"/>
          <w:szCs w:val="22"/>
          <w:lang w:val="es-ES"/>
        </w:rPr>
        <w:footnoteReference w:id="56"/>
      </w:r>
    </w:p>
    <w:p w:rsidR="00C0409B" w:rsidRPr="000D5434" w:rsidRDefault="00C0409B" w:rsidP="00A758A0">
      <w:pPr>
        <w:pStyle w:val="Heading1"/>
        <w:rPr>
          <w:b w:val="0"/>
          <w:szCs w:val="22"/>
          <w:lang w:val="es-ES"/>
        </w:rPr>
      </w:pPr>
      <w:bookmarkStart w:id="48" w:name="_Toc535584982"/>
      <w:r w:rsidRPr="000D5434">
        <w:rPr>
          <w:szCs w:val="22"/>
          <w:lang w:val="es-ES"/>
        </w:rPr>
        <w:t>Expresiones del folclore</w:t>
      </w:r>
      <w:bookmarkEnd w:id="48"/>
    </w:p>
    <w:p w:rsidR="00C0409B" w:rsidRPr="000D5434" w:rsidRDefault="00C0409B" w:rsidP="00103D66">
      <w:pPr>
        <w:pStyle w:val="ONUMFS"/>
        <w:numPr>
          <w:ilvl w:val="0"/>
          <w:numId w:val="0"/>
        </w:numPr>
        <w:rPr>
          <w:szCs w:val="22"/>
          <w:lang w:val="es-ES"/>
        </w:rPr>
      </w:pPr>
      <w:r w:rsidRPr="000D5434">
        <w:rPr>
          <w:szCs w:val="22"/>
          <w:lang w:val="es-ES"/>
        </w:rPr>
        <w:t xml:space="preserve">En las </w:t>
      </w:r>
      <w:r w:rsidRPr="000D5434">
        <w:rPr>
          <w:i/>
          <w:szCs w:val="22"/>
          <w:lang w:val="es-ES"/>
        </w:rPr>
        <w:t>Disposiciones Tipo para leyes nacionales sobre la protección de las expresiones del folclore contra la explotación ilícita y otras acciones lesivas</w:t>
      </w:r>
      <w:r w:rsidRPr="000D5434">
        <w:rPr>
          <w:szCs w:val="22"/>
          <w:lang w:val="es-ES"/>
        </w:rPr>
        <w:t xml:space="preserve"> (1982), </w:t>
      </w:r>
      <w:r w:rsidR="006748FD" w:rsidRPr="000D5434">
        <w:rPr>
          <w:szCs w:val="22"/>
          <w:lang w:val="es-ES"/>
        </w:rPr>
        <w:t xml:space="preserve">de la OMPI y la UNESCO, </w:t>
      </w:r>
      <w:r w:rsidRPr="000D5434">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0D5434" w:rsidRDefault="00C0409B" w:rsidP="00103D66">
      <w:pPr>
        <w:pStyle w:val="ONUMFS"/>
        <w:numPr>
          <w:ilvl w:val="0"/>
          <w:numId w:val="0"/>
        </w:numPr>
        <w:ind w:left="567"/>
        <w:rPr>
          <w:szCs w:val="22"/>
          <w:lang w:val="es-ES"/>
        </w:rPr>
      </w:pPr>
      <w:r w:rsidRPr="000D5434">
        <w:rPr>
          <w:szCs w:val="22"/>
          <w:lang w:val="es-ES"/>
        </w:rPr>
        <w:t>i)</w:t>
      </w:r>
      <w:r w:rsidRPr="000D5434">
        <w:rPr>
          <w:szCs w:val="22"/>
          <w:lang w:val="es-ES"/>
        </w:rPr>
        <w:tab/>
        <w:t>las expresiones verbales, tales como los cuentos populares, la poesía popular y los enigmas;</w:t>
      </w:r>
    </w:p>
    <w:p w:rsidR="00C0409B" w:rsidRPr="000D5434" w:rsidRDefault="00C0409B" w:rsidP="00103D66">
      <w:pPr>
        <w:pStyle w:val="ONUMFS"/>
        <w:numPr>
          <w:ilvl w:val="0"/>
          <w:numId w:val="0"/>
        </w:numPr>
        <w:ind w:left="567"/>
        <w:rPr>
          <w:szCs w:val="22"/>
          <w:lang w:val="es-ES"/>
        </w:rPr>
      </w:pPr>
      <w:r w:rsidRPr="000D5434">
        <w:rPr>
          <w:szCs w:val="22"/>
          <w:lang w:val="es-ES"/>
        </w:rPr>
        <w:t>ii)</w:t>
      </w:r>
      <w:r w:rsidRPr="000D5434">
        <w:rPr>
          <w:szCs w:val="22"/>
          <w:lang w:val="es-ES"/>
        </w:rPr>
        <w:tab/>
        <w:t>las expresiones musicales, tales como las canciones y la música instrumental populares;</w:t>
      </w:r>
    </w:p>
    <w:p w:rsidR="00C0409B" w:rsidRPr="000D5434" w:rsidRDefault="00C0409B" w:rsidP="00103D66">
      <w:pPr>
        <w:pStyle w:val="ONUMFS"/>
        <w:numPr>
          <w:ilvl w:val="0"/>
          <w:numId w:val="0"/>
        </w:numPr>
        <w:ind w:left="567"/>
        <w:rPr>
          <w:szCs w:val="22"/>
          <w:lang w:val="es-ES"/>
        </w:rPr>
      </w:pPr>
      <w:r w:rsidRPr="000D5434">
        <w:rPr>
          <w:szCs w:val="22"/>
          <w:lang w:val="es-ES"/>
        </w:rPr>
        <w:t>iii)</w:t>
      </w:r>
      <w:r w:rsidRPr="000D5434">
        <w:rPr>
          <w:szCs w:val="22"/>
          <w:lang w:val="es-ES"/>
        </w:rPr>
        <w:tab/>
        <w:t>las expresiones corporales, tales como las danzas y representaciones escénicas populares y formas artísticas de rituales, estén o no fijadas en un soporte;</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iv)</w:t>
      </w:r>
      <w:r w:rsidRPr="000D5434">
        <w:rPr>
          <w:szCs w:val="22"/>
          <w:lang w:val="es-ES"/>
        </w:rPr>
        <w:tab/>
        <w:t>las expresiones ta</w:t>
      </w:r>
      <w:bookmarkStart w:id="49" w:name="sdfootnote40anc"/>
      <w:r w:rsidRPr="000D5434">
        <w:rPr>
          <w:szCs w:val="22"/>
          <w:lang w:val="es-ES"/>
        </w:rPr>
        <w:t>ngibles</w:t>
      </w:r>
      <w:bookmarkEnd w:id="49"/>
      <w:r w:rsidRPr="000D5434">
        <w:rPr>
          <w:szCs w:val="22"/>
          <w:lang w:val="es-ES"/>
        </w:rPr>
        <w:t>.</w:t>
      </w:r>
      <w:r w:rsidRPr="000D5434">
        <w:rPr>
          <w:rStyle w:val="FootnoteReference"/>
          <w:szCs w:val="22"/>
          <w:lang w:val="es-ES"/>
        </w:rPr>
        <w:footnoteReference w:id="57"/>
      </w:r>
    </w:p>
    <w:p w:rsidR="00C0409B" w:rsidRPr="000D5434" w:rsidRDefault="00C0409B" w:rsidP="00103D66">
      <w:pPr>
        <w:pStyle w:val="ONUMFS"/>
        <w:numPr>
          <w:ilvl w:val="0"/>
          <w:numId w:val="0"/>
        </w:numPr>
        <w:rPr>
          <w:b/>
          <w:szCs w:val="22"/>
          <w:lang w:val="es-ES"/>
        </w:rPr>
      </w:pPr>
      <w:r w:rsidRPr="000D5434">
        <w:rPr>
          <w:szCs w:val="22"/>
          <w:lang w:val="es-ES"/>
        </w:rPr>
        <w:t>En el contexto del CIG, los términos “expresiones culturales tradicionales” y “expresiones del folclore” son sinónimos y se usan indistintamente.</w:t>
      </w:r>
    </w:p>
    <w:p w:rsidR="00C0409B" w:rsidRPr="000D5434" w:rsidRDefault="002D32A2" w:rsidP="00A758A0">
      <w:pPr>
        <w:pStyle w:val="Heading1"/>
        <w:rPr>
          <w:b w:val="0"/>
          <w:szCs w:val="22"/>
          <w:lang w:val="es-ES"/>
        </w:rPr>
      </w:pPr>
      <w:bookmarkStart w:id="50" w:name="_Toc535584983"/>
      <w:r w:rsidRPr="000D5434">
        <w:rPr>
          <w:iCs/>
          <w:szCs w:val="22"/>
          <w:lang w:val="es-ES"/>
        </w:rPr>
        <w:lastRenderedPageBreak/>
        <w:t>Con</w:t>
      </w:r>
      <w:r w:rsidR="00103D66" w:rsidRPr="000D5434">
        <w:rPr>
          <w:iCs/>
          <w:szCs w:val="22"/>
          <w:lang w:val="es-ES"/>
        </w:rPr>
        <w:t>s</w:t>
      </w:r>
      <w:r w:rsidRPr="000D5434">
        <w:rPr>
          <w:iCs/>
          <w:szCs w:val="22"/>
          <w:lang w:val="es-ES"/>
        </w:rPr>
        <w:t xml:space="preserve">ervación </w:t>
      </w:r>
      <w:r w:rsidR="00C0409B" w:rsidRPr="000D5434">
        <w:rPr>
          <w:i/>
          <w:iCs/>
          <w:szCs w:val="22"/>
          <w:lang w:val="es-ES"/>
        </w:rPr>
        <w:t>Ex-situ</w:t>
      </w:r>
      <w:bookmarkEnd w:id="50"/>
    </w:p>
    <w:p w:rsidR="00C0409B" w:rsidRPr="000D5434" w:rsidRDefault="00C0409B" w:rsidP="00E679AC">
      <w:pPr>
        <w:pStyle w:val="ONUMFS"/>
        <w:keepNext/>
        <w:numPr>
          <w:ilvl w:val="0"/>
          <w:numId w:val="0"/>
        </w:numPr>
        <w:rPr>
          <w:szCs w:val="22"/>
          <w:lang w:val="es-ES"/>
        </w:rPr>
      </w:pPr>
      <w:r w:rsidRPr="000D5434">
        <w:rPr>
          <w:szCs w:val="22"/>
          <w:lang w:val="es-ES"/>
        </w:rPr>
        <w:t xml:space="preserve">En referencia a la definición de “conservación </w:t>
      </w:r>
      <w:r w:rsidRPr="000D5434">
        <w:rPr>
          <w:i/>
          <w:iCs/>
          <w:szCs w:val="22"/>
          <w:lang w:val="es-ES"/>
        </w:rPr>
        <w:t>ex situ</w:t>
      </w:r>
      <w:r w:rsidRPr="000D5434">
        <w:rPr>
          <w:szCs w:val="22"/>
          <w:lang w:val="es-ES"/>
        </w:rPr>
        <w:t xml:space="preserve">” del artículo 2 del </w:t>
      </w:r>
      <w:r w:rsidRPr="000D5434">
        <w:rPr>
          <w:i/>
          <w:szCs w:val="22"/>
          <w:lang w:val="es-ES"/>
        </w:rPr>
        <w:t>Convenio sobre la Diversidad Biológica</w:t>
      </w:r>
      <w:r w:rsidRPr="000D5434">
        <w:rPr>
          <w:szCs w:val="22"/>
          <w:lang w:val="es-ES"/>
        </w:rPr>
        <w:t xml:space="preserve"> (1992), por “</w:t>
      </w:r>
      <w:r w:rsidRPr="000D5434">
        <w:rPr>
          <w:i/>
          <w:iCs/>
          <w:szCs w:val="22"/>
          <w:lang w:val="es-ES"/>
        </w:rPr>
        <w:t>ex situ</w:t>
      </w:r>
      <w:r w:rsidRPr="000D5434">
        <w:rPr>
          <w:iCs/>
          <w:szCs w:val="22"/>
          <w:lang w:val="es-ES"/>
        </w:rPr>
        <w:t>”</w:t>
      </w:r>
      <w:r w:rsidRPr="000D5434">
        <w:rPr>
          <w:szCs w:val="22"/>
          <w:lang w:val="es-ES"/>
        </w:rPr>
        <w:t xml:space="preserve"> se entiende “la conservación de componentes de la diversidad biológica fuera de sus hábitats naturales”.</w:t>
      </w:r>
    </w:p>
    <w:p w:rsidR="00C0409B" w:rsidRPr="000D5434" w:rsidRDefault="00C0409B" w:rsidP="00A758A0">
      <w:pPr>
        <w:pStyle w:val="Heading1"/>
        <w:rPr>
          <w:b w:val="0"/>
          <w:bCs w:val="0"/>
          <w:szCs w:val="22"/>
          <w:lang w:val="es-ES"/>
        </w:rPr>
      </w:pPr>
      <w:bookmarkStart w:id="51" w:name="_Toc535584984"/>
      <w:r w:rsidRPr="000D5434">
        <w:rPr>
          <w:szCs w:val="22"/>
          <w:lang w:val="es-ES"/>
        </w:rPr>
        <w:t>Uso leal</w:t>
      </w:r>
      <w:bookmarkEnd w:id="51"/>
    </w:p>
    <w:p w:rsidR="00C0409B" w:rsidRPr="000D5434" w:rsidRDefault="00C0409B" w:rsidP="00103D66">
      <w:pPr>
        <w:pStyle w:val="ONUMFS"/>
        <w:numPr>
          <w:ilvl w:val="0"/>
          <w:numId w:val="0"/>
        </w:numPr>
        <w:rPr>
          <w:b/>
          <w:szCs w:val="22"/>
          <w:lang w:val="es-ES"/>
        </w:rPr>
      </w:pPr>
      <w:r w:rsidRPr="000D5434">
        <w:rPr>
          <w:szCs w:val="22"/>
          <w:lang w:val="es-ES"/>
        </w:rPr>
        <w:t xml:space="preserve">Expresión que aparece en determinadas disposiciones del </w:t>
      </w:r>
      <w:r w:rsidRPr="000D5434">
        <w:rPr>
          <w:i/>
          <w:szCs w:val="22"/>
          <w:lang w:val="es-ES"/>
        </w:rPr>
        <w:t>Convenio de Berna para la Protección de las Obras Literarias y Artísticas</w:t>
      </w:r>
      <w:r w:rsidRPr="000D5434">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w:t>
      </w:r>
      <w:r w:rsidR="00B834A4" w:rsidRPr="000D5434">
        <w:rPr>
          <w:szCs w:val="22"/>
          <w:lang w:val="es-ES"/>
        </w:rPr>
        <w:t xml:space="preserve"> </w:t>
      </w:r>
      <w:r w:rsidRPr="000D5434">
        <w:rPr>
          <w:szCs w:val="22"/>
          <w:lang w:val="es-ES"/>
        </w:rPr>
        <w:t>Los tipos de usos que se pueden considerar “leales” se determinan aplicando los criterios de la prueba del criterio triple.</w:t>
      </w:r>
      <w:r w:rsidRPr="000D5434">
        <w:rPr>
          <w:rStyle w:val="FootnoteReference"/>
          <w:szCs w:val="22"/>
          <w:lang w:val="es-ES"/>
        </w:rPr>
        <w:footnoteReference w:id="58"/>
      </w:r>
    </w:p>
    <w:p w:rsidR="00C0409B" w:rsidRPr="000D5434" w:rsidRDefault="00C0409B" w:rsidP="00A758A0">
      <w:pPr>
        <w:pStyle w:val="Heading1"/>
        <w:rPr>
          <w:b w:val="0"/>
          <w:bCs w:val="0"/>
          <w:szCs w:val="22"/>
          <w:lang w:val="es-ES"/>
        </w:rPr>
      </w:pPr>
      <w:bookmarkStart w:id="52" w:name="_Toc535584985"/>
      <w:r w:rsidRPr="000D5434">
        <w:rPr>
          <w:szCs w:val="22"/>
          <w:lang w:val="es-ES"/>
        </w:rPr>
        <w:t>Derechos del agricultor</w:t>
      </w:r>
      <w:bookmarkEnd w:id="52"/>
    </w:p>
    <w:p w:rsidR="00C0409B" w:rsidRPr="000D5434" w:rsidRDefault="00C0409B" w:rsidP="00103D66">
      <w:pPr>
        <w:pStyle w:val="ONUMFS"/>
        <w:numPr>
          <w:ilvl w:val="0"/>
          <w:numId w:val="0"/>
        </w:numPr>
        <w:rPr>
          <w:b/>
          <w:szCs w:val="22"/>
          <w:lang w:val="es-ES"/>
        </w:rPr>
      </w:pPr>
      <w:r w:rsidRPr="000D5434">
        <w:rPr>
          <w:szCs w:val="22"/>
          <w:lang w:val="es-ES"/>
        </w:rPr>
        <w:t xml:space="preserve">En el artículo 9.1 del </w:t>
      </w:r>
      <w:r w:rsidRPr="000D5434">
        <w:rPr>
          <w:i/>
          <w:szCs w:val="22"/>
          <w:lang w:val="es-ES"/>
        </w:rPr>
        <w:t>Tratado Internacional sobre los Recursos Fitogenéticos para la Alimentación y la Agricultura</w:t>
      </w:r>
      <w:r w:rsidRPr="000D5434">
        <w:rPr>
          <w:szCs w:val="22"/>
          <w:lang w:val="es-ES"/>
        </w:rPr>
        <w:t xml:space="preserve"> se reconoce “</w:t>
      </w:r>
      <w:r w:rsidRPr="000D5434">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0D5434">
        <w:rPr>
          <w:szCs w:val="22"/>
          <w:lang w:val="es-ES"/>
        </w:rPr>
        <w:t>”.</w:t>
      </w:r>
      <w:r w:rsidR="00B834A4" w:rsidRPr="000D5434">
        <w:rPr>
          <w:szCs w:val="22"/>
          <w:lang w:val="es-ES"/>
        </w:rPr>
        <w:t xml:space="preserve"> </w:t>
      </w:r>
      <w:r w:rsidRPr="000D5434">
        <w:rPr>
          <w:szCs w:val="22"/>
          <w:lang w:val="es-ES"/>
        </w:rPr>
        <w:t>En el artículo 9.2 se definen los “derechos del agricultor” como:</w:t>
      </w:r>
      <w:r w:rsidR="00B834A4" w:rsidRPr="000D5434">
        <w:rPr>
          <w:szCs w:val="22"/>
          <w:lang w:val="es-ES"/>
        </w:rPr>
        <w:t xml:space="preserve"> </w:t>
      </w:r>
      <w:r w:rsidRPr="000D5434">
        <w:rPr>
          <w:szCs w:val="22"/>
          <w:lang w:val="es-ES"/>
        </w:rPr>
        <w:t>“</w:t>
      </w:r>
      <w:r w:rsidRPr="000D5434">
        <w:rPr>
          <w:iCs/>
          <w:szCs w:val="22"/>
          <w:lang w:val="es-ES"/>
        </w:rPr>
        <w:t>a) la protección de los conocimientos tradicionales de interés para los recursos fitogenéticos para la alimentación y la agricultura;</w:t>
      </w:r>
      <w:r w:rsidR="00B834A4" w:rsidRPr="000D5434">
        <w:rPr>
          <w:iCs/>
          <w:szCs w:val="22"/>
          <w:lang w:val="es-ES"/>
        </w:rPr>
        <w:t xml:space="preserve"> </w:t>
      </w:r>
      <w:r w:rsidRPr="000D5434">
        <w:rPr>
          <w:iCs/>
          <w:szCs w:val="22"/>
          <w:lang w:val="es-ES"/>
        </w:rPr>
        <w:t>b) el derecho a participar equitativamente en la distribución de los beneficios que se deriven de la utilización de los recursos fitogenéticos para la alimentación y la agricultura;</w:t>
      </w:r>
      <w:r w:rsidR="00B834A4" w:rsidRPr="000D5434">
        <w:rPr>
          <w:iCs/>
          <w:szCs w:val="22"/>
          <w:lang w:val="es-ES"/>
        </w:rPr>
        <w:t xml:space="preserve"> </w:t>
      </w:r>
      <w:r w:rsidRPr="000D5434">
        <w:rPr>
          <w:iCs/>
          <w:szCs w:val="22"/>
          <w:lang w:val="es-ES"/>
        </w:rPr>
        <w:t>y c) el derecho a participar en la adopción de decisiones, a nivel nacional, sobre asuntos relativos a la conservación y la utilización sostenible de los recursos fitogenéticos para la alimentación y la agricultura</w:t>
      </w:r>
      <w:r w:rsidRPr="000D5434">
        <w:rPr>
          <w:szCs w:val="22"/>
          <w:lang w:val="es-ES"/>
        </w:rPr>
        <w:t>”.</w:t>
      </w:r>
      <w:r w:rsidR="00B834A4" w:rsidRPr="000D5434">
        <w:rPr>
          <w:szCs w:val="22"/>
          <w:lang w:val="es-ES"/>
        </w:rPr>
        <w:t xml:space="preserve"> </w:t>
      </w:r>
      <w:r w:rsidRPr="000D5434">
        <w:rPr>
          <w:szCs w:val="22"/>
          <w:lang w:val="es-ES"/>
        </w:rPr>
        <w:t xml:space="preserve">En el artículo 2 del </w:t>
      </w:r>
      <w:r w:rsidRPr="000D5434">
        <w:rPr>
          <w:i/>
          <w:szCs w:val="22"/>
          <w:lang w:val="es-ES"/>
        </w:rPr>
        <w:t>Código Internacional de Conducta para la Recolección y Transferencia de Germoplasma</w:t>
      </w:r>
      <w:r w:rsidRPr="000D5434">
        <w:rPr>
          <w:szCs w:val="22"/>
          <w:lang w:val="es-ES"/>
        </w:rPr>
        <w:t>, de la FAO, se definen esos derechos como “</w:t>
      </w:r>
      <w:r w:rsidRPr="000D5434">
        <w:rPr>
          <w:iCs/>
          <w:szCs w:val="22"/>
          <w:lang w:val="es-ES"/>
        </w:rPr>
        <w:t>derechos que provienen de la contribución pasada, presente y futura de los agricultores a la conservación, mejora y disponibilidad de los recursos fitogenéticos, particularmente los de los centros de origen o diversidad.</w:t>
      </w:r>
      <w:r w:rsidR="00B834A4" w:rsidRPr="000D5434">
        <w:rPr>
          <w:iCs/>
          <w:szCs w:val="22"/>
          <w:lang w:val="es-ES"/>
        </w:rPr>
        <w:t xml:space="preserve"> </w:t>
      </w:r>
      <w:r w:rsidRPr="000D5434">
        <w:rPr>
          <w:iCs/>
          <w:szCs w:val="22"/>
          <w:lang w:val="es-ES"/>
        </w:rPr>
        <w:t>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0D5434">
        <w:rPr>
          <w:szCs w:val="22"/>
          <w:lang w:val="es-ES"/>
        </w:rPr>
        <w:t>”.</w:t>
      </w:r>
    </w:p>
    <w:p w:rsidR="00C0409B" w:rsidRPr="000D5434" w:rsidRDefault="00C0409B" w:rsidP="00A758A0">
      <w:pPr>
        <w:pStyle w:val="Heading1"/>
        <w:rPr>
          <w:b w:val="0"/>
          <w:bCs w:val="0"/>
          <w:szCs w:val="22"/>
          <w:lang w:val="es-ES"/>
        </w:rPr>
      </w:pPr>
      <w:bookmarkStart w:id="53" w:name="_Toc535584986"/>
      <w:r w:rsidRPr="000D5434">
        <w:rPr>
          <w:szCs w:val="22"/>
          <w:lang w:val="es-ES"/>
        </w:rPr>
        <w:t>Fijación</w:t>
      </w:r>
      <w:bookmarkEnd w:id="53"/>
    </w:p>
    <w:p w:rsidR="00C0409B" w:rsidRPr="000D5434" w:rsidRDefault="00C0409B" w:rsidP="00103D66">
      <w:pPr>
        <w:pStyle w:val="ONUMFS"/>
        <w:numPr>
          <w:ilvl w:val="0"/>
          <w:numId w:val="0"/>
        </w:numPr>
        <w:rPr>
          <w:szCs w:val="22"/>
          <w:lang w:val="es-ES"/>
        </w:rPr>
      </w:pPr>
      <w:bookmarkStart w:id="54" w:name="_Ref289444051"/>
      <w:bookmarkEnd w:id="54"/>
      <w:r w:rsidRPr="000D5434">
        <w:rPr>
          <w:szCs w:val="22"/>
          <w:lang w:val="es-ES"/>
        </w:rPr>
        <w:t xml:space="preserve">El </w:t>
      </w:r>
      <w:r w:rsidRPr="000D5434">
        <w:rPr>
          <w:iCs/>
          <w:szCs w:val="22"/>
          <w:lang w:val="es-ES"/>
        </w:rPr>
        <w:t>Diccionario General de la Lengua Española VOX</w:t>
      </w:r>
      <w:r w:rsidRPr="000D5434">
        <w:rPr>
          <w:szCs w:val="22"/>
          <w:lang w:val="es-ES"/>
        </w:rPr>
        <w:t xml:space="preserve"> explica que “fijar” es “hacer fija [una cosa] en un estado determinado;</w:t>
      </w:r>
      <w:r w:rsidR="00B834A4" w:rsidRPr="000D5434">
        <w:rPr>
          <w:szCs w:val="22"/>
          <w:lang w:val="es-ES"/>
        </w:rPr>
        <w:t xml:space="preserve"> </w:t>
      </w:r>
      <w:r w:rsidRPr="000D5434">
        <w:rPr>
          <w:szCs w:val="22"/>
          <w:lang w:val="es-ES"/>
        </w:rPr>
        <w:t>dar un estado o forma permanente”.</w:t>
      </w:r>
      <w:r w:rsidR="00B834A4" w:rsidRPr="000D5434">
        <w:rPr>
          <w:szCs w:val="22"/>
          <w:lang w:val="es-ES"/>
        </w:rPr>
        <w:t xml:space="preserve"> </w:t>
      </w:r>
      <w:r w:rsidRPr="000D5434">
        <w:rPr>
          <w:szCs w:val="22"/>
          <w:lang w:val="es-ES"/>
        </w:rPr>
        <w:t>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0D5434">
        <w:rPr>
          <w:rStyle w:val="FootnoteReference"/>
          <w:szCs w:val="22"/>
          <w:lang w:val="es-ES"/>
        </w:rPr>
        <w:footnoteReference w:id="59"/>
      </w:r>
      <w:r w:rsidR="00B834A4" w:rsidRPr="000D5434">
        <w:rPr>
          <w:szCs w:val="22"/>
          <w:lang w:val="es-ES"/>
        </w:rPr>
        <w:t xml:space="preserve"> </w:t>
      </w:r>
      <w:r w:rsidRPr="000D5434">
        <w:rPr>
          <w:szCs w:val="22"/>
          <w:lang w:val="es-ES"/>
        </w:rPr>
        <w:t xml:space="preserve">No siempre se prescribe la fijación en un soporte material, pero en el </w:t>
      </w:r>
      <w:r w:rsidRPr="000D5434">
        <w:rPr>
          <w:i/>
          <w:szCs w:val="22"/>
          <w:lang w:val="es-ES"/>
        </w:rPr>
        <w:t>Convenio de Berna para la Protección de las Obras Literarias y Artísticas</w:t>
      </w:r>
      <w:r w:rsidRPr="000D5434">
        <w:rPr>
          <w:szCs w:val="22"/>
          <w:lang w:val="es-ES"/>
        </w:rPr>
        <w:t xml:space="preserve"> (1971) se reserva a las legislaciones nacionales la facultad de establecer dicha condición.</w:t>
      </w:r>
      <w:r w:rsidRPr="000D5434">
        <w:rPr>
          <w:rStyle w:val="FootnoteReference"/>
          <w:szCs w:val="22"/>
          <w:lang w:val="es-ES"/>
        </w:rPr>
        <w:footnoteReference w:id="60"/>
      </w:r>
      <w:r w:rsidR="00B834A4" w:rsidRPr="000D5434">
        <w:rPr>
          <w:szCs w:val="22"/>
          <w:lang w:val="es-ES"/>
        </w:rPr>
        <w:t xml:space="preserve"> </w:t>
      </w:r>
      <w:r w:rsidRPr="000D5434">
        <w:rPr>
          <w:szCs w:val="22"/>
          <w:lang w:val="es-ES"/>
        </w:rPr>
        <w:t xml:space="preserve">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w:t>
      </w:r>
      <w:r w:rsidRPr="000D5434">
        <w:rPr>
          <w:szCs w:val="22"/>
          <w:lang w:val="es-ES"/>
        </w:rPr>
        <w:lastRenderedPageBreak/>
        <w:t>obras del antiguo arte rupestre.</w:t>
      </w:r>
      <w:r w:rsidRPr="000D5434">
        <w:rPr>
          <w:rStyle w:val="FootnoteReference"/>
          <w:szCs w:val="22"/>
          <w:lang w:val="es-ES"/>
        </w:rPr>
        <w:footnoteReference w:id="61"/>
      </w:r>
      <w:r w:rsidR="00B834A4" w:rsidRPr="000D5434">
        <w:rPr>
          <w:szCs w:val="22"/>
          <w:lang w:val="es-ES"/>
        </w:rPr>
        <w:t xml:space="preserve"> </w:t>
      </w:r>
      <w:r w:rsidRPr="000D5434">
        <w:rPr>
          <w:szCs w:val="22"/>
          <w:lang w:val="es-ES"/>
        </w:rPr>
        <w:t>Se ha sostenido que el uso del término “expresión” parece indicar que es necesario cumplir el requisito de la fijación para obtener la protección de las expresiones culturales tradicionales.</w:t>
      </w:r>
      <w:r w:rsidRPr="000D5434">
        <w:rPr>
          <w:rStyle w:val="FootnoteReference"/>
          <w:szCs w:val="22"/>
          <w:lang w:val="es-ES"/>
        </w:rPr>
        <w:footnoteReference w:id="62"/>
      </w:r>
    </w:p>
    <w:p w:rsidR="00C0409B" w:rsidRPr="000D5434" w:rsidRDefault="00C0409B" w:rsidP="00A758A0">
      <w:pPr>
        <w:pStyle w:val="Heading1"/>
        <w:rPr>
          <w:b w:val="0"/>
          <w:bCs w:val="0"/>
          <w:szCs w:val="22"/>
          <w:lang w:val="es-ES"/>
        </w:rPr>
      </w:pPr>
      <w:bookmarkStart w:id="55" w:name="_Toc535584987"/>
      <w:r w:rsidRPr="000D5434">
        <w:rPr>
          <w:szCs w:val="22"/>
          <w:lang w:val="es-ES"/>
        </w:rPr>
        <w:t>Folclore</w:t>
      </w:r>
      <w:bookmarkEnd w:id="55"/>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Recomendación sobre la Salvaguardia de la Cultura Tradicional y Popular</w:t>
      </w:r>
      <w:r w:rsidRPr="000D5434">
        <w:rPr>
          <w:szCs w:val="22"/>
          <w:lang w:val="es-ES"/>
        </w:rPr>
        <w:t xml:space="preserve"> (1989)</w:t>
      </w:r>
      <w:r w:rsidR="006748FD" w:rsidRPr="000D5434">
        <w:rPr>
          <w:szCs w:val="22"/>
          <w:lang w:val="es-ES"/>
        </w:rPr>
        <w:t xml:space="preserve"> , de la UNESCO,</w:t>
      </w:r>
      <w:r w:rsidRPr="000D5434">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w:t>
      </w:r>
      <w:r w:rsidR="00B834A4" w:rsidRPr="000D5434">
        <w:rPr>
          <w:szCs w:val="22"/>
          <w:lang w:val="es-ES"/>
        </w:rPr>
        <w:t xml:space="preserve"> </w:t>
      </w:r>
      <w:r w:rsidRPr="000D5434">
        <w:rPr>
          <w:szCs w:val="22"/>
          <w:lang w:val="es-ES"/>
        </w:rPr>
        <w:t>las normas y los valores se transmiten oralmente, por imitación o de otras maneras.</w:t>
      </w:r>
      <w:r w:rsidR="00B834A4" w:rsidRPr="000D5434">
        <w:rPr>
          <w:szCs w:val="22"/>
          <w:lang w:val="es-ES"/>
        </w:rPr>
        <w:t xml:space="preserve"> </w:t>
      </w:r>
      <w:r w:rsidRPr="000D5434">
        <w:rPr>
          <w:szCs w:val="22"/>
          <w:lang w:val="es-ES"/>
        </w:rPr>
        <w:t>Sus formas comprenden, entre otras, la lengua, la literatura, la música, la danza, los juegos, la mitología, los ritos, las costumbres, la artesanía, la arquitectura y otras artes”.</w:t>
      </w:r>
    </w:p>
    <w:p w:rsidR="00C0409B" w:rsidRPr="000D5434" w:rsidRDefault="00C0409B" w:rsidP="00103D66">
      <w:pPr>
        <w:pStyle w:val="ONUMFS"/>
        <w:numPr>
          <w:ilvl w:val="0"/>
          <w:numId w:val="0"/>
        </w:numPr>
        <w:rPr>
          <w:szCs w:val="22"/>
          <w:lang w:val="es-ES"/>
        </w:rPr>
      </w:pPr>
      <w:r w:rsidRPr="000D5434">
        <w:rPr>
          <w:szCs w:val="22"/>
          <w:lang w:val="es-ES"/>
        </w:rPr>
        <w:t>Los primeros esfuerzos para reglamentar la utilización de las creaciones del folclore se efectuaron en el marco de varias leyes sobre derecho de autor (Túnez, 1967;</w:t>
      </w:r>
      <w:r w:rsidR="00B834A4" w:rsidRPr="000D5434">
        <w:rPr>
          <w:szCs w:val="22"/>
          <w:lang w:val="es-ES"/>
        </w:rPr>
        <w:t xml:space="preserve"> </w:t>
      </w:r>
      <w:r w:rsidRPr="000D5434">
        <w:rPr>
          <w:szCs w:val="22"/>
          <w:lang w:val="es-ES"/>
        </w:rPr>
        <w:t>Bolivia, 1968 (únicamente respecto del folclore musical);</w:t>
      </w:r>
      <w:r w:rsidR="00B834A4" w:rsidRPr="000D5434">
        <w:rPr>
          <w:szCs w:val="22"/>
          <w:lang w:val="es-ES"/>
        </w:rPr>
        <w:t xml:space="preserve"> </w:t>
      </w:r>
      <w:r w:rsidRPr="000D5434">
        <w:rPr>
          <w:szCs w:val="22"/>
          <w:lang w:val="es-ES"/>
        </w:rPr>
        <w:t>Chile, 1970;</w:t>
      </w:r>
      <w:r w:rsidR="00B834A4" w:rsidRPr="000D5434">
        <w:rPr>
          <w:szCs w:val="22"/>
          <w:lang w:val="es-ES"/>
        </w:rPr>
        <w:t xml:space="preserve"> </w:t>
      </w:r>
      <w:r w:rsidRPr="000D5434">
        <w:rPr>
          <w:szCs w:val="22"/>
          <w:lang w:val="es-ES"/>
        </w:rPr>
        <w:t>Marruecos, 1970;</w:t>
      </w:r>
      <w:r w:rsidR="00B834A4" w:rsidRPr="000D5434">
        <w:rPr>
          <w:szCs w:val="22"/>
          <w:lang w:val="es-ES"/>
        </w:rPr>
        <w:t xml:space="preserve"> </w:t>
      </w:r>
      <w:r w:rsidRPr="000D5434">
        <w:rPr>
          <w:szCs w:val="22"/>
          <w:lang w:val="es-ES"/>
        </w:rPr>
        <w:t>Argelia, 1973;</w:t>
      </w:r>
      <w:r w:rsidR="00B834A4" w:rsidRPr="000D5434">
        <w:rPr>
          <w:szCs w:val="22"/>
          <w:lang w:val="es-ES"/>
        </w:rPr>
        <w:t xml:space="preserve"> </w:t>
      </w:r>
      <w:r w:rsidRPr="000D5434">
        <w:rPr>
          <w:szCs w:val="22"/>
          <w:lang w:val="es-ES"/>
        </w:rPr>
        <w:t>Senegal, 1973;</w:t>
      </w:r>
      <w:r w:rsidR="00B834A4" w:rsidRPr="000D5434">
        <w:rPr>
          <w:szCs w:val="22"/>
          <w:lang w:val="es-ES"/>
        </w:rPr>
        <w:t xml:space="preserve"> </w:t>
      </w:r>
      <w:r w:rsidRPr="000D5434">
        <w:rPr>
          <w:szCs w:val="22"/>
          <w:lang w:val="es-ES"/>
        </w:rPr>
        <w:t>Kenya, 1975;</w:t>
      </w:r>
      <w:r w:rsidR="00B834A4" w:rsidRPr="000D5434">
        <w:rPr>
          <w:szCs w:val="22"/>
          <w:lang w:val="es-ES"/>
        </w:rPr>
        <w:t xml:space="preserve"> </w:t>
      </w:r>
      <w:r w:rsidRPr="000D5434">
        <w:rPr>
          <w:szCs w:val="22"/>
          <w:lang w:val="es-ES"/>
        </w:rPr>
        <w:t>Malí, 1977;</w:t>
      </w:r>
      <w:r w:rsidR="00B834A4" w:rsidRPr="000D5434">
        <w:rPr>
          <w:szCs w:val="22"/>
          <w:lang w:val="es-ES"/>
        </w:rPr>
        <w:t xml:space="preserve"> </w:t>
      </w:r>
      <w:r w:rsidRPr="000D5434">
        <w:rPr>
          <w:szCs w:val="22"/>
          <w:lang w:val="es-ES"/>
        </w:rPr>
        <w:t>Burundi, 1978;</w:t>
      </w:r>
      <w:r w:rsidR="00B834A4" w:rsidRPr="000D5434">
        <w:rPr>
          <w:szCs w:val="22"/>
          <w:lang w:val="es-ES"/>
        </w:rPr>
        <w:t xml:space="preserve"> </w:t>
      </w:r>
      <w:r w:rsidRPr="000D5434">
        <w:rPr>
          <w:szCs w:val="22"/>
          <w:lang w:val="es-ES"/>
        </w:rPr>
        <w:t>Costa de Marfil, 1978;</w:t>
      </w:r>
      <w:r w:rsidR="00B834A4" w:rsidRPr="000D5434">
        <w:rPr>
          <w:szCs w:val="22"/>
          <w:lang w:val="es-ES"/>
        </w:rPr>
        <w:t xml:space="preserve"> </w:t>
      </w:r>
      <w:r w:rsidRPr="000D5434">
        <w:rPr>
          <w:szCs w:val="22"/>
          <w:lang w:val="es-ES"/>
        </w:rPr>
        <w:t>Guinea, 1980;</w:t>
      </w:r>
      <w:r w:rsidR="00B834A4" w:rsidRPr="000D5434">
        <w:rPr>
          <w:szCs w:val="22"/>
          <w:lang w:val="es-ES"/>
        </w:rPr>
        <w:t xml:space="preserve"> </w:t>
      </w:r>
      <w:r w:rsidRPr="000D5434">
        <w:rPr>
          <w:szCs w:val="22"/>
          <w:lang w:val="es-ES"/>
        </w:rPr>
        <w:t xml:space="preserve">Ley </w:t>
      </w:r>
      <w:r w:rsidR="00BA6F87" w:rsidRPr="000D5434">
        <w:rPr>
          <w:szCs w:val="22"/>
          <w:lang w:val="es-ES"/>
        </w:rPr>
        <w:t xml:space="preserve">tipo </w:t>
      </w:r>
      <w:r w:rsidRPr="000D5434">
        <w:rPr>
          <w:szCs w:val="22"/>
          <w:lang w:val="es-ES"/>
        </w:rPr>
        <w:t>de Túnez sobre el derecho de autor para los países en desarrollo, 1976) y en un tratado internacional (el texto de Bangui de 1977 de la Convención de la Organización Africana de la Propiedad Intelectual, denominado en adelante “la Convención de la OAPl”).</w:t>
      </w:r>
      <w:r w:rsidR="00B834A4" w:rsidRPr="000D5434">
        <w:rPr>
          <w:szCs w:val="22"/>
          <w:lang w:val="es-ES"/>
        </w:rPr>
        <w:t xml:space="preserve"> </w:t>
      </w:r>
      <w:r w:rsidRPr="000D5434">
        <w:rPr>
          <w:szCs w:val="22"/>
          <w:lang w:val="es-ES"/>
        </w:rPr>
        <w:t>En todos estos textos las obras del folclore se consideran como parte del patrimonio cultural de la nación (“patrimonio tradicional”, “patrimonio cultural”;</w:t>
      </w:r>
      <w:r w:rsidR="00B834A4" w:rsidRPr="000D5434">
        <w:rPr>
          <w:szCs w:val="22"/>
          <w:lang w:val="es-ES"/>
        </w:rPr>
        <w:t xml:space="preserve"> </w:t>
      </w:r>
      <w:r w:rsidRPr="000D5434">
        <w:rPr>
          <w:szCs w:val="22"/>
          <w:lang w:val="es-ES"/>
        </w:rPr>
        <w:t>en Chile, “dominio público cultural”, cuya utilización está sujeta a pago).</w:t>
      </w:r>
      <w:r w:rsidR="00B834A4" w:rsidRPr="000D5434">
        <w:rPr>
          <w:szCs w:val="22"/>
          <w:lang w:val="es-ES"/>
        </w:rPr>
        <w:t xml:space="preserve"> </w:t>
      </w:r>
      <w:r w:rsidRPr="000D5434">
        <w:rPr>
          <w:szCs w:val="22"/>
          <w:lang w:val="es-ES"/>
        </w:rPr>
        <w:t>Sin embargo, el significado del folclore, tal como queda abarcado en esos textos, se comprende en formas diferentes.</w:t>
      </w:r>
      <w:r w:rsidR="00B834A4" w:rsidRPr="000D5434">
        <w:rPr>
          <w:szCs w:val="22"/>
          <w:lang w:val="es-ES"/>
        </w:rPr>
        <w:t xml:space="preserve"> </w:t>
      </w:r>
      <w:r w:rsidRPr="000D5434">
        <w:rPr>
          <w:szCs w:val="22"/>
          <w:lang w:val="es-ES"/>
        </w:rPr>
        <w:t xml:space="preserve">Un importante elemento común del tipo del derecho de autor, que se encuentra en las definiciones de dichas leyes (con excepción de la </w:t>
      </w:r>
      <w:r w:rsidR="00BA6F87" w:rsidRPr="000D5434">
        <w:rPr>
          <w:i/>
          <w:szCs w:val="22"/>
          <w:lang w:val="es-ES"/>
        </w:rPr>
        <w:t xml:space="preserve">Ley tipo </w:t>
      </w:r>
      <w:r w:rsidRPr="000D5434">
        <w:rPr>
          <w:i/>
          <w:szCs w:val="22"/>
          <w:lang w:val="es-ES"/>
        </w:rPr>
        <w:t>de Túnez</w:t>
      </w:r>
      <w:r w:rsidRPr="000D5434">
        <w:rPr>
          <w:szCs w:val="22"/>
          <w:lang w:val="es-ES"/>
        </w:rPr>
        <w:t>, que no contiene ninguna definición), es que el folclore debe haber sido creado por autores de identidad desconocida pero que presumiblemente sean o hayan sido nacionales del país.</w:t>
      </w:r>
      <w:r w:rsidR="00B834A4" w:rsidRPr="000D5434">
        <w:rPr>
          <w:szCs w:val="22"/>
          <w:lang w:val="es-ES"/>
        </w:rPr>
        <w:t xml:space="preserve"> </w:t>
      </w:r>
      <w:r w:rsidRPr="000D5434">
        <w:rPr>
          <w:szCs w:val="22"/>
          <w:lang w:val="es-ES"/>
        </w:rPr>
        <w:t xml:space="preserve">La </w:t>
      </w:r>
      <w:r w:rsidRPr="000D5434">
        <w:rPr>
          <w:i/>
          <w:szCs w:val="22"/>
          <w:lang w:val="es-ES"/>
        </w:rPr>
        <w:t>Convención de la OAPl</w:t>
      </w:r>
      <w:r w:rsidRPr="000D5434">
        <w:rPr>
          <w:szCs w:val="22"/>
          <w:lang w:val="es-ES"/>
        </w:rPr>
        <w:t xml:space="preserve"> menciona las creaciones hechas por “comunidades'“ y no por autores, lo que traza un límite entre las creaciones del folclore y las obras protegidas por el derecho de autor convencional.</w:t>
      </w:r>
      <w:r w:rsidR="00B834A4" w:rsidRPr="000D5434">
        <w:rPr>
          <w:szCs w:val="22"/>
          <w:lang w:val="es-ES"/>
        </w:rPr>
        <w:t xml:space="preserve"> </w:t>
      </w:r>
      <w:r w:rsidRPr="000D5434">
        <w:rPr>
          <w:szCs w:val="22"/>
          <w:lang w:val="es-ES"/>
        </w:rPr>
        <w:t xml:space="preserve">La </w:t>
      </w:r>
      <w:r w:rsidRPr="000D5434">
        <w:rPr>
          <w:i/>
          <w:szCs w:val="22"/>
          <w:lang w:val="es-ES"/>
        </w:rPr>
        <w:t xml:space="preserve">Ley </w:t>
      </w:r>
      <w:r w:rsidR="00BA6F87" w:rsidRPr="000D5434">
        <w:rPr>
          <w:i/>
          <w:szCs w:val="22"/>
          <w:lang w:val="es-ES"/>
        </w:rPr>
        <w:t xml:space="preserve">tipo </w:t>
      </w:r>
      <w:r w:rsidRPr="000D5434">
        <w:rPr>
          <w:i/>
          <w:szCs w:val="22"/>
          <w:lang w:val="es-ES"/>
        </w:rPr>
        <w:t>de Túnez</w:t>
      </w:r>
      <w:r w:rsidRPr="000D5434">
        <w:rPr>
          <w:szCs w:val="22"/>
          <w:lang w:val="es-ES"/>
        </w:rPr>
        <w:t xml:space="preserve"> define el folclore utilizando ambas variantes, y conforme a ella se considera que el folclore significa creaciones “de autores que se presuman nacionales de [los] países [respectivos] o de sus comunidades étnicas”.</w:t>
      </w:r>
      <w:r w:rsidR="00B834A4" w:rsidRPr="000D5434">
        <w:rPr>
          <w:szCs w:val="22"/>
          <w:lang w:val="es-ES"/>
        </w:rPr>
        <w:t xml:space="preserve"> </w:t>
      </w:r>
      <w:r w:rsidRPr="000D5434">
        <w:rPr>
          <w:szCs w:val="22"/>
          <w:lang w:val="es-ES"/>
        </w:rPr>
        <w:t>De conformidad con la Ley de Marruecos, el folclore comprende todas las obras no publicadas de esa clase, mientras que las Leyes de Argelia y Túnez no limitan el alcance del folclore a las obras no publicadas.</w:t>
      </w:r>
      <w:r w:rsidR="00B834A4" w:rsidRPr="000D5434">
        <w:rPr>
          <w:szCs w:val="22"/>
          <w:lang w:val="es-ES"/>
        </w:rPr>
        <w:t xml:space="preserve"> </w:t>
      </w:r>
      <w:r w:rsidRPr="000D5434">
        <w:rPr>
          <w:szCs w:val="22"/>
          <w:lang w:val="es-ES"/>
        </w:rPr>
        <w:t>La Ley de Senegal interpreta expresamente la noción de folclore en el sentido de que comprende tanto obras literarias como artísticas.</w:t>
      </w:r>
      <w:r w:rsidR="00B834A4" w:rsidRPr="000D5434">
        <w:rPr>
          <w:szCs w:val="22"/>
          <w:lang w:val="es-ES"/>
        </w:rPr>
        <w:t xml:space="preserve"> </w:t>
      </w:r>
      <w:r w:rsidRPr="000D5434">
        <w:rPr>
          <w:szCs w:val="22"/>
          <w:lang w:val="es-ES"/>
        </w:rPr>
        <w:t xml:space="preserve">La </w:t>
      </w:r>
      <w:r w:rsidRPr="000D5434">
        <w:rPr>
          <w:i/>
          <w:szCs w:val="22"/>
          <w:lang w:val="es-ES"/>
        </w:rPr>
        <w:t>Convención de la OAPl</w:t>
      </w:r>
      <w:r w:rsidRPr="000D5434">
        <w:rPr>
          <w:szCs w:val="22"/>
          <w:lang w:val="es-ES"/>
        </w:rPr>
        <w:t xml:space="preserve"> y la </w:t>
      </w:r>
      <w:r w:rsidRPr="000D5434">
        <w:rPr>
          <w:i/>
          <w:szCs w:val="22"/>
          <w:lang w:val="es-ES"/>
        </w:rPr>
        <w:t xml:space="preserve">Ley </w:t>
      </w:r>
      <w:r w:rsidR="00BA6F87" w:rsidRPr="000D5434">
        <w:rPr>
          <w:i/>
          <w:szCs w:val="22"/>
          <w:lang w:val="es-ES"/>
        </w:rPr>
        <w:t xml:space="preserve">tipo </w:t>
      </w:r>
      <w:r w:rsidRPr="000D5434">
        <w:rPr>
          <w:i/>
          <w:szCs w:val="22"/>
          <w:lang w:val="es-ES"/>
        </w:rPr>
        <w:t>de Túnez</w:t>
      </w:r>
      <w:r w:rsidRPr="000D5434">
        <w:rPr>
          <w:szCs w:val="22"/>
          <w:lang w:val="es-ES"/>
        </w:rPr>
        <w:t xml:space="preserve"> establecen que el folclore comprende también obras científicas.</w:t>
      </w:r>
      <w:r w:rsidR="00B834A4" w:rsidRPr="000D5434">
        <w:rPr>
          <w:szCs w:val="22"/>
          <w:lang w:val="es-ES"/>
        </w:rPr>
        <w:t xml:space="preserve"> </w:t>
      </w:r>
      <w:r w:rsidRPr="000D5434">
        <w:rPr>
          <w:szCs w:val="22"/>
          <w:lang w:val="es-ES"/>
        </w:rPr>
        <w:t>La mayoría de las normas jurídicas aludidas reconocen que las “obras inspiradas en el folclore” constituyen una categoría diferente de obras, cuya utilización con fines comerciales exige la aprobación de un órgano competente”.</w:t>
      </w:r>
      <w:r w:rsidRPr="000D5434">
        <w:rPr>
          <w:rStyle w:val="FootnoteReference"/>
          <w:szCs w:val="22"/>
          <w:lang w:val="es-ES"/>
        </w:rPr>
        <w:footnoteReference w:id="63"/>
      </w:r>
    </w:p>
    <w:p w:rsidR="00C0409B" w:rsidRPr="000D5434" w:rsidRDefault="00C0409B" w:rsidP="00A758A0">
      <w:pPr>
        <w:pStyle w:val="Heading1"/>
        <w:rPr>
          <w:b w:val="0"/>
          <w:bCs w:val="0"/>
          <w:szCs w:val="22"/>
          <w:lang w:val="es-ES"/>
        </w:rPr>
      </w:pPr>
      <w:bookmarkStart w:id="56" w:name="_Toc535584988"/>
      <w:r w:rsidRPr="000D5434">
        <w:rPr>
          <w:szCs w:val="22"/>
          <w:lang w:val="es-ES"/>
        </w:rPr>
        <w:t>Formalidades</w:t>
      </w:r>
      <w:bookmarkEnd w:id="56"/>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por “formalidades” se entiende “cada uno de los requisitos para ejecutar algo”.</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explica que son “cada uno de los actos o condiciones reglamentarios o legales que hay que cumplir en la tramitación o ejecución de algo”.</w:t>
      </w:r>
      <w:r w:rsidR="00B834A4" w:rsidRPr="000D5434">
        <w:rPr>
          <w:szCs w:val="22"/>
          <w:lang w:val="es-ES"/>
        </w:rPr>
        <w:t xml:space="preserve"> </w:t>
      </w:r>
      <w:r w:rsidRPr="000D5434">
        <w:rPr>
          <w:szCs w:val="22"/>
          <w:lang w:val="es-ES"/>
        </w:rPr>
        <w:t xml:space="preserve">En la </w:t>
      </w:r>
      <w:r w:rsidRPr="000D5434">
        <w:rPr>
          <w:szCs w:val="22"/>
          <w:lang w:val="es-ES"/>
        </w:rPr>
        <w:lastRenderedPageBreak/>
        <w:t>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0D5434">
        <w:rPr>
          <w:rStyle w:val="FootnoteReference"/>
          <w:szCs w:val="22"/>
          <w:lang w:val="es-ES"/>
        </w:rPr>
        <w:footnoteReference w:id="64"/>
      </w:r>
      <w:r w:rsidR="00B834A4" w:rsidRPr="000D5434">
        <w:rPr>
          <w:szCs w:val="22"/>
          <w:lang w:val="es-ES"/>
        </w:rPr>
        <w:t xml:space="preserve"> </w:t>
      </w: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el </w:t>
      </w:r>
      <w:r w:rsidRPr="000D5434">
        <w:rPr>
          <w:i/>
          <w:szCs w:val="22"/>
          <w:lang w:val="es-ES"/>
        </w:rPr>
        <w:t>Acuerdo sobre los ADPIC</w:t>
      </w:r>
      <w:r w:rsidRPr="000D5434">
        <w:rPr>
          <w:szCs w:val="22"/>
          <w:lang w:val="es-ES"/>
        </w:rPr>
        <w:t xml:space="preserve">, el </w:t>
      </w:r>
      <w:r w:rsidRPr="000D5434">
        <w:rPr>
          <w:i/>
          <w:szCs w:val="22"/>
          <w:lang w:val="es-ES"/>
        </w:rPr>
        <w:t>Tratado de la OMPI sobre Derecho de Autor</w:t>
      </w:r>
      <w:r w:rsidRPr="000D5434">
        <w:rPr>
          <w:szCs w:val="22"/>
          <w:lang w:val="es-ES"/>
        </w:rPr>
        <w:t xml:space="preserve"> y el </w:t>
      </w:r>
      <w:r w:rsidRPr="000D5434">
        <w:rPr>
          <w:i/>
          <w:szCs w:val="22"/>
          <w:lang w:val="es-ES"/>
        </w:rPr>
        <w:t>Tratado de la OMPI sobre Interpretación o Ejecución y Fonogramas</w:t>
      </w:r>
      <w:r w:rsidRPr="000D5434">
        <w:rPr>
          <w:szCs w:val="22"/>
          <w:lang w:val="es-ES"/>
        </w:rPr>
        <w:t>, “el goce y el ejercicio de estos derechos no estarán subordinados a ninguna formalidad”.</w:t>
      </w:r>
      <w:r w:rsidRPr="000D5434">
        <w:rPr>
          <w:rStyle w:val="FootnoteReference"/>
          <w:szCs w:val="22"/>
          <w:lang w:val="es-ES"/>
        </w:rPr>
        <w:footnoteReference w:id="65"/>
      </w:r>
    </w:p>
    <w:p w:rsidR="00C0409B" w:rsidRPr="000D5434" w:rsidRDefault="00C0409B" w:rsidP="00A758A0">
      <w:pPr>
        <w:pStyle w:val="Heading1"/>
        <w:rPr>
          <w:b w:val="0"/>
          <w:bCs w:val="0"/>
          <w:szCs w:val="22"/>
          <w:lang w:val="es-ES"/>
        </w:rPr>
      </w:pPr>
      <w:bookmarkStart w:id="57" w:name="_Toc535584989"/>
      <w:r w:rsidRPr="000D5434">
        <w:rPr>
          <w:szCs w:val="22"/>
          <w:lang w:val="es-ES"/>
        </w:rPr>
        <w:t>Material genético</w:t>
      </w:r>
      <w:bookmarkEnd w:id="57"/>
    </w:p>
    <w:p w:rsidR="00C0409B" w:rsidRPr="000D5434" w:rsidRDefault="00C0409B" w:rsidP="00103D66">
      <w:pPr>
        <w:pStyle w:val="ONUMFS"/>
        <w:numPr>
          <w:ilvl w:val="0"/>
          <w:numId w:val="0"/>
        </w:numPr>
        <w:rPr>
          <w:b/>
          <w:szCs w:val="22"/>
          <w:lang w:val="es-ES"/>
        </w:rPr>
      </w:pPr>
      <w:r w:rsidRPr="000D5434">
        <w:rPr>
          <w:szCs w:val="22"/>
          <w:lang w:val="es-ES"/>
        </w:rPr>
        <w:t xml:space="preserve">En el artículo 2 del </w:t>
      </w:r>
      <w:r w:rsidRPr="000D5434">
        <w:rPr>
          <w:i/>
          <w:szCs w:val="22"/>
          <w:lang w:val="es-ES"/>
        </w:rPr>
        <w:t>Convenio sobre la Diversidad Biológica</w:t>
      </w:r>
      <w:r w:rsidRPr="000D5434">
        <w:rPr>
          <w:szCs w:val="22"/>
          <w:lang w:val="es-ES"/>
        </w:rPr>
        <w:t xml:space="preserve"> (1992) se define “material genético” como “todo material de origen vegetal, animal, microbiano o de otro tipo que contenga unidades funcionales de la herencia”.</w:t>
      </w:r>
      <w:r w:rsidR="00B834A4" w:rsidRPr="000D5434">
        <w:rPr>
          <w:szCs w:val="22"/>
          <w:lang w:val="es-ES"/>
        </w:rPr>
        <w:t xml:space="preserve"> </w:t>
      </w:r>
      <w:r w:rsidRPr="000D5434">
        <w:rPr>
          <w:szCs w:val="22"/>
          <w:lang w:val="es-ES"/>
        </w:rPr>
        <w:t>También se ha propuesto definir el término de “material genético” como “material procedente de toda fuente biológica en que las unidades de la herencia efectúan o tienen una función”.</w:t>
      </w:r>
      <w:r w:rsidRPr="000D5434">
        <w:rPr>
          <w:rStyle w:val="FootnoteReference"/>
          <w:szCs w:val="22"/>
          <w:lang w:val="es-ES"/>
        </w:rPr>
        <w:footnoteReference w:id="66"/>
      </w:r>
    </w:p>
    <w:p w:rsidR="00C0409B" w:rsidRPr="000D5434" w:rsidRDefault="00C0409B" w:rsidP="00A758A0">
      <w:pPr>
        <w:pStyle w:val="Heading1"/>
        <w:rPr>
          <w:b w:val="0"/>
          <w:bCs w:val="0"/>
          <w:szCs w:val="22"/>
          <w:lang w:val="es-ES"/>
        </w:rPr>
      </w:pPr>
      <w:bookmarkStart w:id="58" w:name="_Toc535584990"/>
      <w:r w:rsidRPr="000D5434">
        <w:rPr>
          <w:szCs w:val="22"/>
          <w:lang w:val="es-ES"/>
        </w:rPr>
        <w:t>Recursos genéticos</w:t>
      </w:r>
      <w:bookmarkEnd w:id="58"/>
    </w:p>
    <w:p w:rsidR="00C0409B" w:rsidRPr="000D5434" w:rsidRDefault="00C0409B" w:rsidP="00103D66">
      <w:pPr>
        <w:pStyle w:val="ONUMFS"/>
        <w:numPr>
          <w:ilvl w:val="0"/>
          <w:numId w:val="0"/>
        </w:numPr>
        <w:rPr>
          <w:szCs w:val="22"/>
          <w:lang w:val="es-ES"/>
        </w:rPr>
      </w:pPr>
      <w:r w:rsidRPr="000D5434">
        <w:rPr>
          <w:szCs w:val="22"/>
          <w:lang w:val="es-ES"/>
        </w:rPr>
        <w:t xml:space="preserve">En el artículo 2 del </w:t>
      </w:r>
      <w:r w:rsidRPr="000D5434">
        <w:rPr>
          <w:i/>
          <w:szCs w:val="22"/>
          <w:lang w:val="es-ES"/>
        </w:rPr>
        <w:t>Convenio sobre la Diversidad Biológica</w:t>
      </w:r>
      <w:r w:rsidRPr="000D5434">
        <w:rPr>
          <w:szCs w:val="22"/>
          <w:lang w:val="es-ES"/>
        </w:rPr>
        <w:t xml:space="preserve"> (1992) se define “</w:t>
      </w:r>
      <w:r w:rsidRPr="000D5434">
        <w:rPr>
          <w:iCs/>
          <w:szCs w:val="22"/>
          <w:lang w:val="es-ES"/>
        </w:rPr>
        <w:t>recursos genéticos”</w:t>
      </w:r>
      <w:r w:rsidRPr="000D5434">
        <w:rPr>
          <w:szCs w:val="22"/>
          <w:lang w:val="es-ES"/>
        </w:rPr>
        <w:t xml:space="preserve"> como “todo material genético de valor real o potencial”.</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acerca de un Régimen Común sobre Acceso a los Recursos Genéticos</w:t>
      </w:r>
      <w:r w:rsidRPr="000D5434">
        <w:rPr>
          <w:szCs w:val="22"/>
          <w:lang w:val="es-ES"/>
        </w:rPr>
        <w:t xml:space="preserve">, </w:t>
      </w:r>
      <w:r w:rsidR="00642D79" w:rsidRPr="000D5434">
        <w:rPr>
          <w:szCs w:val="22"/>
          <w:lang w:val="es-ES"/>
        </w:rPr>
        <w:t xml:space="preserve">de la Comunidad Andina, </w:t>
      </w:r>
      <w:r w:rsidRPr="000D5434">
        <w:rPr>
          <w:szCs w:val="22"/>
          <w:lang w:val="es-ES"/>
        </w:rPr>
        <w:t>el término de “recursos genéticos” se define ampliamente como “todo material de naturaleza biológica que contenga información genética de valor o utilidad real o potencial”.</w:t>
      </w:r>
    </w:p>
    <w:p w:rsidR="00C0409B" w:rsidRPr="000D5434" w:rsidRDefault="00C0409B" w:rsidP="00103D66">
      <w:pPr>
        <w:pStyle w:val="ONUMFS"/>
        <w:numPr>
          <w:ilvl w:val="0"/>
          <w:numId w:val="0"/>
        </w:numPr>
        <w:rPr>
          <w:szCs w:val="22"/>
          <w:lang w:val="es-ES"/>
        </w:rPr>
      </w:pPr>
      <w:r w:rsidRPr="000D5434">
        <w:rPr>
          <w:szCs w:val="22"/>
          <w:lang w:val="es-ES"/>
        </w:rPr>
        <w:t>En el Glosario de pesca de la FAO, el término se define como “germoplasma vegetal, animal o de otros organismos que contiene características útiles de valor presente o futuro.</w:t>
      </w:r>
      <w:r w:rsidR="00B834A4" w:rsidRPr="000D5434">
        <w:rPr>
          <w:szCs w:val="22"/>
          <w:lang w:val="es-ES"/>
        </w:rPr>
        <w:t xml:space="preserve"> </w:t>
      </w:r>
      <w:r w:rsidRPr="000D5434">
        <w:rPr>
          <w:szCs w:val="22"/>
          <w:lang w:val="es-ES"/>
        </w:rPr>
        <w:t>En especies domesticadas, es la suma de todas las combinaciones genéticas producidas en el proceso de evolución”.</w:t>
      </w:r>
    </w:p>
    <w:p w:rsidR="00C0409B" w:rsidRPr="000D5434" w:rsidRDefault="00C0409B" w:rsidP="00103D66">
      <w:pPr>
        <w:pStyle w:val="ONUMFS"/>
        <w:numPr>
          <w:ilvl w:val="0"/>
          <w:numId w:val="0"/>
        </w:numPr>
        <w:rPr>
          <w:szCs w:val="22"/>
          <w:lang w:val="es-ES"/>
        </w:rPr>
      </w:pPr>
      <w:r w:rsidRPr="000D5434">
        <w:rPr>
          <w:szCs w:val="22"/>
          <w:lang w:val="es-ES"/>
        </w:rPr>
        <w:t>En otros instrumentos jurídicos se hace referencia a los recursos genéticos mediante diferentes términos:</w:t>
      </w:r>
    </w:p>
    <w:p w:rsidR="00C0409B" w:rsidRPr="000D5434" w:rsidRDefault="00C0409B" w:rsidP="00103D66">
      <w:pPr>
        <w:pStyle w:val="ONUMFS"/>
        <w:numPr>
          <w:ilvl w:val="0"/>
          <w:numId w:val="0"/>
        </w:numPr>
        <w:rPr>
          <w:i/>
          <w:szCs w:val="22"/>
          <w:lang w:val="es-ES"/>
        </w:rPr>
      </w:pPr>
      <w:r w:rsidRPr="000D5434">
        <w:rPr>
          <w:rStyle w:val="Emphasis"/>
          <w:i w:val="0"/>
          <w:szCs w:val="22"/>
          <w:lang w:val="es-ES"/>
        </w:rPr>
        <w:t>Según el artículo 2 del</w:t>
      </w:r>
      <w:r w:rsidRPr="000D5434">
        <w:rPr>
          <w:rStyle w:val="Emphasis"/>
          <w:szCs w:val="22"/>
          <w:lang w:val="es-ES"/>
        </w:rPr>
        <w:t xml:space="preserve"> Tratado Internacional sobre los Recursos Fitogenéticos para la Alimentación y la Agricultura </w:t>
      </w:r>
      <w:r w:rsidRPr="000D5434">
        <w:rPr>
          <w:rStyle w:val="Emphasis"/>
          <w:i w:val="0"/>
          <w:szCs w:val="22"/>
          <w:lang w:val="es-ES"/>
        </w:rPr>
        <w:t>de la FAO, por “recursos fitogenéticos” se entiende “todo material de origen vegetal, incluido el material reproductivo y de propagación vegetativa, que contiene unidades funcionales de la herencia”.</w:t>
      </w:r>
    </w:p>
    <w:p w:rsidR="00C0409B" w:rsidRPr="000D5434" w:rsidRDefault="00C0409B" w:rsidP="00103D66">
      <w:pPr>
        <w:pStyle w:val="ONUMFS"/>
        <w:numPr>
          <w:ilvl w:val="0"/>
          <w:numId w:val="0"/>
        </w:numPr>
        <w:rPr>
          <w:i/>
          <w:szCs w:val="22"/>
          <w:lang w:val="es-ES"/>
        </w:rPr>
      </w:pPr>
      <w:r w:rsidRPr="000D5434">
        <w:rPr>
          <w:rStyle w:val="Emphasis"/>
          <w:i w:val="0"/>
          <w:szCs w:val="22"/>
          <w:lang w:val="es-ES"/>
        </w:rPr>
        <w:t>En el artículo 2 del</w:t>
      </w:r>
      <w:r w:rsidRPr="000D5434">
        <w:rPr>
          <w:rStyle w:val="Emphasis"/>
          <w:szCs w:val="22"/>
          <w:lang w:val="es-ES"/>
        </w:rPr>
        <w:t xml:space="preserve"> Código Internacional de Conducta para la Recolección y Transferencia de Germoplasma Vegetal </w:t>
      </w:r>
      <w:r w:rsidRPr="000D5434">
        <w:rPr>
          <w:rStyle w:val="Emphasis"/>
          <w:i w:val="0"/>
          <w:szCs w:val="22"/>
          <w:lang w:val="es-ES"/>
        </w:rPr>
        <w:t>de la FAO, el término se define como “material de reproducción o de propagación vegetativa de las plantas”.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2.1.a) del </w:t>
      </w:r>
      <w:r w:rsidRPr="000D5434">
        <w:rPr>
          <w:i/>
          <w:szCs w:val="22"/>
          <w:lang w:val="es-ES"/>
        </w:rPr>
        <w:t>Compromiso Internacional sobre los Recursos Fitogenéticos</w:t>
      </w:r>
      <w:r w:rsidRPr="000D5434">
        <w:rPr>
          <w:szCs w:val="22"/>
          <w:lang w:val="es-ES"/>
        </w:rPr>
        <w:t xml:space="preserve"> (1983), </w:t>
      </w:r>
      <w:r w:rsidR="00642D79" w:rsidRPr="000D5434">
        <w:rPr>
          <w:szCs w:val="22"/>
          <w:lang w:val="es-ES"/>
        </w:rPr>
        <w:t xml:space="preserve">de la FAO, </w:t>
      </w:r>
      <w:r w:rsidRPr="000D5434">
        <w:rPr>
          <w:szCs w:val="22"/>
          <w:lang w:val="es-ES"/>
        </w:rPr>
        <w:t>el término se define como “material de reproducción o de propagación vegetativa de las siguientes clases de plantas:</w:t>
      </w:r>
      <w:r w:rsidR="00B834A4" w:rsidRPr="000D5434">
        <w:rPr>
          <w:szCs w:val="22"/>
          <w:lang w:val="es-ES"/>
        </w:rPr>
        <w:t xml:space="preserve"> </w:t>
      </w:r>
      <w:r w:rsidRPr="000D5434">
        <w:rPr>
          <w:szCs w:val="22"/>
          <w:lang w:val="es-ES"/>
        </w:rPr>
        <w:t>i) variedades cultivadas (cultivares) utilizadas actualmente y variedades recién obtenidas;</w:t>
      </w:r>
      <w:r w:rsidR="00B834A4" w:rsidRPr="000D5434">
        <w:rPr>
          <w:szCs w:val="22"/>
          <w:lang w:val="es-ES"/>
        </w:rPr>
        <w:t xml:space="preserve"> </w:t>
      </w:r>
      <w:r w:rsidRPr="000D5434">
        <w:rPr>
          <w:szCs w:val="22"/>
          <w:lang w:val="es-ES"/>
        </w:rPr>
        <w:t>ii) cultivares en desuso;</w:t>
      </w:r>
      <w:r w:rsidR="00B834A4" w:rsidRPr="000D5434">
        <w:rPr>
          <w:szCs w:val="22"/>
          <w:lang w:val="es-ES"/>
        </w:rPr>
        <w:t xml:space="preserve"> </w:t>
      </w:r>
      <w:r w:rsidRPr="000D5434">
        <w:rPr>
          <w:szCs w:val="22"/>
          <w:lang w:val="es-ES"/>
        </w:rPr>
        <w:t xml:space="preserve">iii) cultivares primitivos </w:t>
      </w:r>
      <w:r w:rsidRPr="000D5434">
        <w:rPr>
          <w:szCs w:val="22"/>
          <w:lang w:val="es-ES"/>
        </w:rPr>
        <w:lastRenderedPageBreak/>
        <w:t>(variedades locales);</w:t>
      </w:r>
      <w:r w:rsidR="00B834A4" w:rsidRPr="000D5434">
        <w:rPr>
          <w:szCs w:val="22"/>
          <w:lang w:val="es-ES"/>
        </w:rPr>
        <w:t xml:space="preserve"> </w:t>
      </w:r>
      <w:r w:rsidRPr="000D5434">
        <w:rPr>
          <w:szCs w:val="22"/>
          <w:lang w:val="es-ES"/>
        </w:rPr>
        <w:t>iv) especies silvestres y malas hierbas, parientes próximas de variedades cultivadas;</w:t>
      </w:r>
      <w:r w:rsidR="00B834A4" w:rsidRPr="000D5434">
        <w:rPr>
          <w:szCs w:val="22"/>
          <w:lang w:val="es-ES"/>
        </w:rPr>
        <w:t xml:space="preserve"> </w:t>
      </w:r>
      <w:r w:rsidRPr="000D5434">
        <w:rPr>
          <w:szCs w:val="22"/>
          <w:lang w:val="es-ES"/>
        </w:rPr>
        <w:t>y v) estirpes genéticas especiales (entre ellas las líneas y mutantes selectos y actuales de los fitogenetistas)”.</w:t>
      </w:r>
      <w:r w:rsidR="00B834A4" w:rsidRPr="000D5434">
        <w:rPr>
          <w:szCs w:val="22"/>
          <w:lang w:val="es-ES"/>
        </w:rPr>
        <w:t xml:space="preserve"> </w:t>
      </w:r>
      <w:r w:rsidRPr="000D5434">
        <w:rPr>
          <w:szCs w:val="22"/>
          <w:lang w:val="es-ES"/>
        </w:rPr>
        <w:t>En el Compromiso Internacional no se hace referencia a las “unidades funcionales de la herencia”.</w:t>
      </w:r>
    </w:p>
    <w:p w:rsidR="00C0409B" w:rsidRPr="000D5434" w:rsidRDefault="00C0409B" w:rsidP="00A758A0">
      <w:pPr>
        <w:pStyle w:val="Heading1"/>
        <w:rPr>
          <w:b w:val="0"/>
          <w:bCs w:val="0"/>
          <w:szCs w:val="22"/>
          <w:lang w:val="es-ES"/>
        </w:rPr>
      </w:pPr>
      <w:bookmarkStart w:id="59" w:name="_Toc535584991"/>
      <w:r w:rsidRPr="000D5434">
        <w:rPr>
          <w:szCs w:val="22"/>
          <w:lang w:val="es-ES"/>
        </w:rPr>
        <w:t>Patrimonio (de los pueblos indígenas)</w:t>
      </w:r>
      <w:bookmarkEnd w:id="59"/>
    </w:p>
    <w:p w:rsidR="00C0409B" w:rsidRPr="000D5434" w:rsidRDefault="00C0409B" w:rsidP="00B16297">
      <w:pPr>
        <w:pStyle w:val="ONUMFS"/>
        <w:numPr>
          <w:ilvl w:val="0"/>
          <w:numId w:val="0"/>
        </w:numPr>
        <w:rPr>
          <w:szCs w:val="22"/>
          <w:lang w:val="es-ES"/>
        </w:rPr>
      </w:pPr>
      <w:r w:rsidRPr="000D5434">
        <w:rPr>
          <w:szCs w:val="22"/>
          <w:lang w:val="es-ES"/>
        </w:rPr>
        <w:t xml:space="preserve">El término “patrimonio de los pueblos indígenas” (y otros pueblos) o “patrimonio cultural indígena” se refiere, en un sentido amplio, a las cuestiones que se exponen en el </w:t>
      </w:r>
      <w:r w:rsidRPr="000D5434">
        <w:rPr>
          <w:i/>
          <w:szCs w:val="22"/>
          <w:lang w:val="es-ES"/>
        </w:rPr>
        <w:t>Proyecto de principios y directrices para la protección del patrimonio de los pueblos indígenas</w:t>
      </w:r>
      <w:r w:rsidRPr="000D5434">
        <w:rPr>
          <w:szCs w:val="22"/>
          <w:lang w:val="es-ES"/>
        </w:rPr>
        <w:t xml:space="preserve"> (2000), elaborado por la Presidenta-Relatora de la Subcomisión de Promoción y Protección de los Derechos Humanos, Sra. Erica-Irene Daes.</w:t>
      </w:r>
      <w:r w:rsidR="00B834A4" w:rsidRPr="000D5434">
        <w:rPr>
          <w:szCs w:val="22"/>
          <w:lang w:val="es-ES"/>
        </w:rPr>
        <w:t xml:space="preserve"> </w:t>
      </w:r>
      <w:r w:rsidRPr="000D5434">
        <w:rPr>
          <w:szCs w:val="22"/>
          <w:lang w:val="es-ES"/>
        </w:rPr>
        <w:t>Las definiciones se recogen en los párrafos 12, 13 y 14 de las Directrices.</w:t>
      </w:r>
    </w:p>
    <w:p w:rsidR="00C0409B" w:rsidRPr="000D5434" w:rsidRDefault="00C0409B" w:rsidP="00103D66">
      <w:pPr>
        <w:pStyle w:val="ONUMFS"/>
        <w:numPr>
          <w:ilvl w:val="0"/>
          <w:numId w:val="0"/>
        </w:numPr>
        <w:rPr>
          <w:szCs w:val="22"/>
          <w:lang w:val="es-ES"/>
        </w:rPr>
      </w:pPr>
      <w:r w:rsidRPr="000D5434">
        <w:rPr>
          <w:szCs w:val="22"/>
          <w:lang w:val="es-ES"/>
        </w:rPr>
        <w:t>En el párrafo 12 se establece que:</w:t>
      </w:r>
      <w:r w:rsidR="00B834A4" w:rsidRPr="000D5434">
        <w:rPr>
          <w:szCs w:val="22"/>
          <w:lang w:val="es-ES"/>
        </w:rPr>
        <w:t xml:space="preserve"> </w:t>
      </w:r>
      <w:r w:rsidRPr="000D5434">
        <w:rPr>
          <w:szCs w:val="22"/>
          <w:lang w:val="es-ES"/>
        </w:rPr>
        <w:t>“El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w:t>
      </w:r>
      <w:r w:rsidR="00B834A4" w:rsidRPr="000D5434">
        <w:rPr>
          <w:szCs w:val="22"/>
          <w:lang w:val="es-ES"/>
        </w:rPr>
        <w:t xml:space="preserve"> </w:t>
      </w:r>
      <w:r w:rsidRPr="000D5434">
        <w:rPr>
          <w:szCs w:val="22"/>
          <w:lang w:val="es-ES"/>
        </w:rPr>
        <w:t>El patrimonio de los pueblos indígenas incluye también los objetos, lugares, conocimientos y obras literarias o artísticas que puedan crearse o redescubrirse en el futuro inspirados en esa herencia”.</w:t>
      </w:r>
      <w:r w:rsidR="00B834A4" w:rsidRPr="000D5434">
        <w:rPr>
          <w:szCs w:val="22"/>
          <w:lang w:val="es-ES"/>
        </w:rPr>
        <w:t xml:space="preserve"> </w:t>
      </w:r>
      <w:r w:rsidRPr="000D5434">
        <w:rPr>
          <w:szCs w:val="22"/>
          <w:lang w:val="es-ES"/>
        </w:rPr>
        <w:t>Párrafo 13:</w:t>
      </w:r>
      <w:r w:rsidR="00B834A4" w:rsidRPr="000D5434">
        <w:rPr>
          <w:szCs w:val="22"/>
          <w:lang w:val="es-ES"/>
        </w:rPr>
        <w:t xml:space="preserve"> </w:t>
      </w:r>
      <w:r w:rsidRPr="000D5434">
        <w:rPr>
          <w:szCs w:val="22"/>
          <w:lang w:val="es-ES"/>
        </w:rPr>
        <w:t>“Por patrimonio de los pueblos indígenas se entiende todos los bienes culturales muebles definidos en las convenciones pertinentes de la UNESCO;</w:t>
      </w:r>
      <w:r w:rsidR="00B834A4" w:rsidRPr="000D5434">
        <w:rPr>
          <w:szCs w:val="22"/>
          <w:lang w:val="es-ES"/>
        </w:rPr>
        <w:t xml:space="preserve"> </w:t>
      </w:r>
      <w:r w:rsidRPr="000D5434">
        <w:rPr>
          <w:szCs w:val="22"/>
          <w:lang w:val="es-ES"/>
        </w:rPr>
        <w:t>todos los tipos de obras literarias y artísticas como música, baile, canciones, ceremonias, símbolos y diseños, narración y poesía;</w:t>
      </w:r>
      <w:r w:rsidR="00B834A4" w:rsidRPr="000D5434">
        <w:rPr>
          <w:szCs w:val="22"/>
          <w:lang w:val="es-ES"/>
        </w:rPr>
        <w:t xml:space="preserve"> </w:t>
      </w:r>
      <w:r w:rsidRPr="000D5434">
        <w:rPr>
          <w:szCs w:val="22"/>
          <w:lang w:val="es-ES"/>
        </w:rPr>
        <w:t>y todas las formas de documentación de los pueblos indígenas o sobre ellos;</w:t>
      </w:r>
      <w:r w:rsidR="00B834A4" w:rsidRPr="000D5434">
        <w:rPr>
          <w:szCs w:val="22"/>
          <w:lang w:val="es-ES"/>
        </w:rPr>
        <w:t xml:space="preserve"> </w:t>
      </w:r>
      <w:r w:rsidRPr="000D5434">
        <w:rPr>
          <w:szCs w:val="22"/>
          <w:lang w:val="es-ES"/>
        </w:rPr>
        <w:t>todo tipo de conocimientos científicos, agrícolas, técnicos y ecológicos, incluidas las innovaciones basadas en esos conocimientos, cultígenos, remedios, medicinas y el uso de la flora y de la fauna;</w:t>
      </w:r>
      <w:r w:rsidR="00B834A4" w:rsidRPr="000D5434">
        <w:rPr>
          <w:szCs w:val="22"/>
          <w:lang w:val="es-ES"/>
        </w:rPr>
        <w:t xml:space="preserve"> </w:t>
      </w:r>
      <w:r w:rsidRPr="000D5434">
        <w:rPr>
          <w:szCs w:val="22"/>
          <w:lang w:val="es-ES"/>
        </w:rPr>
        <w:t>restos humanos;</w:t>
      </w:r>
      <w:r w:rsidR="00B834A4" w:rsidRPr="000D5434">
        <w:rPr>
          <w:szCs w:val="22"/>
          <w:lang w:val="es-ES"/>
        </w:rPr>
        <w:t xml:space="preserve"> </w:t>
      </w:r>
      <w:r w:rsidRPr="000D5434">
        <w:rPr>
          <w:szCs w:val="22"/>
          <w:lang w:val="es-ES"/>
        </w:rPr>
        <w:t>bienes culturales inmuebles, como lugares sagrados, emplazamientos de valor cultural, natural e histórico y enterramientos”.</w:t>
      </w:r>
      <w:r w:rsidR="00B834A4" w:rsidRPr="000D5434">
        <w:rPr>
          <w:szCs w:val="22"/>
          <w:lang w:val="es-ES"/>
        </w:rPr>
        <w:t xml:space="preserve"> </w:t>
      </w:r>
      <w:r w:rsidRPr="000D5434">
        <w:rPr>
          <w:szCs w:val="22"/>
          <w:lang w:val="es-ES"/>
        </w:rPr>
        <w:t>Párrafo 14:</w:t>
      </w:r>
      <w:r w:rsidR="00B834A4" w:rsidRPr="000D5434">
        <w:rPr>
          <w:szCs w:val="22"/>
          <w:lang w:val="es-ES"/>
        </w:rPr>
        <w:t xml:space="preserve"> </w:t>
      </w:r>
      <w:r w:rsidRPr="000D5434">
        <w:rPr>
          <w:szCs w:val="22"/>
          <w:lang w:val="es-ES"/>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w:t>
      </w:r>
      <w:r w:rsidR="00B834A4" w:rsidRPr="000D5434">
        <w:rPr>
          <w:szCs w:val="22"/>
          <w:lang w:val="es-ES"/>
        </w:rPr>
        <w:t xml:space="preserve"> </w:t>
      </w:r>
      <w:r w:rsidRPr="000D5434">
        <w:rPr>
          <w:szCs w:val="22"/>
          <w:lang w:val="es-ES"/>
        </w:rPr>
        <w:t>Se debe determinar quiénes son los propietarios del patrimonio con arreglo a las propias costumbres, leyes y prácticas de los pueblos indígenas”.</w:t>
      </w:r>
      <w:r w:rsidR="00B834A4" w:rsidRPr="000D5434">
        <w:rPr>
          <w:szCs w:val="22"/>
          <w:lang w:val="es-ES"/>
        </w:rPr>
        <w:t xml:space="preserve"> </w:t>
      </w:r>
      <w:r w:rsidRPr="000D5434">
        <w:rPr>
          <w:szCs w:val="22"/>
          <w:lang w:val="es-ES"/>
        </w:rPr>
        <w:t>“A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w:t>
      </w:r>
      <w:r w:rsidR="00B834A4" w:rsidRPr="000D5434">
        <w:rPr>
          <w:szCs w:val="22"/>
          <w:lang w:val="es-ES"/>
        </w:rPr>
        <w:t xml:space="preserve"> </w:t>
      </w:r>
      <w:r w:rsidRPr="000D5434">
        <w:rPr>
          <w:szCs w:val="22"/>
          <w:lang w:val="es-ES"/>
        </w:rPr>
        <w:t>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w:t>
      </w:r>
      <w:r w:rsidR="00B834A4" w:rsidRPr="000D5434">
        <w:rPr>
          <w:szCs w:val="22"/>
          <w:lang w:val="es-ES"/>
        </w:rPr>
        <w:t xml:space="preserve"> </w:t>
      </w:r>
      <w:r w:rsidRPr="000D5434">
        <w:rPr>
          <w:szCs w:val="22"/>
          <w:lang w:val="es-ES"/>
        </w:rPr>
        <w:t>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w:t>
      </w:r>
      <w:r w:rsidR="00B834A4" w:rsidRPr="000D5434">
        <w:rPr>
          <w:szCs w:val="22"/>
          <w:lang w:val="es-ES"/>
        </w:rPr>
        <w:t xml:space="preserve"> </w:t>
      </w:r>
      <w:r w:rsidRPr="000D5434">
        <w:rPr>
          <w:szCs w:val="22"/>
          <w:lang w:val="es-ES"/>
        </w:rPr>
        <w:t>Los pueblos indígenas recrean constantemente el patrimonio cultural, transmitido de una generación a otra, en función de los cambios de su entorno y su interacción con la naturaleza y su historia, que les da identidad y continuidad”.</w:t>
      </w:r>
      <w:r w:rsidRPr="000D5434">
        <w:rPr>
          <w:rStyle w:val="FootnoteReference"/>
          <w:szCs w:val="22"/>
          <w:lang w:val="es-ES"/>
        </w:rPr>
        <w:footnoteReference w:id="67"/>
      </w:r>
    </w:p>
    <w:p w:rsidR="00156388" w:rsidRPr="000D5434" w:rsidRDefault="00156388" w:rsidP="00A758A0">
      <w:pPr>
        <w:pStyle w:val="Heading1"/>
        <w:rPr>
          <w:szCs w:val="22"/>
          <w:lang w:val="es-ES"/>
        </w:rPr>
      </w:pPr>
      <w:bookmarkStart w:id="60" w:name="_Toc535584992"/>
      <w:r w:rsidRPr="000D5434">
        <w:rPr>
          <w:szCs w:val="22"/>
          <w:lang w:val="es-ES"/>
        </w:rPr>
        <w:lastRenderedPageBreak/>
        <w:t>Poseedor</w:t>
      </w:r>
      <w:bookmarkEnd w:id="60"/>
    </w:p>
    <w:p w:rsidR="00156388" w:rsidRPr="000D5434" w:rsidRDefault="00156388" w:rsidP="00103D66">
      <w:pPr>
        <w:pStyle w:val="ONUMFS"/>
        <w:numPr>
          <w:ilvl w:val="0"/>
          <w:numId w:val="0"/>
        </w:numPr>
        <w:rPr>
          <w:szCs w:val="22"/>
          <w:lang w:val="es-ES"/>
        </w:rPr>
      </w:pPr>
      <w:r w:rsidRPr="000D5434">
        <w:rPr>
          <w:szCs w:val="22"/>
          <w:lang w:val="es-ES"/>
        </w:rPr>
        <w:t>En el Diccionario Enciclopédico de Derecho Usual de Guillermo Cabanellas se define “poseedor” como “quien posee o tiene algo en su poder”.</w:t>
      </w:r>
      <w:r w:rsidR="00B834A4" w:rsidRPr="000D5434">
        <w:rPr>
          <w:szCs w:val="22"/>
          <w:lang w:val="es-ES"/>
        </w:rPr>
        <w:t xml:space="preserve"> </w:t>
      </w:r>
      <w:r w:rsidRPr="000D5434">
        <w:rPr>
          <w:szCs w:val="22"/>
          <w:lang w:val="es-ES"/>
        </w:rPr>
        <w:t>A su vez, en el Diccionario de la lengua española de la Real Academia Española se define “posesión” como una “[s]ituación de poder de hecho sobre las cosas o los derechos, a la que se otorga una protección jurídica provisional que no prejuzga la titularidad de los mismos”.</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“holder” se define como una persona que tiene la posesión jurídica de un instrumento negociable que le otorga el derecho a recibir un pago por </w:t>
      </w:r>
      <w:r w:rsidR="00D4348B">
        <w:rPr>
          <w:szCs w:val="22"/>
          <w:lang w:val="es-ES"/>
        </w:rPr>
        <w:t>este</w:t>
      </w:r>
      <w:r w:rsidRPr="000D5434">
        <w:rPr>
          <w:szCs w:val="22"/>
          <w:lang w:val="es-ES"/>
        </w:rPr>
        <w:t>.</w:t>
      </w:r>
      <w:r w:rsidR="00B834A4" w:rsidRPr="000D5434">
        <w:rPr>
          <w:szCs w:val="22"/>
          <w:lang w:val="es-ES"/>
        </w:rPr>
        <w:t xml:space="preserve"> </w:t>
      </w:r>
      <w:r w:rsidRPr="000D5434">
        <w:rPr>
          <w:szCs w:val="22"/>
          <w:lang w:val="es-ES"/>
        </w:rPr>
        <w:t>La OMPI utiliza este término para referirse a cualquier persona que cree, genere, desarrolle y practique conocimientos tradicionales en un contexto y unas condiciones tradicionales.</w:t>
      </w:r>
      <w:r w:rsidR="00B834A4" w:rsidRPr="000D5434">
        <w:rPr>
          <w:szCs w:val="22"/>
          <w:lang w:val="es-ES"/>
        </w:rPr>
        <w:t xml:space="preserve"> </w:t>
      </w:r>
      <w:r w:rsidRPr="000D5434">
        <w:rPr>
          <w:szCs w:val="22"/>
          <w:lang w:val="es-ES"/>
        </w:rPr>
        <w:t>Las comunidades, pueblos y naciones indígenas son poseedores de conocimientos tradicionales, pero no todos los poseedores de conocimientos tradicionales son indígenas.</w:t>
      </w:r>
      <w:r w:rsidR="00F43586" w:rsidRPr="000D5434">
        <w:rPr>
          <w:rStyle w:val="FootnoteReference"/>
          <w:szCs w:val="22"/>
          <w:lang w:val="es-ES"/>
        </w:rPr>
        <w:footnoteReference w:id="68"/>
      </w:r>
      <w:r w:rsidR="00B834A4" w:rsidRPr="000D5434">
        <w:rPr>
          <w:szCs w:val="22"/>
          <w:lang w:val="es-ES"/>
        </w:rPr>
        <w:t xml:space="preserve"> </w:t>
      </w:r>
      <w:r w:rsidRPr="000D5434">
        <w:rPr>
          <w:szCs w:val="22"/>
          <w:lang w:val="es-ES"/>
        </w:rPr>
        <w:t>En este contexto, “conocimientos tradicionales” se refiere tanto a los conocimientos tradicionales propiamente dichos como a las expresiones culturales tradicionales.</w:t>
      </w:r>
    </w:p>
    <w:p w:rsidR="00156388" w:rsidRPr="000D5434" w:rsidRDefault="00156388" w:rsidP="00103D66">
      <w:pPr>
        <w:pStyle w:val="ONUMFS"/>
        <w:numPr>
          <w:ilvl w:val="0"/>
          <w:numId w:val="0"/>
        </w:numPr>
        <w:rPr>
          <w:szCs w:val="22"/>
          <w:lang w:val="es-ES"/>
        </w:rPr>
      </w:pPr>
      <w:r w:rsidRPr="000D5434">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w:t>
      </w:r>
      <w:r w:rsidR="00B834A4" w:rsidRPr="000D5434">
        <w:rPr>
          <w:szCs w:val="22"/>
          <w:lang w:val="es-ES"/>
        </w:rPr>
        <w:t xml:space="preserve"> </w:t>
      </w:r>
      <w:r w:rsidRPr="000D5434">
        <w:rPr>
          <w:szCs w:val="22"/>
          <w:lang w:val="es-ES"/>
        </w:rPr>
        <w:t>[…] Sin embargo, es posible que un determinado miembro de una comunidad, por ejemplo, un curandero tradicional o un agricultor, posea conocimientos específicos”.</w:t>
      </w:r>
      <w:r w:rsidR="00F43586" w:rsidRPr="000D5434">
        <w:rPr>
          <w:rStyle w:val="FootnoteReference"/>
          <w:szCs w:val="22"/>
          <w:lang w:val="es-ES"/>
        </w:rPr>
        <w:footnoteReference w:id="69"/>
      </w:r>
    </w:p>
    <w:p w:rsidR="00C0409B" w:rsidRPr="000D5434" w:rsidRDefault="00C0409B" w:rsidP="00A758A0">
      <w:pPr>
        <w:pStyle w:val="Heading1"/>
        <w:rPr>
          <w:b w:val="0"/>
          <w:bCs w:val="0"/>
          <w:szCs w:val="22"/>
          <w:lang w:val="es-ES"/>
        </w:rPr>
      </w:pPr>
      <w:bookmarkStart w:id="61" w:name="_Toc535584993"/>
      <w:r w:rsidRPr="000D5434">
        <w:rPr>
          <w:szCs w:val="22"/>
          <w:lang w:val="es-ES"/>
        </w:rPr>
        <w:t>Comunidades indígenas y locales</w:t>
      </w:r>
      <w:bookmarkEnd w:id="61"/>
    </w:p>
    <w:p w:rsidR="00C0409B" w:rsidRPr="000D5434" w:rsidRDefault="00C0409B" w:rsidP="00103D66">
      <w:pPr>
        <w:pStyle w:val="ONUMFS"/>
        <w:numPr>
          <w:ilvl w:val="0"/>
          <w:numId w:val="0"/>
        </w:numPr>
        <w:rPr>
          <w:szCs w:val="22"/>
          <w:lang w:val="es-ES"/>
        </w:rPr>
      </w:pPr>
      <w:r w:rsidRPr="000D5434">
        <w:rPr>
          <w:szCs w:val="22"/>
          <w:lang w:val="es-ES"/>
        </w:rPr>
        <w:t>El término “comunidades indígenas y locales” ha sido objeto de intenso examen y debate.</w:t>
      </w:r>
      <w:r w:rsidR="00B834A4" w:rsidRPr="000D5434">
        <w:rPr>
          <w:szCs w:val="22"/>
          <w:lang w:val="es-ES"/>
        </w:rPr>
        <w:t xml:space="preserve"> </w:t>
      </w:r>
      <w:r w:rsidRPr="000D5434">
        <w:rPr>
          <w:szCs w:val="22"/>
          <w:lang w:val="es-ES"/>
        </w:rPr>
        <w:t>No existe, a tal respecto, una definición universal y estándar.</w:t>
      </w:r>
      <w:r w:rsidR="00B834A4" w:rsidRPr="000D5434">
        <w:rPr>
          <w:szCs w:val="22"/>
          <w:lang w:val="es-ES"/>
        </w:rPr>
        <w:t xml:space="preserve"> </w:t>
      </w:r>
      <w:r w:rsidRPr="000D5434">
        <w:rPr>
          <w:szCs w:val="22"/>
          <w:lang w:val="es-ES"/>
        </w:rPr>
        <w:t xml:space="preserve">Dicho término figura en el </w:t>
      </w:r>
      <w:r w:rsidRPr="000D5434">
        <w:rPr>
          <w:i/>
          <w:szCs w:val="22"/>
          <w:lang w:val="es-ES"/>
        </w:rPr>
        <w:t>Convenio sobre la Diversidad Biológica</w:t>
      </w:r>
      <w:r w:rsidRPr="000D5434">
        <w:rPr>
          <w:szCs w:val="22"/>
          <w:lang w:val="es-ES"/>
        </w:rPr>
        <w:t xml:space="preserve"> (1992).</w:t>
      </w:r>
      <w:r w:rsidR="00B834A4" w:rsidRPr="000D5434">
        <w:rPr>
          <w:szCs w:val="22"/>
          <w:lang w:val="es-ES"/>
        </w:rPr>
        <w:t xml:space="preserve"> </w:t>
      </w:r>
      <w:r w:rsidRPr="000D5434">
        <w:rPr>
          <w:szCs w:val="22"/>
          <w:lang w:val="es-ES"/>
        </w:rPr>
        <w:t>Por ejemplo, en el artículo 8.j) se estipula que:</w:t>
      </w:r>
      <w:r w:rsidR="00B834A4" w:rsidRPr="000D5434">
        <w:rPr>
          <w:szCs w:val="22"/>
          <w:lang w:val="es-ES"/>
        </w:rPr>
        <w:t xml:space="preserve"> </w:t>
      </w:r>
      <w:r w:rsidRPr="000D5434">
        <w:rPr>
          <w:szCs w:val="22"/>
          <w:lang w:val="es-ES"/>
        </w:rPr>
        <w:t>“cada Parte Contratante, en la medida de lo posible y según proceda:</w:t>
      </w:r>
      <w:r w:rsidR="00B834A4" w:rsidRPr="000D5434">
        <w:rPr>
          <w:szCs w:val="22"/>
          <w:lang w:val="es-ES"/>
        </w:rPr>
        <w:t xml:space="preserve"> </w:t>
      </w:r>
      <w:r w:rsidRPr="000D5434">
        <w:rPr>
          <w:szCs w:val="22"/>
          <w:lang w:val="es-ES"/>
        </w:rPr>
        <w:t>[…]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r w:rsidR="00B834A4" w:rsidRPr="000D5434">
        <w:rPr>
          <w:szCs w:val="22"/>
          <w:lang w:val="es-ES"/>
        </w:rPr>
        <w:t xml:space="preserve"> </w:t>
      </w:r>
      <w:r w:rsidRPr="000D5434">
        <w:rPr>
          <w:szCs w:val="22"/>
          <w:lang w:val="es-ES"/>
        </w:rPr>
        <w:t>[…]”.</w:t>
      </w:r>
      <w:r w:rsidR="00B834A4" w:rsidRPr="000D5434">
        <w:rPr>
          <w:szCs w:val="22"/>
          <w:lang w:val="es-ES"/>
        </w:rPr>
        <w:t xml:space="preserve"> </w:t>
      </w:r>
      <w:r w:rsidRPr="000D5434">
        <w:rPr>
          <w:szCs w:val="22"/>
          <w:lang w:val="es-ES"/>
        </w:rPr>
        <w:t xml:space="preserve">Ese mismo término queda recogido en el </w:t>
      </w:r>
      <w:r w:rsidRPr="000D5434">
        <w:rPr>
          <w:i/>
          <w:szCs w:val="22"/>
          <w:lang w:val="es-ES"/>
        </w:rPr>
        <w:t xml:space="preserve">Protocolo de Nagoya sobre Acceso a los Recursos Genéticos y Participación Justa y Equitativa en los Beneficios que se Deriven de su Utilización al Convenio sobre la Diversidad Biológica </w:t>
      </w:r>
      <w:r w:rsidRPr="000D5434">
        <w:rPr>
          <w:szCs w:val="22"/>
          <w:lang w:val="es-ES"/>
        </w:rPr>
        <w:t>(2010).</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 xml:space="preserve">Convenio sobre la Diversidad Biológica </w:t>
      </w:r>
      <w:r w:rsidRPr="000D5434">
        <w:rPr>
          <w:szCs w:val="22"/>
          <w:lang w:val="es-ES"/>
        </w:rPr>
        <w:t>(1992) se utiliza el término “comunidades indígenas y locales” en referencia a comunidades que se identifican desde antaño con las tierras y las aguas en las que viven o que han utilizado</w:t>
      </w:r>
      <w:r w:rsidRPr="000D5434">
        <w:rPr>
          <w:rStyle w:val="FootnoteReference"/>
          <w:szCs w:val="22"/>
          <w:lang w:val="es-ES"/>
        </w:rPr>
        <w:footnoteReference w:id="70"/>
      </w:r>
      <w:r w:rsidRPr="000D5434">
        <w:rPr>
          <w:szCs w:val="22"/>
          <w:lang w:val="es-ES"/>
        </w:rPr>
        <w:t xml:space="preserve"> conforme a sus tradiciones.</w:t>
      </w:r>
      <w:r w:rsidR="00B834A4" w:rsidRPr="000D5434">
        <w:rPr>
          <w:szCs w:val="22"/>
          <w:lang w:val="es-ES"/>
        </w:rPr>
        <w:t xml:space="preserve"> </w:t>
      </w:r>
      <w:r w:rsidRPr="000D5434">
        <w:rPr>
          <w:szCs w:val="22"/>
          <w:lang w:val="es-ES"/>
        </w:rPr>
        <w:t>Por “comunidad local” se entiende “la población humana que vive en una zona que se distingue por características ecológicas propias y cuyo sustento está supeditado en todo o en parte directamente a los bienes y servicios que le brindan la biodiversidad y el ecosistema.</w:t>
      </w:r>
      <w:r w:rsidR="00B834A4" w:rsidRPr="000D5434">
        <w:rPr>
          <w:szCs w:val="22"/>
          <w:lang w:val="es-ES"/>
        </w:rPr>
        <w:t xml:space="preserve"> </w:t>
      </w:r>
      <w:r w:rsidRPr="000D5434">
        <w:rPr>
          <w:szCs w:val="22"/>
          <w:lang w:val="es-ES"/>
        </w:rPr>
        <w:t xml:space="preserve">Los </w:t>
      </w:r>
      <w:r w:rsidRPr="000D5434">
        <w:rPr>
          <w:szCs w:val="22"/>
          <w:lang w:val="es-ES"/>
        </w:rPr>
        <w:lastRenderedPageBreak/>
        <w:t>conocimientos tradicionales que posee esa población proceden de la señalada relación de dependencia, y atañen a actividades como la agricultura, la pesca, el pastoreo, la caza y la recolección, para citar sólo algunas”.</w:t>
      </w:r>
      <w:r w:rsidRPr="000D5434">
        <w:rPr>
          <w:rStyle w:val="FootnoteReference"/>
          <w:szCs w:val="22"/>
          <w:lang w:val="es-ES"/>
        </w:rPr>
        <w:footnoteReference w:id="71"/>
      </w:r>
    </w:p>
    <w:p w:rsidR="00C0409B" w:rsidRPr="000D5434" w:rsidRDefault="00C0409B" w:rsidP="00103D66">
      <w:pPr>
        <w:pStyle w:val="ONUMFS"/>
        <w:numPr>
          <w:ilvl w:val="0"/>
          <w:numId w:val="0"/>
        </w:numPr>
        <w:rPr>
          <w:szCs w:val="22"/>
          <w:lang w:val="es-ES"/>
        </w:rPr>
      </w:pPr>
      <w:r w:rsidRPr="000D5434">
        <w:rPr>
          <w:szCs w:val="22"/>
          <w:lang w:val="es-ES"/>
        </w:rPr>
        <w:t xml:space="preserve">Ese término se utiliza también en el </w:t>
      </w:r>
      <w:r w:rsidRPr="000D5434">
        <w:rPr>
          <w:i/>
          <w:szCs w:val="22"/>
          <w:lang w:val="es-ES"/>
        </w:rPr>
        <w:t>Tratado Internacional sobre Recursos Fitogenéticos para la Alimentación y la Agricultura</w:t>
      </w:r>
      <w:r w:rsidR="00642D79" w:rsidRPr="000D5434">
        <w:rPr>
          <w:szCs w:val="22"/>
          <w:lang w:val="es-ES"/>
        </w:rPr>
        <w:t>, de la FAO.</w:t>
      </w:r>
      <w:r w:rsidR="00B834A4" w:rsidRPr="000D5434">
        <w:rPr>
          <w:szCs w:val="22"/>
          <w:lang w:val="es-ES"/>
        </w:rPr>
        <w:t xml:space="preserve"> </w:t>
      </w:r>
      <w:r w:rsidRPr="000D5434">
        <w:rPr>
          <w:szCs w:val="22"/>
          <w:lang w:val="es-ES"/>
        </w:rPr>
        <w:t>En el artículo 5.1 de dicho tratado se estipula que:</w:t>
      </w:r>
      <w:r w:rsidR="00B834A4" w:rsidRPr="000D5434">
        <w:rPr>
          <w:szCs w:val="22"/>
          <w:lang w:val="es-ES"/>
        </w:rPr>
        <w:t xml:space="preserve"> </w:t>
      </w:r>
      <w:r w:rsidRPr="000D5434">
        <w:rPr>
          <w:szCs w:val="22"/>
          <w:lang w:val="es-ES"/>
        </w:rPr>
        <w:t>“cada Parte Contratante […], en particular, según proceda:</w:t>
      </w:r>
      <w:r w:rsidR="00B834A4" w:rsidRPr="000D5434">
        <w:rPr>
          <w:szCs w:val="22"/>
          <w:lang w:val="es-ES"/>
        </w:rPr>
        <w:t xml:space="preserve"> </w:t>
      </w:r>
      <w:r w:rsidRPr="000D5434">
        <w:rPr>
          <w:szCs w:val="22"/>
          <w:lang w:val="es-ES"/>
        </w:rPr>
        <w:t xml:space="preserve">[…] d) promoverá la conservación </w:t>
      </w:r>
      <w:r w:rsidRPr="000D5434">
        <w:rPr>
          <w:i/>
          <w:szCs w:val="22"/>
          <w:lang w:val="es-ES"/>
        </w:rPr>
        <w:t>in situ</w:t>
      </w:r>
      <w:r w:rsidRPr="000D5434">
        <w:rPr>
          <w:szCs w:val="22"/>
          <w:lang w:val="es-ES"/>
        </w:rPr>
        <w:t xml:space="preserve"> de plantas silvestres afines de las cultivadas y las plantas silvestres para la producción de alimentos, incluso en zonas protegidas, apoyando, entre otras cosas, los esfuerzos de las comunidades indígenas y locales […]”.</w:t>
      </w:r>
      <w:r w:rsidR="00B834A4" w:rsidRPr="000D5434">
        <w:rPr>
          <w:szCs w:val="22"/>
          <w:lang w:val="es-ES"/>
        </w:rPr>
        <w:t xml:space="preserve"> </w:t>
      </w:r>
      <w:r w:rsidRPr="000D5434">
        <w:rPr>
          <w:szCs w:val="22"/>
          <w:lang w:val="es-ES"/>
        </w:rPr>
        <w:t>El artículo 9.1 dice que “[l]as Partes Contratantes reconocen la enorme contribución que han aportado y siguen aportando las comunidades locales e indígenas y los agricultores de todas las regiones del mundo, [...]”.</w:t>
      </w:r>
      <w:r w:rsidR="00B834A4" w:rsidRPr="000D5434">
        <w:rPr>
          <w:szCs w:val="22"/>
          <w:lang w:val="es-ES"/>
        </w:rPr>
        <w:t xml:space="preserve"> </w:t>
      </w:r>
      <w:r w:rsidRPr="000D5434">
        <w:rPr>
          <w:szCs w:val="22"/>
          <w:lang w:val="es-ES"/>
        </w:rPr>
        <w:t>En el artículo 5.1 se utiliza la expresión “comunidades locales”:</w:t>
      </w:r>
      <w:r w:rsidR="00B834A4" w:rsidRPr="000D5434">
        <w:rPr>
          <w:szCs w:val="22"/>
          <w:lang w:val="es-ES"/>
        </w:rPr>
        <w:t xml:space="preserve"> </w:t>
      </w:r>
      <w:r w:rsidRPr="000D5434">
        <w:rPr>
          <w:szCs w:val="22"/>
          <w:lang w:val="es-ES"/>
        </w:rPr>
        <w:t>“c</w:t>
      </w:r>
      <w:r w:rsidRPr="000D5434">
        <w:rPr>
          <w:iCs/>
          <w:szCs w:val="22"/>
          <w:lang w:val="es-ES"/>
        </w:rPr>
        <w:t>ada Parte Contratante […] en particular, según proceda:</w:t>
      </w:r>
      <w:r w:rsidR="00B834A4" w:rsidRPr="000D5434">
        <w:rPr>
          <w:iCs/>
          <w:szCs w:val="22"/>
          <w:lang w:val="es-ES"/>
        </w:rPr>
        <w:t xml:space="preserve"> </w:t>
      </w:r>
      <w:r w:rsidRPr="000D5434">
        <w:rPr>
          <w:iCs/>
          <w:szCs w:val="22"/>
          <w:lang w:val="es-ES"/>
        </w:rPr>
        <w:t>[…] c) promoverá o apoyará, cuando proceda, los esfuerzos de los agricultores y de las comunidades locales encaminados a la ordenación y conservación en las fincas de sus recursos fitogenéticos para la alimentación y la agricultura […]</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En otros instrumentos jurídicos se utiliza una terminología diferente:</w:t>
      </w:r>
      <w:r w:rsidR="00B834A4" w:rsidRPr="000D5434">
        <w:rPr>
          <w:szCs w:val="22"/>
          <w:lang w:val="es-ES"/>
        </w:rPr>
        <w:t xml:space="preserve"> </w:t>
      </w:r>
      <w:r w:rsidRPr="000D5434">
        <w:rPr>
          <w:szCs w:val="22"/>
          <w:lang w:val="es-ES"/>
        </w:rPr>
        <w:t xml:space="preserve">la expresión “comunidad local o tradicional” se utiliza en el </w:t>
      </w:r>
      <w:r w:rsidRPr="000D5434">
        <w:rPr>
          <w:i/>
          <w:szCs w:val="22"/>
          <w:lang w:val="es-ES"/>
        </w:rPr>
        <w:t>Protocolo de Swakopmund sobre la Protección de los Conocimientos Tradicionales y las Expresiones del Folclore</w:t>
      </w:r>
      <w:r w:rsidRPr="000D5434">
        <w:rPr>
          <w:szCs w:val="22"/>
          <w:lang w:val="es-ES"/>
        </w:rPr>
        <w:t>, de la ARIPO.</w:t>
      </w:r>
      <w:r w:rsidR="00B834A4" w:rsidRPr="000D5434">
        <w:rPr>
          <w:szCs w:val="22"/>
          <w:lang w:val="es-ES"/>
        </w:rPr>
        <w:t xml:space="preserve"> </w:t>
      </w:r>
      <w:r w:rsidRPr="000D5434">
        <w:rPr>
          <w:szCs w:val="22"/>
          <w:lang w:val="es-ES"/>
        </w:rPr>
        <w:t>En el artículo 2.1 de dicho Protocolo se estipula que, en la medida que lo permita el contexto, en el término “comunidad” quedarán comprendidas las comunidades locales o tradicionales.</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 de la </w:t>
      </w:r>
      <w:r w:rsidRPr="000D5434">
        <w:rPr>
          <w:i/>
          <w:szCs w:val="22"/>
          <w:lang w:val="es-ES"/>
        </w:rPr>
        <w:t>Decisión 391 de la Comunidad Andina acerca de un Régimen Común sobre Acceso a los Recursos Genéticos</w:t>
      </w:r>
      <w:r w:rsidRPr="000D5434">
        <w:rPr>
          <w:szCs w:val="22"/>
          <w:lang w:val="es-ES"/>
        </w:rPr>
        <w:t xml:space="preserve"> se define “comunidad indígena, afroamericana o local” como “</w:t>
      </w:r>
      <w:r w:rsidRPr="000D5434">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0D5434">
        <w:rPr>
          <w:szCs w:val="22"/>
          <w:lang w:val="es-ES"/>
        </w:rPr>
        <w:t>”.</w:t>
      </w:r>
    </w:p>
    <w:p w:rsidR="00C0409B" w:rsidRPr="000D5434" w:rsidRDefault="00C0409B" w:rsidP="00B16297">
      <w:pPr>
        <w:pStyle w:val="ONUMFS"/>
        <w:numPr>
          <w:ilvl w:val="0"/>
          <w:numId w:val="0"/>
        </w:numPr>
        <w:rPr>
          <w:b/>
          <w:szCs w:val="22"/>
          <w:lang w:val="es-ES"/>
        </w:rPr>
      </w:pPr>
      <w:r w:rsidRPr="000D5434">
        <w:rPr>
          <w:szCs w:val="22"/>
          <w:lang w:val="es-ES"/>
        </w:rPr>
        <w:t>En el artículo 7.III de la Ley provisional del Brasil Nº 2, 186 16, con fecha 23 de agosto de 2001, se define “comunidad local” como ”</w:t>
      </w:r>
      <w:r w:rsidRPr="000D5434">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0D5434">
        <w:rPr>
          <w:szCs w:val="22"/>
          <w:lang w:val="es-ES"/>
        </w:rPr>
        <w:t>”.</w:t>
      </w:r>
    </w:p>
    <w:p w:rsidR="00C0409B" w:rsidRPr="000D5434" w:rsidRDefault="00C0409B" w:rsidP="00A758A0">
      <w:pPr>
        <w:pStyle w:val="Heading1"/>
        <w:rPr>
          <w:b w:val="0"/>
          <w:bCs w:val="0"/>
          <w:szCs w:val="22"/>
          <w:lang w:val="es-ES"/>
        </w:rPr>
      </w:pPr>
      <w:bookmarkStart w:id="62" w:name="_Toc535584994"/>
      <w:r w:rsidRPr="000D5434">
        <w:rPr>
          <w:szCs w:val="22"/>
          <w:lang w:val="es-ES"/>
        </w:rPr>
        <w:t>Conocimientos indígenas</w:t>
      </w:r>
      <w:bookmarkEnd w:id="62"/>
    </w:p>
    <w:p w:rsidR="00C0409B" w:rsidRPr="000D5434" w:rsidRDefault="00C0409B" w:rsidP="00103D66">
      <w:pPr>
        <w:pStyle w:val="ONUMFS"/>
        <w:numPr>
          <w:ilvl w:val="0"/>
          <w:numId w:val="0"/>
        </w:numPr>
        <w:rPr>
          <w:b/>
          <w:szCs w:val="22"/>
          <w:lang w:val="es-ES"/>
        </w:rPr>
      </w:pPr>
      <w:r w:rsidRPr="000D5434">
        <w:rPr>
          <w:szCs w:val="22"/>
          <w:lang w:val="es-ES"/>
        </w:rPr>
        <w:t>La expresión “conocimientos indígenas” se utiliza para describir “</w:t>
      </w:r>
      <w:r w:rsidRPr="000D5434">
        <w:rPr>
          <w:iCs/>
          <w:szCs w:val="22"/>
          <w:lang w:val="es-ES"/>
        </w:rPr>
        <w:t>los conocimientos que poseen y utilizan comunidades, pueblos y naciones indígenas</w:t>
      </w:r>
      <w:r w:rsidRPr="000D5434">
        <w:rPr>
          <w:szCs w:val="22"/>
          <w:lang w:val="es-ES"/>
        </w:rPr>
        <w:t>”.</w:t>
      </w:r>
      <w:r w:rsidR="00B834A4" w:rsidRPr="000D5434">
        <w:rPr>
          <w:szCs w:val="22"/>
          <w:lang w:val="es-ES"/>
        </w:rPr>
        <w:t xml:space="preserve"> </w:t>
      </w:r>
      <w:r w:rsidRPr="000D5434">
        <w:rPr>
          <w:szCs w:val="22"/>
          <w:lang w:val="es-ES"/>
        </w:rPr>
        <w:t>En ese sentido, los “conocimientos tradicionales” vendrían a ser los conocimientos tradicionales de los pueblos indígenas.</w:t>
      </w:r>
      <w:r w:rsidR="00B834A4" w:rsidRPr="000D5434">
        <w:rPr>
          <w:szCs w:val="22"/>
          <w:lang w:val="es-ES"/>
        </w:rPr>
        <w:t xml:space="preserve"> </w:t>
      </w:r>
      <w:r w:rsidRPr="000D5434">
        <w:rPr>
          <w:szCs w:val="22"/>
          <w:lang w:val="es-ES"/>
        </w:rPr>
        <w:t>Por consiguiente, los conocimientos indígenas entran en la categoría de conocimientos tradicionales, pero los conocimientos tradicionales no son forzosamente indígenas.</w:t>
      </w:r>
      <w:r w:rsidR="00B834A4" w:rsidRPr="000D5434">
        <w:rPr>
          <w:szCs w:val="22"/>
          <w:lang w:val="es-ES"/>
        </w:rPr>
        <w:t xml:space="preserve"> </w:t>
      </w:r>
      <w:r w:rsidRPr="000D5434">
        <w:rPr>
          <w:szCs w:val="22"/>
          <w:lang w:val="es-ES"/>
        </w:rPr>
        <w:t>No obstante, el término también se utiliza en referencia a los conocimientos que son intrínsecamente indígenas.</w:t>
      </w:r>
      <w:r w:rsidR="00B834A4" w:rsidRPr="000D5434">
        <w:rPr>
          <w:szCs w:val="22"/>
          <w:lang w:val="es-ES"/>
        </w:rPr>
        <w:t xml:space="preserve"> </w:t>
      </w:r>
      <w:r w:rsidRPr="000D5434">
        <w:rPr>
          <w:szCs w:val="22"/>
          <w:lang w:val="es-ES"/>
        </w:rPr>
        <w:t>En ese sentido, los términos “conocimientos tradicionales” y “conocimientos indígenas” podrían utilizarse indistintamente.</w:t>
      </w:r>
      <w:r w:rsidRPr="000D5434">
        <w:rPr>
          <w:rStyle w:val="FootnoteReference"/>
          <w:szCs w:val="22"/>
          <w:lang w:val="es-ES"/>
        </w:rPr>
        <w:footnoteReference w:id="72"/>
      </w:r>
    </w:p>
    <w:p w:rsidR="00C0409B" w:rsidRPr="000D5434" w:rsidRDefault="00C0409B" w:rsidP="00A758A0">
      <w:pPr>
        <w:pStyle w:val="Heading1"/>
        <w:rPr>
          <w:b w:val="0"/>
          <w:bCs w:val="0"/>
          <w:szCs w:val="22"/>
          <w:lang w:val="es-ES"/>
        </w:rPr>
      </w:pPr>
      <w:bookmarkStart w:id="63" w:name="_Toc535584995"/>
      <w:r w:rsidRPr="000D5434">
        <w:rPr>
          <w:szCs w:val="22"/>
          <w:lang w:val="es-ES"/>
        </w:rPr>
        <w:lastRenderedPageBreak/>
        <w:t>Pueblos indígenas</w:t>
      </w:r>
      <w:bookmarkEnd w:id="63"/>
    </w:p>
    <w:p w:rsidR="00C0409B" w:rsidRPr="000D5434" w:rsidRDefault="00C0409B" w:rsidP="00103D66">
      <w:pPr>
        <w:pStyle w:val="ONUMFS"/>
        <w:numPr>
          <w:ilvl w:val="0"/>
          <w:numId w:val="0"/>
        </w:numPr>
        <w:rPr>
          <w:szCs w:val="22"/>
          <w:lang w:val="es-ES"/>
        </w:rPr>
      </w:pPr>
      <w:r w:rsidRPr="000D5434">
        <w:rPr>
          <w:szCs w:val="22"/>
          <w:lang w:val="es-ES"/>
        </w:rPr>
        <w:t>La expresión “pueblos indígenas” ha sido objeto de considerable debate y estudio por cuanto no existe una definición universal estándar.</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Declaración de las Naciones Unidas sobre los Derechos de los Pueblos Indígenas</w:t>
      </w:r>
      <w:r w:rsidRPr="000D5434">
        <w:rPr>
          <w:szCs w:val="22"/>
          <w:lang w:val="es-ES"/>
        </w:rPr>
        <w:t xml:space="preserve"> se reconocen los derechos humanos de que gozan los pueblos indígenas contra la discriminación cultural y se fomenta el respeto mutuo y las relaciones armoniosas entre los pueblos indígenas y los Estados.</w:t>
      </w:r>
      <w:r w:rsidR="00B834A4" w:rsidRPr="000D5434">
        <w:rPr>
          <w:szCs w:val="22"/>
          <w:lang w:val="es-ES"/>
        </w:rPr>
        <w:t xml:space="preserve"> </w:t>
      </w:r>
      <w:r w:rsidRPr="000D5434">
        <w:rPr>
          <w:szCs w:val="22"/>
          <w:lang w:val="es-ES"/>
        </w:rPr>
        <w:t>No obstante, en ella no se establece definición alguna de “pueblos indígenas”.</w:t>
      </w:r>
    </w:p>
    <w:p w:rsidR="00C0409B" w:rsidRPr="000D5434" w:rsidRDefault="00C0409B" w:rsidP="00103D66">
      <w:pPr>
        <w:pStyle w:val="ONUMFS"/>
        <w:numPr>
          <w:ilvl w:val="0"/>
          <w:numId w:val="0"/>
        </w:numPr>
        <w:rPr>
          <w:szCs w:val="22"/>
          <w:lang w:val="es-ES"/>
        </w:rPr>
      </w:pPr>
      <w:r w:rsidRPr="000D5434">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w:t>
      </w:r>
      <w:r w:rsidR="00B834A4" w:rsidRPr="000D5434">
        <w:rPr>
          <w:szCs w:val="22"/>
          <w:lang w:val="es-ES"/>
        </w:rPr>
        <w:t xml:space="preserve"> </w:t>
      </w:r>
      <w:r w:rsidRPr="000D5434">
        <w:rPr>
          <w:szCs w:val="22"/>
          <w:lang w:val="es-ES"/>
        </w:rPr>
        <w:t>En el estudio, por “comunidades indígenas” se entiende los pueblos y las naciones que “</w:t>
      </w:r>
      <w:r w:rsidRPr="000D5434">
        <w:rPr>
          <w:iCs/>
          <w:szCs w:val="22"/>
          <w:lang w:val="es-ES"/>
        </w:rPr>
        <w:t>teniendo una continuidad histórica con las sociedades anteriores a la invasión y precoloniales que se desarrollaron en sus territorios, se consideran distintos de otros sectores de las sociedades que ahora prevalecen en esos territorios, o en parte de ellos.</w:t>
      </w:r>
      <w:r w:rsidR="00B834A4" w:rsidRPr="000D5434">
        <w:rPr>
          <w:iCs/>
          <w:szCs w:val="22"/>
          <w:lang w:val="es-ES"/>
        </w:rPr>
        <w:t xml:space="preserve"> </w:t>
      </w:r>
      <w:r w:rsidRPr="000D5434">
        <w:rPr>
          <w:iCs/>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El artículo 1 del Convenio de la OIT sobre pueblos indígenas y tribales en países independientes establece que dicho Convenio se aplicará:</w:t>
      </w:r>
    </w:p>
    <w:p w:rsidR="00C0409B" w:rsidRPr="000D5434" w:rsidRDefault="00C0409B" w:rsidP="00103D66">
      <w:pPr>
        <w:pStyle w:val="ONUMFS"/>
        <w:numPr>
          <w:ilvl w:val="0"/>
          <w:numId w:val="0"/>
        </w:numPr>
        <w:ind w:left="567"/>
        <w:rPr>
          <w:szCs w:val="22"/>
          <w:lang w:val="es-ES"/>
        </w:rPr>
      </w:pPr>
      <w:r w:rsidRPr="000D5434">
        <w:rPr>
          <w:szCs w:val="22"/>
          <w:lang w:val="es-ES"/>
        </w:rPr>
        <w:t>“a)</w:t>
      </w:r>
      <w:r w:rsidRPr="000D5434">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0D5434" w:rsidRDefault="00C0409B" w:rsidP="00103D66">
      <w:pPr>
        <w:pStyle w:val="ONUMFS"/>
        <w:numPr>
          <w:ilvl w:val="0"/>
          <w:numId w:val="0"/>
        </w:numPr>
        <w:ind w:left="567"/>
        <w:rPr>
          <w:szCs w:val="22"/>
          <w:lang w:val="es-ES"/>
        </w:rPr>
      </w:pPr>
      <w:r w:rsidRPr="000D5434">
        <w:rPr>
          <w:szCs w:val="22"/>
          <w:lang w:val="es-ES"/>
        </w:rPr>
        <w:t>b)</w:t>
      </w:r>
      <w:r w:rsidRPr="000D5434">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0D5434">
        <w:rPr>
          <w:rStyle w:val="FootnoteReference"/>
          <w:szCs w:val="22"/>
          <w:lang w:val="es-ES"/>
        </w:rPr>
        <w:footnoteReference w:id="73"/>
      </w:r>
    </w:p>
    <w:p w:rsidR="00C0409B" w:rsidRPr="000D5434" w:rsidRDefault="00C0409B" w:rsidP="00103D66">
      <w:pPr>
        <w:pStyle w:val="ONUMFS"/>
        <w:numPr>
          <w:ilvl w:val="0"/>
          <w:numId w:val="0"/>
        </w:numPr>
        <w:rPr>
          <w:szCs w:val="22"/>
          <w:lang w:val="es-ES"/>
        </w:rPr>
      </w:pPr>
      <w:r w:rsidRPr="000D5434">
        <w:rPr>
          <w:szCs w:val="22"/>
          <w:lang w:val="es-ES"/>
        </w:rPr>
        <w:t>En la Lista de acrónimos y glosario de términos del Programa de Naciones Unidas para el Medio Ambiente (PNUMA) se ofrece la siguiente definición de “pueblos indígenas”:</w:t>
      </w:r>
      <w:r w:rsidR="00B834A4" w:rsidRPr="000D5434">
        <w:rPr>
          <w:szCs w:val="22"/>
          <w:lang w:val="es-ES"/>
        </w:rPr>
        <w:t xml:space="preserve"> </w:t>
      </w:r>
      <w:r w:rsidR="00C274E9" w:rsidRPr="000D5434">
        <w:rPr>
          <w:szCs w:val="22"/>
          <w:lang w:val="es-ES"/>
        </w:rPr>
        <w:t>“</w:t>
      </w:r>
      <w:r w:rsidRPr="000D5434">
        <w:rPr>
          <w:szCs w:val="22"/>
          <w:lang w:val="es-ES"/>
        </w:rPr>
        <w:t>No existe una definición general ni estándar.</w:t>
      </w:r>
      <w:r w:rsidR="00B834A4" w:rsidRPr="000D5434">
        <w:rPr>
          <w:szCs w:val="22"/>
          <w:lang w:val="es-ES"/>
        </w:rPr>
        <w:t xml:space="preserve"> </w:t>
      </w:r>
      <w:r w:rsidRPr="000D5434">
        <w:rPr>
          <w:szCs w:val="22"/>
          <w:lang w:val="es-ES"/>
        </w:rPr>
        <w:t>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0D5434">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w:t>
      </w:r>
      <w:r w:rsidR="00B834A4" w:rsidRPr="000D5434">
        <w:rPr>
          <w:szCs w:val="22"/>
          <w:lang w:val="es-ES"/>
        </w:rPr>
        <w:t xml:space="preserve"> </w:t>
      </w:r>
      <w:r w:rsidRPr="000D5434">
        <w:rPr>
          <w:szCs w:val="22"/>
          <w:lang w:val="es-ES"/>
        </w:rPr>
        <w:t xml:space="preserve">El término incluye asimismo a los </w:t>
      </w:r>
      <w:r w:rsidRPr="000D5434">
        <w:rPr>
          <w:szCs w:val="22"/>
          <w:lang w:val="es-ES"/>
        </w:rPr>
        <w:lastRenderedPageBreak/>
        <w:t>pueblos que se identifican a sí mismos como indígenas y a aquellos que son reconocidos como tales por otros grupos”.</w:t>
      </w:r>
      <w:r w:rsidRPr="000D5434">
        <w:rPr>
          <w:rStyle w:val="FootnoteReference"/>
          <w:szCs w:val="22"/>
          <w:lang w:val="es-ES"/>
        </w:rPr>
        <w:footnoteReference w:id="74"/>
      </w:r>
    </w:p>
    <w:p w:rsidR="00C0409B" w:rsidRPr="000D5434" w:rsidRDefault="00C0409B" w:rsidP="00103D66">
      <w:pPr>
        <w:pStyle w:val="ONUMFS"/>
        <w:numPr>
          <w:ilvl w:val="0"/>
          <w:numId w:val="0"/>
        </w:numPr>
        <w:rPr>
          <w:szCs w:val="22"/>
          <w:lang w:val="es-ES"/>
        </w:rPr>
      </w:pPr>
      <w:r w:rsidRPr="000D5434">
        <w:rPr>
          <w:szCs w:val="22"/>
          <w:lang w:val="es-ES"/>
        </w:rPr>
        <w:t>El Banco Mundial emplea el término “pueblos indígenas” en sentido genérico y mediante el mismo se designa a diferentes grupos que presentan las siguientes características en mayor o menor proporción:</w:t>
      </w:r>
    </w:p>
    <w:p w:rsidR="00C0409B" w:rsidRPr="000D5434" w:rsidRDefault="00C0409B" w:rsidP="00103D66">
      <w:pPr>
        <w:pStyle w:val="ONUMFS"/>
        <w:numPr>
          <w:ilvl w:val="0"/>
          <w:numId w:val="0"/>
        </w:numPr>
        <w:ind w:left="567"/>
        <w:rPr>
          <w:szCs w:val="22"/>
          <w:lang w:val="es-ES"/>
        </w:rPr>
      </w:pPr>
      <w:r w:rsidRPr="000D5434">
        <w:rPr>
          <w:szCs w:val="22"/>
          <w:lang w:val="es-ES"/>
        </w:rPr>
        <w:t>i)</w:t>
      </w:r>
      <w:r w:rsidRPr="000D5434">
        <w:rPr>
          <w:szCs w:val="22"/>
          <w:lang w:val="es-ES"/>
        </w:rPr>
        <w:tab/>
        <w:t>“su propia identificación como miembros de un grupo determinado de cultura indígena y el reconocimiento de su identidad por otros;</w:t>
      </w:r>
    </w:p>
    <w:p w:rsidR="00C0409B" w:rsidRPr="000D5434" w:rsidRDefault="00C0409B" w:rsidP="00103D66">
      <w:pPr>
        <w:pStyle w:val="ONUMFS"/>
        <w:numPr>
          <w:ilvl w:val="0"/>
          <w:numId w:val="0"/>
        </w:numPr>
        <w:ind w:left="567"/>
        <w:rPr>
          <w:szCs w:val="22"/>
          <w:lang w:val="es-ES"/>
        </w:rPr>
      </w:pPr>
      <w:r w:rsidRPr="000D5434">
        <w:rPr>
          <w:szCs w:val="22"/>
          <w:lang w:val="es-ES"/>
        </w:rPr>
        <w:t>ii)</w:t>
      </w:r>
      <w:r w:rsidRPr="000D5434">
        <w:rPr>
          <w:szCs w:val="22"/>
          <w:lang w:val="es-ES"/>
        </w:rPr>
        <w:tab/>
        <w:t>un apego colectivo a hábitats geográficamente definidos o territorios ancestrales en la zona del proyecto y a los recursos naturales de esos hábitats o territorios;</w:t>
      </w:r>
    </w:p>
    <w:p w:rsidR="00C0409B" w:rsidRPr="000D5434" w:rsidRDefault="00C0409B" w:rsidP="00103D66">
      <w:pPr>
        <w:pStyle w:val="ONUMFS"/>
        <w:numPr>
          <w:ilvl w:val="0"/>
          <w:numId w:val="0"/>
        </w:numPr>
        <w:ind w:left="567"/>
        <w:rPr>
          <w:szCs w:val="22"/>
          <w:lang w:val="es-ES"/>
        </w:rPr>
      </w:pPr>
      <w:r w:rsidRPr="000D5434">
        <w:rPr>
          <w:szCs w:val="22"/>
          <w:lang w:val="es-ES"/>
        </w:rPr>
        <w:t>iii)</w:t>
      </w:r>
      <w:r w:rsidRPr="000D5434">
        <w:rPr>
          <w:szCs w:val="22"/>
          <w:lang w:val="es-ES"/>
        </w:rPr>
        <w:tab/>
        <w:t>instituciones consuetudinarias culturales, económicas, sociales o políticas distintas de las de la sociedad y cultura dominantes;</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0"/>
        </w:numPr>
        <w:ind w:left="567"/>
        <w:rPr>
          <w:szCs w:val="22"/>
          <w:lang w:val="es-ES"/>
        </w:rPr>
      </w:pPr>
      <w:r w:rsidRPr="000D5434">
        <w:rPr>
          <w:szCs w:val="22"/>
          <w:lang w:val="es-ES"/>
        </w:rPr>
        <w:t>iv)</w:t>
      </w:r>
      <w:r w:rsidRPr="000D5434">
        <w:rPr>
          <w:szCs w:val="22"/>
          <w:lang w:val="es-ES"/>
        </w:rPr>
        <w:tab/>
        <w:t>una lengua indígena, con frecuencia distinta de la lengua oficial del país o región”.</w:t>
      </w:r>
      <w:r w:rsidRPr="000D5434">
        <w:rPr>
          <w:rStyle w:val="FootnoteReference"/>
          <w:szCs w:val="22"/>
          <w:lang w:val="es-ES"/>
        </w:rPr>
        <w:footnoteReference w:id="75"/>
      </w:r>
    </w:p>
    <w:p w:rsidR="00C0409B" w:rsidRPr="000D5434" w:rsidRDefault="00C0409B" w:rsidP="00103D66">
      <w:pPr>
        <w:pStyle w:val="ONUMFS"/>
        <w:numPr>
          <w:ilvl w:val="0"/>
          <w:numId w:val="0"/>
        </w:numPr>
        <w:rPr>
          <w:szCs w:val="22"/>
          <w:lang w:val="es-ES"/>
        </w:rPr>
      </w:pPr>
      <w:r w:rsidRPr="000D5434">
        <w:rPr>
          <w:szCs w:val="22"/>
          <w:lang w:val="es-ES"/>
        </w:rPr>
        <w:t>La Política de actuación del Fondo Internacional de Desarrollo Agrícola (FIDA) en relación con los pueblos indígenas establece que “De conformidad con la práctica internacional,</w:t>
      </w:r>
      <w:r w:rsidRPr="000D5434">
        <w:rPr>
          <w:rStyle w:val="FootnoteReference"/>
          <w:szCs w:val="22"/>
          <w:lang w:val="es-ES"/>
        </w:rPr>
        <w:footnoteReference w:id="76"/>
      </w:r>
      <w:r w:rsidRPr="000D5434">
        <w:rPr>
          <w:szCs w:val="22"/>
          <w:lang w:val="es-ES"/>
        </w:rPr>
        <w:t xml:space="preserve"> y a los fines de la presente política, el </w:t>
      </w:r>
      <w:r w:rsidR="00814353" w:rsidRPr="000D5434">
        <w:rPr>
          <w:szCs w:val="22"/>
          <w:lang w:val="es-ES"/>
        </w:rPr>
        <w:t>FIDA</w:t>
      </w:r>
      <w:r w:rsidRPr="000D5434">
        <w:rPr>
          <w:szCs w:val="22"/>
          <w:lang w:val="es-ES"/>
        </w:rPr>
        <w:t xml:space="preserve"> utilizará una definición de “pueblos indígenas” basada en los siguiente criterios:</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prioridad en el tiempo por lo que respecta a la ocupación y el uso de determinado territorio;</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la conciencia de la propia identidad, así como su reconocimiento por otros grupos, o por las autoridades estatales, como una colectividad distinta;</w:t>
      </w:r>
      <w:r w:rsidR="00B834A4" w:rsidRPr="000D5434">
        <w:rPr>
          <w:szCs w:val="22"/>
          <w:lang w:val="es-ES"/>
        </w:rPr>
        <w:t xml:space="preserve"> </w:t>
      </w:r>
      <w:r w:rsidRPr="000D5434">
        <w:rPr>
          <w:szCs w:val="22"/>
          <w:lang w:val="es-ES"/>
        </w:rPr>
        <w:t>y</w:t>
      </w:r>
    </w:p>
    <w:p w:rsidR="00C0409B" w:rsidRPr="000D5434" w:rsidRDefault="00C0409B" w:rsidP="00103D66">
      <w:pPr>
        <w:pStyle w:val="ONUMFS"/>
        <w:numPr>
          <w:ilvl w:val="0"/>
          <w:numId w:val="49"/>
        </w:numPr>
        <w:tabs>
          <w:tab w:val="clear" w:pos="1741"/>
        </w:tabs>
        <w:ind w:left="1134" w:hanging="567"/>
        <w:rPr>
          <w:szCs w:val="22"/>
          <w:lang w:val="es-ES"/>
        </w:rPr>
      </w:pPr>
      <w:r w:rsidRPr="000D5434">
        <w:rPr>
          <w:szCs w:val="22"/>
          <w:lang w:val="es-ES"/>
        </w:rPr>
        <w:t>una experiencia de sometimiento, marginación, desposeimiento, exclusión o discriminación.”</w:t>
      </w:r>
      <w:r w:rsidRPr="000D5434">
        <w:rPr>
          <w:rStyle w:val="FootnoteReference"/>
          <w:szCs w:val="22"/>
          <w:lang w:val="es-ES"/>
        </w:rPr>
        <w:footnoteReference w:id="77"/>
      </w:r>
    </w:p>
    <w:p w:rsidR="00C0409B" w:rsidRPr="000D5434" w:rsidRDefault="00C0409B" w:rsidP="00103D66">
      <w:pPr>
        <w:pStyle w:val="ONUMFS"/>
        <w:numPr>
          <w:ilvl w:val="0"/>
          <w:numId w:val="0"/>
        </w:numPr>
        <w:rPr>
          <w:szCs w:val="22"/>
          <w:lang w:val="es-ES"/>
        </w:rPr>
      </w:pPr>
      <w:r w:rsidRPr="000D5434">
        <w:rPr>
          <w:szCs w:val="22"/>
          <w:lang w:val="es-ES"/>
        </w:rPr>
        <w:t>En el documento “El PNUD y los pueblos indígenas:</w:t>
      </w:r>
      <w:r w:rsidR="00B834A4" w:rsidRPr="000D5434">
        <w:rPr>
          <w:szCs w:val="22"/>
          <w:lang w:val="es-ES"/>
        </w:rPr>
        <w:t xml:space="preserve"> </w:t>
      </w:r>
      <w:r w:rsidRPr="000D5434">
        <w:rPr>
          <w:szCs w:val="22"/>
          <w:lang w:val="es-ES"/>
        </w:rPr>
        <w:t>Una política de compromiso”,</w:t>
      </w:r>
      <w:r w:rsidRPr="000D5434">
        <w:rPr>
          <w:rStyle w:val="FootnoteReference"/>
          <w:szCs w:val="22"/>
          <w:lang w:val="es-ES"/>
        </w:rPr>
        <w:footnoteReference w:id="78"/>
      </w:r>
      <w:r w:rsidRPr="000D5434">
        <w:rPr>
          <w:szCs w:val="22"/>
          <w:lang w:val="es-ES"/>
        </w:rPr>
        <w:t xml:space="preserve"> elaborado en el marco del Programa de las Naciones Unidas para el Desarrollo (PNUD), se establece que “[…] los pueblos indígenas:</w:t>
      </w:r>
      <w:r w:rsidR="00B834A4" w:rsidRPr="000D5434">
        <w:rPr>
          <w:szCs w:val="22"/>
          <w:lang w:val="es-ES"/>
        </w:rPr>
        <w:t xml:space="preserve"> </w:t>
      </w:r>
      <w:r w:rsidRPr="000D5434">
        <w:rPr>
          <w:szCs w:val="22"/>
          <w:lang w:val="es-ES"/>
        </w:rPr>
        <w:t>a) viven por lo usual en territorios ancestrales geográficamente bien definidos o mantienen vínculos con ellos;</w:t>
      </w:r>
      <w:r w:rsidR="00B834A4" w:rsidRPr="000D5434">
        <w:rPr>
          <w:szCs w:val="22"/>
          <w:lang w:val="es-ES"/>
        </w:rPr>
        <w:t xml:space="preserve"> </w:t>
      </w:r>
      <w:r w:rsidRPr="000D5434">
        <w:rPr>
          <w:szCs w:val="22"/>
          <w:lang w:val="es-ES"/>
        </w:rPr>
        <w:t>b) tienen tendencia a mantener instituciones sociales, económicas y políticas propias en sus territorios;</w:t>
      </w:r>
      <w:r w:rsidR="00B834A4" w:rsidRPr="000D5434">
        <w:rPr>
          <w:szCs w:val="22"/>
          <w:lang w:val="es-ES"/>
        </w:rPr>
        <w:t xml:space="preserve"> </w:t>
      </w:r>
      <w:r w:rsidRPr="000D5434">
        <w:rPr>
          <w:szCs w:val="22"/>
          <w:lang w:val="es-ES"/>
        </w:rPr>
        <w:t>c) aspiran por lo común a permanecer cultural, geográfica e institucionalmente distintos más que a asimilarse plenamente a la sociedad nacional;</w:t>
      </w:r>
      <w:r w:rsidR="00B834A4" w:rsidRPr="000D5434">
        <w:rPr>
          <w:szCs w:val="22"/>
          <w:lang w:val="es-ES"/>
        </w:rPr>
        <w:t xml:space="preserve"> </w:t>
      </w:r>
      <w:r w:rsidRPr="000D5434">
        <w:rPr>
          <w:szCs w:val="22"/>
          <w:lang w:val="es-ES"/>
        </w:rPr>
        <w:t xml:space="preserve">y d) se identifican a sí mismos como </w:t>
      </w:r>
      <w:r w:rsidRPr="000D5434">
        <w:rPr>
          <w:szCs w:val="22"/>
          <w:lang w:val="es-ES"/>
        </w:rPr>
        <w:lastRenderedPageBreak/>
        <w:t>indígenas o tribales.</w:t>
      </w:r>
      <w:r w:rsidR="00B834A4" w:rsidRPr="000D5434">
        <w:rPr>
          <w:szCs w:val="22"/>
          <w:lang w:val="es-ES"/>
        </w:rPr>
        <w:t xml:space="preserve"> </w:t>
      </w:r>
      <w:r w:rsidRPr="000D5434">
        <w:rPr>
          <w:szCs w:val="22"/>
          <w:lang w:val="es-ES"/>
        </w:rPr>
        <w:t>A pesar de compartir características comunes, no existe una única definición aceptada de pueblos indígenas que exprese la diversidad de sus pueblos.</w:t>
      </w:r>
      <w:r w:rsidR="00B834A4" w:rsidRPr="000D5434">
        <w:rPr>
          <w:szCs w:val="22"/>
          <w:lang w:val="es-ES"/>
        </w:rPr>
        <w:t xml:space="preserve"> </w:t>
      </w:r>
      <w:r w:rsidRPr="000D5434">
        <w:rPr>
          <w:szCs w:val="22"/>
          <w:lang w:val="es-ES"/>
        </w:rPr>
        <w:t>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0D5434" w:rsidRDefault="00C0409B" w:rsidP="00103D66">
      <w:pPr>
        <w:pStyle w:val="ONUMFS"/>
        <w:numPr>
          <w:ilvl w:val="0"/>
          <w:numId w:val="0"/>
        </w:numPr>
        <w:rPr>
          <w:szCs w:val="22"/>
          <w:lang w:val="es-ES"/>
        </w:rPr>
      </w:pPr>
      <w:r w:rsidRPr="000D5434">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0D5434">
        <w:rPr>
          <w:iCs/>
          <w:szCs w:val="22"/>
          <w:lang w:val="es-ES"/>
        </w:rPr>
        <w:t>pueblos originarios que tienen derechos anteriores a la formación del Estado peruano, mantienen una cultura propia, un espacio territorial y se autorreconocen como tales.</w:t>
      </w:r>
      <w:r w:rsidR="00B834A4" w:rsidRPr="000D5434">
        <w:rPr>
          <w:iCs/>
          <w:szCs w:val="22"/>
          <w:lang w:val="es-ES"/>
        </w:rPr>
        <w:t xml:space="preserve"> </w:t>
      </w:r>
      <w:r w:rsidRPr="000D5434">
        <w:rPr>
          <w:iCs/>
          <w:szCs w:val="22"/>
          <w:lang w:val="es-ES"/>
        </w:rPr>
        <w:t xml:space="preserve">En </w:t>
      </w:r>
      <w:r w:rsidR="00D4348B">
        <w:rPr>
          <w:iCs/>
          <w:szCs w:val="22"/>
          <w:lang w:val="es-ES"/>
        </w:rPr>
        <w:t>estos</w:t>
      </w:r>
      <w:r w:rsidRPr="000D5434">
        <w:rPr>
          <w:iCs/>
          <w:szCs w:val="22"/>
          <w:lang w:val="es-ES"/>
        </w:rPr>
        <w:t xml:space="preserve"> se incluye a los pueblos en aislamiento voluntario o no contactados, así como a las comunidades campesinas y nativas.</w:t>
      </w:r>
      <w:r w:rsidR="00B834A4" w:rsidRPr="000D5434">
        <w:rPr>
          <w:iCs/>
          <w:szCs w:val="22"/>
          <w:lang w:val="es-ES"/>
        </w:rPr>
        <w:t xml:space="preserve"> </w:t>
      </w:r>
      <w:r w:rsidRPr="000D5434">
        <w:rPr>
          <w:iCs/>
          <w:szCs w:val="22"/>
          <w:lang w:val="es-ES"/>
        </w:rPr>
        <w:t>La denominación “indígenas” comprende y puede emplearse como sinónimo de “originarios”, “tradicionales”, “étnicos”, “ancestrales”, “nativos” u otros vocablos</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El término “aborigen” es un término conexo.</w:t>
      </w:r>
      <w:r w:rsidR="00B834A4" w:rsidRPr="000D5434">
        <w:rPr>
          <w:szCs w:val="22"/>
          <w:lang w:val="es-ES"/>
        </w:rPr>
        <w:t xml:space="preserve"> </w:t>
      </w:r>
      <w:r w:rsidRPr="000D5434">
        <w:rPr>
          <w:szCs w:val="22"/>
          <w:lang w:val="es-ES"/>
        </w:rPr>
        <w:t>En el Diccionario Enciclopédico de Derecho Usual de Guillermo Cabanellas se define la palabra “aborigen” como “originario de un territorio o primer poblador del mismo”.</w:t>
      </w:r>
      <w:r w:rsidR="00B834A4" w:rsidRPr="000D5434">
        <w:rPr>
          <w:szCs w:val="22"/>
          <w:lang w:val="es-ES"/>
        </w:rPr>
        <w:t xml:space="preserve"> </w:t>
      </w:r>
      <w:r w:rsidRPr="000D5434">
        <w:rPr>
          <w:szCs w:val="22"/>
          <w:lang w:val="es-ES"/>
        </w:rPr>
        <w:t xml:space="preserve">Aun admisible como equivalente de </w:t>
      </w:r>
      <w:r w:rsidRPr="000D5434">
        <w:rPr>
          <w:i/>
          <w:iCs/>
          <w:szCs w:val="22"/>
          <w:lang w:val="es-ES"/>
        </w:rPr>
        <w:t>indígena</w:t>
      </w:r>
      <w:r w:rsidRPr="000D5434">
        <w:rPr>
          <w:szCs w:val="22"/>
          <w:lang w:val="es-ES"/>
        </w:rPr>
        <w:t>, este último vocablo es el usual en las campañas coloniales para designar a la población nativa.</w:t>
      </w:r>
      <w:r w:rsidR="00B834A4" w:rsidRPr="000D5434">
        <w:rPr>
          <w:szCs w:val="22"/>
          <w:lang w:val="es-ES"/>
        </w:rPr>
        <w:t xml:space="preserve"> </w:t>
      </w:r>
      <w:r w:rsidRPr="000D5434">
        <w:rPr>
          <w:szCs w:val="22"/>
          <w:lang w:val="es-ES"/>
        </w:rPr>
        <w:t>La voz se emplea con preferencia en plural:</w:t>
      </w:r>
      <w:r w:rsidR="00B834A4" w:rsidRPr="000D5434">
        <w:rPr>
          <w:szCs w:val="22"/>
          <w:lang w:val="es-ES"/>
        </w:rPr>
        <w:t xml:space="preserve"> </w:t>
      </w:r>
      <w:r w:rsidRPr="000D5434">
        <w:rPr>
          <w:i/>
          <w:iCs/>
          <w:szCs w:val="22"/>
          <w:lang w:val="es-ES"/>
        </w:rPr>
        <w:t>aborígenes</w:t>
      </w:r>
      <w:r w:rsidRPr="000D5434">
        <w:rPr>
          <w:szCs w:val="22"/>
          <w:lang w:val="es-ES"/>
        </w:rPr>
        <w:t>.</w:t>
      </w:r>
      <w:r w:rsidR="00B834A4" w:rsidRPr="000D5434">
        <w:rPr>
          <w:szCs w:val="22"/>
          <w:lang w:val="es-ES"/>
        </w:rPr>
        <w:t xml:space="preserve"> </w:t>
      </w:r>
      <w:r w:rsidRPr="000D5434">
        <w:rPr>
          <w:szCs w:val="22"/>
          <w:lang w:val="es-ES"/>
        </w:rPr>
        <w:t>En el Diccionario Oxford se define dicho término también como pueblo que vivía u ocupaba un país antes de la llegada de los colonos europeos […] y también como nombre característico del pueblo indígena de Australia</w:t>
      </w:r>
      <w:r w:rsidR="005C4DF4" w:rsidRPr="000D5434">
        <w:rPr>
          <w:szCs w:val="22"/>
          <w:lang w:val="es-ES"/>
        </w:rPr>
        <w:t>;</w:t>
      </w:r>
      <w:r w:rsidR="00B834A4" w:rsidRPr="000D5434">
        <w:rPr>
          <w:szCs w:val="22"/>
          <w:lang w:val="es-ES"/>
        </w:rPr>
        <w:t xml:space="preserve"> </w:t>
      </w:r>
      <w:r w:rsidR="005C4DF4" w:rsidRPr="000D5434">
        <w:rPr>
          <w:szCs w:val="22"/>
          <w:lang w:val="es-ES"/>
        </w:rPr>
        <w:t>como adjetivo, se define como perteneciente o relacionado con los aborígenes o primeros habitantes conocidos de un territorio</w:t>
      </w:r>
      <w:r w:rsidRPr="000D5434">
        <w:rPr>
          <w:szCs w:val="22"/>
          <w:lang w:val="es-ES"/>
        </w:rPr>
        <w:t>.</w:t>
      </w:r>
    </w:p>
    <w:p w:rsidR="00C0409B" w:rsidRPr="000D5434" w:rsidRDefault="00C0409B" w:rsidP="00103D66">
      <w:pPr>
        <w:pStyle w:val="ONUMFS"/>
        <w:numPr>
          <w:ilvl w:val="0"/>
          <w:numId w:val="0"/>
        </w:numPr>
        <w:rPr>
          <w:szCs w:val="22"/>
          <w:lang w:val="es-ES"/>
        </w:rPr>
      </w:pPr>
      <w:r w:rsidRPr="000D5434">
        <w:rPr>
          <w:szCs w:val="22"/>
          <w:lang w:val="es-ES"/>
        </w:rPr>
        <w:t>En el artículo 35 de la Constitución del Canadá se estipula lo siguiente:</w:t>
      </w:r>
      <w:r w:rsidR="00B834A4" w:rsidRPr="000D5434">
        <w:rPr>
          <w:szCs w:val="22"/>
          <w:lang w:val="es-ES"/>
        </w:rPr>
        <w:t xml:space="preserve"> </w:t>
      </w:r>
      <w:r w:rsidRPr="000D5434">
        <w:rPr>
          <w:iCs/>
          <w:szCs w:val="22"/>
          <w:lang w:val="es-ES"/>
        </w:rPr>
        <w:t xml:space="preserve">[…] </w:t>
      </w:r>
      <w:r w:rsidRPr="000D5434">
        <w:rPr>
          <w:i/>
          <w:iCs/>
          <w:szCs w:val="22"/>
          <w:lang w:val="es-ES"/>
        </w:rPr>
        <w:t>el pueblo aborigen del Canadá incluye los pueblos indígena, inuit y mestizo del Canadá</w:t>
      </w:r>
      <w:r w:rsidRPr="000D5434">
        <w:rPr>
          <w:iCs/>
          <w:szCs w:val="22"/>
          <w:lang w:val="es-ES"/>
        </w:rPr>
        <w:t>.</w:t>
      </w:r>
      <w:r w:rsidR="00B834A4" w:rsidRPr="000D5434">
        <w:rPr>
          <w:szCs w:val="22"/>
          <w:lang w:val="es-ES"/>
        </w:rPr>
        <w:t xml:space="preserve"> </w:t>
      </w:r>
      <w:r w:rsidRPr="000D5434">
        <w:rPr>
          <w:szCs w:val="22"/>
          <w:lang w:val="es-ES"/>
        </w:rPr>
        <w:t>En 1996, la</w:t>
      </w:r>
      <w:r w:rsidRPr="000D5434">
        <w:rPr>
          <w:iCs/>
          <w:szCs w:val="22"/>
          <w:lang w:val="es-ES"/>
        </w:rPr>
        <w:t xml:space="preserve"> </w:t>
      </w:r>
      <w:r w:rsidRPr="000D5434">
        <w:rPr>
          <w:i/>
          <w:iCs/>
          <w:szCs w:val="22"/>
          <w:lang w:val="es-ES"/>
        </w:rPr>
        <w:t>Canadian Royal Commission on Aboriginal People</w:t>
      </w:r>
      <w:r w:rsidRPr="000D5434">
        <w:rPr>
          <w:szCs w:val="22"/>
          <w:lang w:val="es-ES"/>
        </w:rPr>
        <w:t xml:space="preserve"> definió a su grupo destinatario en tanto que:</w:t>
      </w:r>
      <w:r w:rsidR="00B834A4" w:rsidRPr="000D5434">
        <w:rPr>
          <w:szCs w:val="22"/>
          <w:lang w:val="es-ES"/>
        </w:rPr>
        <w:t xml:space="preserve"> </w:t>
      </w:r>
      <w:r w:rsidRPr="000D5434">
        <w:rPr>
          <w:szCs w:val="22"/>
          <w:lang w:val="es-ES"/>
        </w:rPr>
        <w:t xml:space="preserve">[…] </w:t>
      </w:r>
      <w:r w:rsidRPr="000D5434">
        <w:rPr>
          <w:i/>
          <w:iCs/>
          <w:szCs w:val="22"/>
          <w:lang w:val="es-ES"/>
        </w:rPr>
        <w:t>entidades políticas y culturales orgánicas que proceden del pueblo original de América del Norte</w:t>
      </w:r>
      <w:r w:rsidRPr="000D5434">
        <w:rPr>
          <w:szCs w:val="22"/>
          <w:lang w:val="es-ES"/>
        </w:rPr>
        <w:t xml:space="preserve"> […].</w:t>
      </w:r>
    </w:p>
    <w:p w:rsidR="00C0409B" w:rsidRPr="000D5434" w:rsidRDefault="00C0409B" w:rsidP="00103D66">
      <w:pPr>
        <w:pStyle w:val="ONUMFS"/>
        <w:numPr>
          <w:ilvl w:val="0"/>
          <w:numId w:val="0"/>
        </w:numPr>
        <w:rPr>
          <w:b/>
          <w:szCs w:val="22"/>
          <w:lang w:val="es-ES"/>
        </w:rPr>
      </w:pPr>
      <w:r w:rsidRPr="000D5434">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w:t>
      </w:r>
      <w:r w:rsidR="00B834A4" w:rsidRPr="000D5434">
        <w:rPr>
          <w:szCs w:val="22"/>
          <w:lang w:val="es-ES"/>
        </w:rPr>
        <w:t xml:space="preserve"> </w:t>
      </w:r>
      <w:r w:rsidRPr="000D5434">
        <w:rPr>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0D5434">
        <w:rPr>
          <w:rStyle w:val="FootnoteReference"/>
          <w:szCs w:val="22"/>
          <w:lang w:val="es-ES"/>
        </w:rPr>
        <w:footnoteReference w:id="79"/>
      </w:r>
    </w:p>
    <w:p w:rsidR="00C0409B" w:rsidRPr="000D5434" w:rsidRDefault="00C0409B" w:rsidP="00A758A0">
      <w:pPr>
        <w:pStyle w:val="Heading1"/>
        <w:rPr>
          <w:b w:val="0"/>
          <w:szCs w:val="22"/>
          <w:lang w:val="es-ES"/>
        </w:rPr>
      </w:pPr>
      <w:bookmarkStart w:id="64" w:name="_Toc535584996"/>
      <w:r w:rsidRPr="000D5434">
        <w:rPr>
          <w:szCs w:val="22"/>
          <w:lang w:val="es-ES"/>
        </w:rPr>
        <w:t>Infracción</w:t>
      </w:r>
      <w:bookmarkEnd w:id="64"/>
    </w:p>
    <w:p w:rsidR="00C0409B" w:rsidRPr="000D5434" w:rsidRDefault="00C0409B" w:rsidP="00B16297">
      <w:pPr>
        <w:pStyle w:val="ONUMFS"/>
        <w:numPr>
          <w:ilvl w:val="0"/>
          <w:numId w:val="0"/>
        </w:numPr>
        <w:rPr>
          <w:b/>
          <w:szCs w:val="22"/>
          <w:lang w:val="es-ES"/>
        </w:rPr>
      </w:pPr>
      <w:r w:rsidRPr="000D5434">
        <w:rPr>
          <w:szCs w:val="22"/>
          <w:lang w:val="es-ES"/>
        </w:rPr>
        <w:t xml:space="preserve">Según el </w:t>
      </w:r>
      <w:r w:rsidRPr="000D5434">
        <w:rPr>
          <w:i/>
          <w:iCs/>
          <w:szCs w:val="22"/>
          <w:lang w:val="es-ES"/>
        </w:rPr>
        <w:t>Diccionario de la lengua española</w:t>
      </w:r>
      <w:r w:rsidRPr="000D5434">
        <w:rPr>
          <w:szCs w:val="22"/>
          <w:lang w:val="es-ES"/>
        </w:rPr>
        <w:t xml:space="preserve"> de la Real Academia Española, “infracción” es la “transgresión, quebrantamiento de una ley, pacto o tratado, o de una norma moral, lógica o doctrinal”.</w:t>
      </w:r>
      <w:r w:rsidR="00B834A4" w:rsidRPr="000D5434">
        <w:rPr>
          <w:szCs w:val="22"/>
          <w:lang w:val="es-ES"/>
        </w:rPr>
        <w:t xml:space="preserve"> </w:t>
      </w:r>
      <w:r w:rsidRPr="000D5434">
        <w:rPr>
          <w:szCs w:val="22"/>
          <w:lang w:val="es-ES"/>
        </w:rPr>
        <w:t>“En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w:t>
      </w:r>
      <w:r w:rsidR="00B834A4" w:rsidRPr="000D5434">
        <w:rPr>
          <w:szCs w:val="22"/>
          <w:lang w:val="es-ES"/>
        </w:rPr>
        <w:t xml:space="preserve"> </w:t>
      </w:r>
      <w:r w:rsidRPr="000D5434">
        <w:rPr>
          <w:szCs w:val="22"/>
          <w:lang w:val="es-ES"/>
        </w:rPr>
        <w:t xml:space="preserve">No sólo puede incurrirse en la responsabilidad de una actividad infractora por responsabilidad directa (por llevar a cabo un </w:t>
      </w:r>
      <w:r w:rsidRPr="000D5434">
        <w:rPr>
          <w:szCs w:val="22"/>
          <w:lang w:val="es-ES"/>
        </w:rPr>
        <w:lastRenderedPageBreak/>
        <w:t>acto no autorizado propiamente dicho), sino también por ‘responsabilidad indirecta’ o ‘responsabilidad civil subsidiaria’”.</w:t>
      </w:r>
      <w:r w:rsidRPr="000D5434">
        <w:rPr>
          <w:rStyle w:val="FootnoteReference"/>
          <w:szCs w:val="22"/>
          <w:lang w:val="es-ES"/>
        </w:rPr>
        <w:footnoteReference w:id="80"/>
      </w:r>
    </w:p>
    <w:p w:rsidR="00C0409B" w:rsidRPr="000D5434" w:rsidRDefault="005C4DF4" w:rsidP="00A758A0">
      <w:pPr>
        <w:pStyle w:val="Heading1"/>
        <w:rPr>
          <w:b w:val="0"/>
          <w:i/>
          <w:szCs w:val="22"/>
          <w:lang w:val="es-ES"/>
        </w:rPr>
      </w:pPr>
      <w:bookmarkStart w:id="65" w:name="_Toc535584997"/>
      <w:r w:rsidRPr="000D5434">
        <w:rPr>
          <w:szCs w:val="22"/>
          <w:lang w:val="es-ES"/>
        </w:rPr>
        <w:t xml:space="preserve">Condiciones </w:t>
      </w:r>
      <w:r w:rsidR="00C0409B" w:rsidRPr="000D5434">
        <w:rPr>
          <w:i/>
          <w:szCs w:val="22"/>
          <w:lang w:val="es-ES"/>
        </w:rPr>
        <w:t>In-situ</w:t>
      </w:r>
      <w:bookmarkEnd w:id="65"/>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
          <w:szCs w:val="22"/>
          <w:lang w:val="es-ES"/>
        </w:rPr>
        <w:t xml:space="preserve">Convenio sobre la Diversidad Biológica </w:t>
      </w:r>
      <w:r w:rsidRPr="000D5434">
        <w:rPr>
          <w:szCs w:val="22"/>
          <w:lang w:val="es-ES"/>
        </w:rPr>
        <w:t xml:space="preserve">(1992), por “condiciones </w:t>
      </w:r>
      <w:r w:rsidRPr="000D5434">
        <w:rPr>
          <w:i/>
          <w:szCs w:val="22"/>
          <w:lang w:val="es-ES"/>
        </w:rPr>
        <w:t>in-situ</w:t>
      </w:r>
      <w:r w:rsidRPr="000D5434">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0D5434" w:rsidRDefault="00C0409B" w:rsidP="00A758A0">
      <w:pPr>
        <w:pStyle w:val="Heading1"/>
        <w:rPr>
          <w:b w:val="0"/>
          <w:bCs w:val="0"/>
          <w:szCs w:val="22"/>
          <w:lang w:val="es-ES"/>
        </w:rPr>
      </w:pPr>
      <w:bookmarkStart w:id="66" w:name="_Toc535584998"/>
      <w:r w:rsidRPr="000D5434">
        <w:rPr>
          <w:szCs w:val="22"/>
          <w:lang w:val="es-ES"/>
        </w:rPr>
        <w:t>Patrimonio cultural inmaterial</w:t>
      </w:r>
      <w:bookmarkEnd w:id="66"/>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“inmaterial” significa “no material”;</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repite la definición y remite a “Incorpóreo, infigurable, ingrávido.</w:t>
      </w:r>
      <w:r w:rsidR="00B834A4" w:rsidRPr="000D5434">
        <w:rPr>
          <w:szCs w:val="22"/>
          <w:lang w:val="es-ES"/>
        </w:rPr>
        <w:t xml:space="preserve"> </w:t>
      </w:r>
      <w:r w:rsidRPr="000D5434">
        <w:rPr>
          <w:szCs w:val="22"/>
          <w:lang w:val="es-ES"/>
        </w:rPr>
        <w:t>Espiritual.</w:t>
      </w:r>
      <w:r w:rsidR="00B834A4" w:rsidRPr="000D5434">
        <w:rPr>
          <w:szCs w:val="22"/>
          <w:lang w:val="es-ES"/>
        </w:rPr>
        <w:t xml:space="preserve"> </w:t>
      </w:r>
      <w:r w:rsidRPr="000D5434">
        <w:rPr>
          <w:szCs w:val="22"/>
          <w:lang w:val="es-ES"/>
        </w:rPr>
        <w:t>Moral” y dice también que es sinónimo de “impalpable”:</w:t>
      </w:r>
      <w:r w:rsidR="00B834A4" w:rsidRPr="000D5434">
        <w:rPr>
          <w:szCs w:val="22"/>
          <w:lang w:val="es-ES"/>
        </w:rPr>
        <w:t xml:space="preserve"> </w:t>
      </w:r>
      <w:r w:rsidRPr="000D5434">
        <w:rPr>
          <w:szCs w:val="22"/>
          <w:lang w:val="es-ES"/>
        </w:rPr>
        <w:t>“aplicable a las cosas no perceptibles por el tacto”.</w:t>
      </w:r>
      <w:r w:rsidR="00B834A4" w:rsidRPr="000D5434">
        <w:rPr>
          <w:szCs w:val="22"/>
          <w:lang w:val="es-ES"/>
        </w:rPr>
        <w:t xml:space="preserve"> </w:t>
      </w:r>
      <w:r w:rsidRPr="000D5434">
        <w:rPr>
          <w:szCs w:val="22"/>
          <w:lang w:val="es-ES"/>
        </w:rPr>
        <w:t xml:space="preserve">A su vez, de “incorpóreo” el </w:t>
      </w:r>
      <w:r w:rsidRPr="000D5434">
        <w:rPr>
          <w:iCs/>
          <w:szCs w:val="22"/>
          <w:lang w:val="es-ES"/>
        </w:rPr>
        <w:t>Diccionario Espasa de la lengua española</w:t>
      </w:r>
      <w:r w:rsidRPr="000D5434">
        <w:rPr>
          <w:szCs w:val="22"/>
          <w:lang w:val="es-ES"/>
        </w:rPr>
        <w:t xml:space="preserve"> dice:</w:t>
      </w:r>
      <w:r w:rsidR="00B834A4" w:rsidRPr="000D5434">
        <w:rPr>
          <w:szCs w:val="22"/>
          <w:lang w:val="es-ES"/>
        </w:rPr>
        <w:t xml:space="preserve"> </w:t>
      </w:r>
      <w:r w:rsidRPr="000D5434">
        <w:rPr>
          <w:szCs w:val="22"/>
          <w:lang w:val="es-ES"/>
        </w:rPr>
        <w:t>“Que no tiene cuerpo o que no existe físicamente”.</w:t>
      </w:r>
      <w:r w:rsidR="00B834A4" w:rsidRPr="000D5434">
        <w:rPr>
          <w:szCs w:val="22"/>
          <w:lang w:val="es-ES"/>
        </w:rPr>
        <w:t xml:space="preserve"> </w:t>
      </w:r>
      <w:r w:rsidRPr="000D5434">
        <w:rPr>
          <w:szCs w:val="22"/>
          <w:lang w:val="es-ES"/>
        </w:rPr>
        <w:t>Por el contrario, según la RAE, “material” es aquello “perteneciente o relativo a la materia” y “opuesto a lo espiritual”.</w:t>
      </w:r>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Convención para la Salvaguardia del Patrimonio Cultural Inmaterial</w:t>
      </w:r>
      <w:r w:rsidRPr="000D5434">
        <w:rPr>
          <w:szCs w:val="22"/>
          <w:lang w:val="es-ES"/>
        </w:rPr>
        <w:t xml:space="preserve"> (2003)</w:t>
      </w:r>
      <w:r w:rsidR="0059568D" w:rsidRPr="000D5434">
        <w:rPr>
          <w:szCs w:val="22"/>
          <w:lang w:val="es-ES"/>
        </w:rPr>
        <w:t>, de la UNESCO,</w:t>
      </w:r>
      <w:r w:rsidRPr="000D5434">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00B834A4" w:rsidRPr="000D5434">
        <w:rPr>
          <w:szCs w:val="22"/>
          <w:lang w:val="es-ES"/>
        </w:rPr>
        <w:t xml:space="preserve"> </w:t>
      </w:r>
      <w:r w:rsidRPr="000D5434">
        <w:rPr>
          <w:szCs w:val="22"/>
          <w:lang w:val="es-ES"/>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R="00B834A4" w:rsidRPr="000D5434">
        <w:rPr>
          <w:szCs w:val="22"/>
          <w:lang w:val="es-ES"/>
        </w:rPr>
        <w:t xml:space="preserve"> </w:t>
      </w:r>
      <w:r w:rsidRPr="000D5434">
        <w:rPr>
          <w:szCs w:val="22"/>
          <w:lang w:val="es-ES"/>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0D5434" w:rsidRDefault="00C0409B" w:rsidP="00103D66">
      <w:pPr>
        <w:pStyle w:val="ONUMFS"/>
        <w:numPr>
          <w:ilvl w:val="0"/>
          <w:numId w:val="0"/>
        </w:numPr>
        <w:rPr>
          <w:szCs w:val="22"/>
          <w:lang w:val="es-ES"/>
        </w:rPr>
      </w:pPr>
      <w:r w:rsidRPr="000D5434">
        <w:rPr>
          <w:szCs w:val="22"/>
          <w:lang w:val="es-ES"/>
        </w:rPr>
        <w:t>La Convención dispone asimismo que el “patrimonio cultural inmaterial” “se manifiesta en particular en los ámbitos siguientes:</w:t>
      </w:r>
      <w:r w:rsidR="00B834A4" w:rsidRPr="000D5434">
        <w:rPr>
          <w:szCs w:val="22"/>
          <w:lang w:val="es-ES"/>
        </w:rPr>
        <w:t xml:space="preserve"> </w:t>
      </w:r>
      <w:r w:rsidRPr="000D5434">
        <w:rPr>
          <w:szCs w:val="22"/>
          <w:lang w:val="es-ES"/>
        </w:rPr>
        <w:t>a) tradiciones y expresiones orales, incluido el idioma como vehículo del patrimonio cultural inmaterial;</w:t>
      </w:r>
      <w:r w:rsidR="00B834A4" w:rsidRPr="000D5434">
        <w:rPr>
          <w:szCs w:val="22"/>
          <w:lang w:val="es-ES"/>
        </w:rPr>
        <w:t xml:space="preserve"> </w:t>
      </w:r>
      <w:r w:rsidRPr="000D5434">
        <w:rPr>
          <w:szCs w:val="22"/>
          <w:lang w:val="es-ES"/>
        </w:rPr>
        <w:t>b) artes del espectáculo;</w:t>
      </w:r>
      <w:r w:rsidR="00B834A4" w:rsidRPr="000D5434">
        <w:rPr>
          <w:szCs w:val="22"/>
          <w:lang w:val="es-ES"/>
        </w:rPr>
        <w:t xml:space="preserve"> </w:t>
      </w:r>
      <w:r w:rsidRPr="000D5434">
        <w:rPr>
          <w:szCs w:val="22"/>
          <w:lang w:val="es-ES"/>
        </w:rPr>
        <w:t>c) usos sociales, rituales y actos festivos;</w:t>
      </w:r>
      <w:r w:rsidR="00B834A4" w:rsidRPr="000D5434">
        <w:rPr>
          <w:szCs w:val="22"/>
          <w:lang w:val="es-ES"/>
        </w:rPr>
        <w:t xml:space="preserve"> </w:t>
      </w:r>
      <w:r w:rsidRPr="000D5434">
        <w:rPr>
          <w:szCs w:val="22"/>
          <w:lang w:val="es-ES"/>
        </w:rPr>
        <w:t>d) conocimientos y usos relacionados con la naturaleza y el universo;</w:t>
      </w:r>
      <w:r w:rsidR="00B834A4" w:rsidRPr="000D5434">
        <w:rPr>
          <w:szCs w:val="22"/>
          <w:lang w:val="es-ES"/>
        </w:rPr>
        <w:t xml:space="preserve"> </w:t>
      </w:r>
      <w:r w:rsidRPr="000D5434">
        <w:rPr>
          <w:szCs w:val="22"/>
          <w:lang w:val="es-ES"/>
        </w:rPr>
        <w:t>e) técnicas artesanales tradicionales”.</w:t>
      </w:r>
    </w:p>
    <w:p w:rsidR="00C0409B" w:rsidRPr="000D5434" w:rsidRDefault="00C0409B" w:rsidP="00A758A0">
      <w:pPr>
        <w:pStyle w:val="Heading1"/>
        <w:rPr>
          <w:b w:val="0"/>
          <w:szCs w:val="22"/>
          <w:lang w:val="es-ES"/>
        </w:rPr>
      </w:pPr>
      <w:bookmarkStart w:id="67" w:name="_Toc535584999"/>
      <w:r w:rsidRPr="000D5434">
        <w:rPr>
          <w:szCs w:val="22"/>
          <w:lang w:val="es-ES"/>
        </w:rPr>
        <w:t>Integridad [derecho de] [de la obra]</w:t>
      </w:r>
      <w:bookmarkEnd w:id="67"/>
    </w:p>
    <w:p w:rsidR="00C0409B" w:rsidRPr="000D5434" w:rsidRDefault="00C0409B" w:rsidP="00103D66">
      <w:pPr>
        <w:pStyle w:val="ONUMFS"/>
        <w:numPr>
          <w:ilvl w:val="0"/>
          <w:numId w:val="0"/>
        </w:numPr>
        <w:rPr>
          <w:b/>
          <w:szCs w:val="22"/>
          <w:lang w:val="es-ES"/>
        </w:rPr>
      </w:pPr>
      <w:r w:rsidRPr="000D5434">
        <w:rPr>
          <w:szCs w:val="22"/>
          <w:lang w:val="es-ES"/>
        </w:rPr>
        <w:t>Gracias al derecho de integridad, el autor puede oponerse a los actos de modificación o alteración de la obra que carezcan de su consentimiento.</w:t>
      </w:r>
      <w:r w:rsidRPr="000D5434">
        <w:rPr>
          <w:rStyle w:val="FootnoteReference"/>
          <w:szCs w:val="22"/>
          <w:lang w:val="es-ES"/>
        </w:rPr>
        <w:footnoteReference w:id="81"/>
      </w:r>
      <w:r w:rsidR="00B834A4" w:rsidRPr="000D5434">
        <w:rPr>
          <w:szCs w:val="22"/>
          <w:lang w:val="es-ES"/>
        </w:rPr>
        <w:t xml:space="preserve"> </w:t>
      </w:r>
      <w:r w:rsidRPr="000D5434">
        <w:rPr>
          <w:szCs w:val="22"/>
          <w:lang w:val="es-ES"/>
        </w:rPr>
        <w:t xml:space="preserve">En la revisión de Bruselas </w:t>
      </w:r>
      <w:r w:rsidR="00B16297" w:rsidRPr="000D5434">
        <w:rPr>
          <w:szCs w:val="22"/>
          <w:lang w:val="es-ES"/>
        </w:rPr>
        <w:t>de </w:t>
      </w:r>
      <w:r w:rsidR="0059568D" w:rsidRPr="000D5434">
        <w:rPr>
          <w:szCs w:val="22"/>
          <w:lang w:val="es-ES"/>
        </w:rPr>
        <w:t xml:space="preserve">1949 </w:t>
      </w:r>
      <w:r w:rsidRPr="000D5434">
        <w:rPr>
          <w:szCs w:val="22"/>
          <w:lang w:val="es-ES"/>
        </w:rPr>
        <w:t xml:space="preserve">del </w:t>
      </w:r>
      <w:r w:rsidRPr="000D5434">
        <w:rPr>
          <w:i/>
          <w:szCs w:val="22"/>
          <w:lang w:val="es-ES"/>
        </w:rPr>
        <w:t>Convenio de Berna</w:t>
      </w:r>
      <w:r w:rsidR="0059568D" w:rsidRPr="000D5434">
        <w:rPr>
          <w:i/>
          <w:szCs w:val="22"/>
          <w:lang w:val="es-ES"/>
        </w:rPr>
        <w:t xml:space="preserve"> para la Protección de las Obras Literarias y Artísticas</w:t>
      </w:r>
      <w:r w:rsidRPr="000D5434">
        <w:rPr>
          <w:szCs w:val="22"/>
          <w:lang w:val="es-ES"/>
        </w:rPr>
        <w:t xml:space="preserve"> (19</w:t>
      </w:r>
      <w:r w:rsidR="0059568D" w:rsidRPr="000D5434">
        <w:rPr>
          <w:szCs w:val="22"/>
          <w:lang w:val="es-ES"/>
        </w:rPr>
        <w:t>71</w:t>
      </w:r>
      <w:r w:rsidRPr="000D5434">
        <w:rPr>
          <w:szCs w:val="22"/>
          <w:lang w:val="es-ES"/>
        </w:rPr>
        <w:t>), se acordó prohibir “cualquier atentado a la misma [la obra] que cause perjuicio a su honor o a su reputación [del autor] (artículo 6</w:t>
      </w:r>
      <w:r w:rsidRPr="000D5434">
        <w:rPr>
          <w:i/>
          <w:szCs w:val="22"/>
          <w:lang w:val="es-ES"/>
        </w:rPr>
        <w:t>bis</w:t>
      </w:r>
      <w:r w:rsidRPr="000D5434">
        <w:rPr>
          <w:szCs w:val="22"/>
          <w:lang w:val="es-ES"/>
        </w:rPr>
        <w:t>).</w:t>
      </w:r>
    </w:p>
    <w:p w:rsidR="00C0409B" w:rsidRPr="000D5434" w:rsidRDefault="00C0409B" w:rsidP="00A758A0">
      <w:pPr>
        <w:pStyle w:val="Heading1"/>
        <w:rPr>
          <w:b w:val="0"/>
          <w:szCs w:val="22"/>
          <w:lang w:val="es-ES"/>
        </w:rPr>
      </w:pPr>
      <w:bookmarkStart w:id="68" w:name="_Toc535585000"/>
      <w:r w:rsidRPr="000D5434">
        <w:rPr>
          <w:szCs w:val="22"/>
          <w:lang w:val="es-ES"/>
        </w:rPr>
        <w:t>Directrices de propiedad intelectual sobre acceso y participación en los beneficios</w:t>
      </w:r>
      <w:bookmarkEnd w:id="68"/>
    </w:p>
    <w:p w:rsidR="002F5651" w:rsidRDefault="00C0409B" w:rsidP="00103D66">
      <w:pPr>
        <w:pStyle w:val="ONUMFS"/>
        <w:numPr>
          <w:ilvl w:val="0"/>
          <w:numId w:val="0"/>
        </w:numPr>
        <w:rPr>
          <w:szCs w:val="22"/>
          <w:lang w:val="es-ES"/>
        </w:rPr>
      </w:pPr>
      <w:r w:rsidRPr="000D5434">
        <w:rPr>
          <w:szCs w:val="22"/>
          <w:lang w:val="es-ES"/>
        </w:rPr>
        <w:t xml:space="preserve">Desde su primera sesión, el CIG respaldó una tarea que concluiría en la elaboración, por parte de la OMPI, de directrices de propiedad intelectual sobre acceso y participación en los </w:t>
      </w:r>
      <w:r w:rsidRPr="000D5434">
        <w:rPr>
          <w:szCs w:val="22"/>
          <w:lang w:val="es-ES"/>
        </w:rPr>
        <w:lastRenderedPageBreak/>
        <w:t>beneficios.</w:t>
      </w:r>
      <w:r w:rsidR="00B834A4" w:rsidRPr="000D5434">
        <w:rPr>
          <w:szCs w:val="22"/>
          <w:lang w:val="es-ES"/>
        </w:rPr>
        <w:t xml:space="preserve"> </w:t>
      </w:r>
      <w:r w:rsidRPr="000D5434">
        <w:rPr>
          <w:szCs w:val="22"/>
          <w:lang w:val="es-ES"/>
        </w:rPr>
        <w:t>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69" w:name="sdfootnote31anc"/>
      <w:r w:rsidRPr="000D5434">
        <w:rPr>
          <w:rStyle w:val="FootnoteReference"/>
          <w:szCs w:val="22"/>
          <w:lang w:val="es-ES"/>
        </w:rPr>
        <w:footnoteReference w:id="82"/>
      </w:r>
      <w:bookmarkEnd w:id="69"/>
    </w:p>
    <w:p w:rsidR="002F5651" w:rsidRDefault="00C0409B" w:rsidP="00103D66">
      <w:pPr>
        <w:pStyle w:val="ONUMFS"/>
        <w:numPr>
          <w:ilvl w:val="0"/>
          <w:numId w:val="0"/>
        </w:numPr>
        <w:rPr>
          <w:szCs w:val="22"/>
          <w:lang w:val="es-ES"/>
        </w:rPr>
      </w:pPr>
      <w:r w:rsidRPr="000D5434">
        <w:rPr>
          <w:szCs w:val="22"/>
          <w:lang w:val="es-ES"/>
        </w:rPr>
        <w:t>Se preparó un primer borrador</w:t>
      </w:r>
      <w:r w:rsidRPr="000D5434">
        <w:rPr>
          <w:rStyle w:val="FootnoteReference"/>
          <w:szCs w:val="22"/>
          <w:lang w:val="es-ES"/>
        </w:rPr>
        <w:footnoteReference w:id="83"/>
      </w:r>
      <w:r w:rsidRPr="000D5434">
        <w:rPr>
          <w:szCs w:val="22"/>
          <w:lang w:val="es-ES"/>
        </w:rPr>
        <w:t xml:space="preserve"> teniendo en cuenta los principios operativos señalados por el CIG con respecto a la elaboración de tales directrices.</w:t>
      </w:r>
      <w:r w:rsidRPr="000D5434">
        <w:rPr>
          <w:rStyle w:val="FootnoteReference"/>
          <w:szCs w:val="22"/>
          <w:lang w:val="es-ES"/>
        </w:rPr>
        <w:footnoteReference w:id="84"/>
      </w:r>
      <w:r w:rsidR="00B834A4" w:rsidRPr="000D5434">
        <w:rPr>
          <w:szCs w:val="22"/>
          <w:lang w:val="es-ES"/>
        </w:rPr>
        <w:t xml:space="preserve"> </w:t>
      </w:r>
      <w:r w:rsidRPr="000D5434">
        <w:rPr>
          <w:szCs w:val="22"/>
          <w:lang w:val="es-ES"/>
        </w:rPr>
        <w:t>Posteriormente, dicho borrador fue actualizado con motivo de la decimoséptima sesión del CIG.</w:t>
      </w:r>
      <w:r w:rsidRPr="000D5434">
        <w:rPr>
          <w:rStyle w:val="FootnoteReference"/>
          <w:szCs w:val="22"/>
          <w:lang w:val="es-ES"/>
        </w:rPr>
        <w:footnoteReference w:id="85"/>
      </w:r>
    </w:p>
    <w:p w:rsidR="00C0409B" w:rsidRPr="000D5434" w:rsidRDefault="00C0409B" w:rsidP="00103D66">
      <w:pPr>
        <w:pStyle w:val="ONUMFS"/>
        <w:numPr>
          <w:ilvl w:val="0"/>
          <w:numId w:val="0"/>
        </w:numPr>
        <w:rPr>
          <w:szCs w:val="22"/>
          <w:lang w:val="es-ES"/>
        </w:rPr>
      </w:pPr>
      <w:r w:rsidRPr="000D5434">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w:t>
      </w:r>
      <w:r w:rsidR="00B834A4" w:rsidRPr="000D5434">
        <w:rPr>
          <w:szCs w:val="22"/>
          <w:lang w:val="es-ES"/>
        </w:rPr>
        <w:t xml:space="preserve"> </w:t>
      </w:r>
      <w:r w:rsidRPr="000D5434">
        <w:rPr>
          <w:szCs w:val="22"/>
          <w:lang w:val="es-ES"/>
        </w:rPr>
        <w:t>Su objetivo es además ilustrar las principales cuestiones de P.I. que puedan planteárseles a los proveedores y beneficiarios de los recursos al negociar un acuerdo, un contrato o una licencia.</w:t>
      </w:r>
      <w:r w:rsidR="00B834A4" w:rsidRPr="000D5434">
        <w:rPr>
          <w:szCs w:val="22"/>
          <w:lang w:val="es-ES"/>
        </w:rPr>
        <w:t xml:space="preserve"> </w:t>
      </w:r>
      <w:r w:rsidRPr="000D5434">
        <w:rPr>
          <w:szCs w:val="22"/>
          <w:lang w:val="es-ES"/>
        </w:rPr>
        <w:t>La diversidad de legislaciones nacionales y de intereses concretos de los proveedores y los beneficiaros puede dar lugar a una gran cantidad de opciones a la hora de negociar y de redactar las disposiciones propiamente dichas.</w:t>
      </w:r>
      <w:r w:rsidR="00B834A4" w:rsidRPr="000D5434">
        <w:rPr>
          <w:szCs w:val="22"/>
          <w:lang w:val="es-ES"/>
        </w:rPr>
        <w:t xml:space="preserve"> </w:t>
      </w:r>
      <w:r w:rsidRPr="000D5434">
        <w:rPr>
          <w:szCs w:val="22"/>
          <w:lang w:val="es-ES"/>
        </w:rPr>
        <w:t>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2F5651" w:rsidRDefault="00C0409B" w:rsidP="00103D66">
      <w:pPr>
        <w:pStyle w:val="ONUMFS"/>
        <w:numPr>
          <w:ilvl w:val="0"/>
          <w:numId w:val="0"/>
        </w:numPr>
        <w:rPr>
          <w:szCs w:val="22"/>
          <w:lang w:val="es-ES"/>
        </w:rPr>
      </w:pPr>
      <w:r w:rsidRPr="000D5434">
        <w:rPr>
          <w:szCs w:val="22"/>
          <w:lang w:val="es-ES"/>
        </w:rPr>
        <w:t>Por otra parte, ninguno de los contenidos de las directrices afecta a los derechos soberanos de los Estados sobre sus recursos naturales, incluido su derecho a establecer condiciones para el acceso y la participación en los beneficios.</w:t>
      </w:r>
      <w:r w:rsidR="00B834A4" w:rsidRPr="000D5434">
        <w:rPr>
          <w:szCs w:val="22"/>
          <w:lang w:val="es-ES"/>
        </w:rPr>
        <w:t xml:space="preserve"> </w:t>
      </w:r>
      <w:r w:rsidRPr="000D5434">
        <w:rPr>
          <w:szCs w:val="22"/>
          <w:lang w:val="es-ES"/>
        </w:rPr>
        <w:t>Las directrices tendrán únicamente carácter voluntario e ilustrativo, y no sustituirán a la legislación internacional, regional o nacional correspondiente.</w:t>
      </w:r>
      <w:r w:rsidRPr="000D5434">
        <w:rPr>
          <w:rStyle w:val="FootnoteReference"/>
          <w:szCs w:val="22"/>
          <w:lang w:val="es-ES"/>
        </w:rPr>
        <w:footnoteReference w:id="86"/>
      </w:r>
    </w:p>
    <w:p w:rsidR="00C0409B" w:rsidRPr="000D5434" w:rsidRDefault="00C0409B" w:rsidP="00103D66">
      <w:pPr>
        <w:pStyle w:val="ONUMFS"/>
        <w:numPr>
          <w:ilvl w:val="0"/>
          <w:numId w:val="0"/>
        </w:numPr>
        <w:rPr>
          <w:b/>
          <w:szCs w:val="22"/>
          <w:lang w:val="es-ES"/>
        </w:rPr>
      </w:pPr>
      <w:r w:rsidRPr="000D5434">
        <w:rPr>
          <w:szCs w:val="22"/>
          <w:lang w:val="es-ES"/>
        </w:rPr>
        <w:t>Los conocimientos tradicionales se asocian a menudo con los recursos genéticos, y esto puede aportar valiosas ind</w:t>
      </w:r>
      <w:r w:rsidR="00D4348B">
        <w:rPr>
          <w:szCs w:val="22"/>
          <w:lang w:val="es-ES"/>
        </w:rPr>
        <w:t>icaciones sobre el modo en que e</w:t>
      </w:r>
      <w:r w:rsidRPr="000D5434">
        <w:rPr>
          <w:szCs w:val="22"/>
          <w:lang w:val="es-ES"/>
        </w:rPr>
        <w:t>stos últimos pueden preservarse, conservarse, y utilizarse en beneficio de la humanidad.</w:t>
      </w:r>
      <w:r w:rsidRPr="000D5434">
        <w:rPr>
          <w:rStyle w:val="FootnoteReference"/>
          <w:szCs w:val="22"/>
          <w:lang w:val="es-ES"/>
        </w:rPr>
        <w:footnoteReference w:id="87"/>
      </w:r>
      <w:r w:rsidR="00B834A4" w:rsidRPr="000D5434">
        <w:rPr>
          <w:szCs w:val="22"/>
          <w:lang w:val="es-ES"/>
        </w:rPr>
        <w:t xml:space="preserve"> </w:t>
      </w:r>
      <w:r w:rsidRPr="000D5434">
        <w:rPr>
          <w:szCs w:val="22"/>
          <w:lang w:val="es-ES"/>
        </w:rPr>
        <w:t>Las directrices se aplican también a los conocimientos tradicionales relacionados con los recursos genéticos.</w:t>
      </w:r>
      <w:r w:rsidRPr="000D5434">
        <w:rPr>
          <w:rStyle w:val="FootnoteReference"/>
          <w:szCs w:val="22"/>
          <w:lang w:val="es-ES"/>
        </w:rPr>
        <w:footnoteReference w:id="88"/>
      </w:r>
    </w:p>
    <w:p w:rsidR="00C0409B" w:rsidRPr="000D5434" w:rsidRDefault="00C0409B" w:rsidP="00A758A0">
      <w:pPr>
        <w:pStyle w:val="Heading1"/>
        <w:rPr>
          <w:b w:val="0"/>
          <w:szCs w:val="22"/>
          <w:lang w:val="es-ES"/>
        </w:rPr>
      </w:pPr>
      <w:bookmarkStart w:id="70" w:name="_Toc535585001"/>
      <w:r w:rsidRPr="000D5434">
        <w:rPr>
          <w:szCs w:val="22"/>
          <w:lang w:val="es-ES"/>
        </w:rPr>
        <w:t>Clasificación Internacional de Patentes (CIP)</w:t>
      </w:r>
      <w:bookmarkEnd w:id="70"/>
    </w:p>
    <w:p w:rsidR="00C0409B" w:rsidRPr="000D5434" w:rsidRDefault="00C0409B" w:rsidP="00103D66">
      <w:pPr>
        <w:pStyle w:val="ONUMFS"/>
        <w:numPr>
          <w:ilvl w:val="0"/>
          <w:numId w:val="0"/>
        </w:numPr>
        <w:rPr>
          <w:szCs w:val="22"/>
          <w:lang w:val="es-ES"/>
        </w:rPr>
      </w:pPr>
      <w:r w:rsidRPr="000D5434">
        <w:rPr>
          <w:szCs w:val="22"/>
          <w:lang w:val="es-ES"/>
        </w:rPr>
        <w:t>La Clasificación Internacional de Patentes (CIP) es “</w:t>
      </w:r>
      <w:r w:rsidRPr="000D5434">
        <w:rPr>
          <w:iCs/>
          <w:szCs w:val="22"/>
          <w:lang w:val="es-ES"/>
        </w:rPr>
        <w:t>un sistema jerárquico donde el ámbito de la tecnología se divide en una serie de secciones, clases, subclases y grupos.</w:t>
      </w:r>
      <w:r w:rsidR="00B834A4" w:rsidRPr="000D5434">
        <w:rPr>
          <w:iCs/>
          <w:szCs w:val="22"/>
          <w:lang w:val="es-ES"/>
        </w:rPr>
        <w:t xml:space="preserve"> </w:t>
      </w:r>
      <w:r w:rsidRPr="000D5434">
        <w:rPr>
          <w:iCs/>
          <w:szCs w:val="22"/>
          <w:lang w:val="es-ES"/>
        </w:rPr>
        <w:t xml:space="preserve">La Clasificación constituye una herramienta que no depende de idioma alguno y que es indispensable para la obtención de documentos de patente en las búsquedas que se realizan en el </w:t>
      </w:r>
      <w:r w:rsidRPr="000D5434">
        <w:rPr>
          <w:i/>
          <w:iCs/>
          <w:szCs w:val="22"/>
          <w:lang w:val="es-ES"/>
        </w:rPr>
        <w:t>estado de la técnica</w:t>
      </w:r>
      <w:r w:rsidRPr="000D5434">
        <w:rPr>
          <w:szCs w:val="22"/>
          <w:lang w:val="es-ES"/>
        </w:rPr>
        <w:t>”.</w:t>
      </w:r>
      <w:r w:rsidRPr="000D5434">
        <w:rPr>
          <w:rStyle w:val="FootnoteReference"/>
          <w:szCs w:val="22"/>
          <w:lang w:val="es-ES"/>
        </w:rPr>
        <w:footnoteReference w:id="89"/>
      </w:r>
    </w:p>
    <w:p w:rsidR="00C0409B" w:rsidRPr="000D5434" w:rsidRDefault="00C0409B" w:rsidP="00103D66">
      <w:pPr>
        <w:pStyle w:val="ONUMFS"/>
        <w:numPr>
          <w:ilvl w:val="0"/>
          <w:numId w:val="0"/>
        </w:numPr>
        <w:rPr>
          <w:szCs w:val="22"/>
          <w:lang w:val="es-ES"/>
        </w:rPr>
      </w:pPr>
      <w:r w:rsidRPr="000D5434">
        <w:rPr>
          <w:szCs w:val="22"/>
          <w:lang w:val="es-ES"/>
        </w:rPr>
        <w:t xml:space="preserve">La CIP fue establecida a raíz de la adopción, en 1971, del </w:t>
      </w:r>
      <w:r w:rsidRPr="000D5434">
        <w:rPr>
          <w:i/>
          <w:szCs w:val="22"/>
          <w:lang w:val="es-ES"/>
        </w:rPr>
        <w:t>Arreglo de Estrasburgo relativo a la Clasificación Internacional de Patentes</w:t>
      </w:r>
      <w:r w:rsidRPr="000D5434">
        <w:rPr>
          <w:szCs w:val="22"/>
          <w:lang w:val="es-ES"/>
        </w:rPr>
        <w:t>.</w:t>
      </w:r>
      <w:r w:rsidR="00B834A4" w:rsidRPr="000D5434">
        <w:rPr>
          <w:szCs w:val="22"/>
          <w:lang w:val="es-ES"/>
        </w:rPr>
        <w:t xml:space="preserve"> </w:t>
      </w:r>
      <w:r w:rsidRPr="000D5434">
        <w:rPr>
          <w:szCs w:val="22"/>
          <w:lang w:val="es-ES"/>
        </w:rPr>
        <w:t>En el artículo 2.1)a) de dicho Arreglo se estipula lo siguiente:</w:t>
      </w:r>
      <w:r w:rsidR="00B834A4" w:rsidRPr="000D5434">
        <w:rPr>
          <w:szCs w:val="22"/>
          <w:lang w:val="es-ES"/>
        </w:rPr>
        <w:t xml:space="preserve"> </w:t>
      </w:r>
      <w:r w:rsidRPr="000D5434">
        <w:rPr>
          <w:szCs w:val="22"/>
          <w:lang w:val="es-ES"/>
        </w:rPr>
        <w:t>“</w:t>
      </w:r>
      <w:r w:rsidRPr="000D5434">
        <w:rPr>
          <w:iCs/>
          <w:szCs w:val="22"/>
          <w:lang w:val="es-ES"/>
        </w:rPr>
        <w:t>la Clasificación estará constituida por:</w:t>
      </w:r>
      <w:r w:rsidR="00B834A4" w:rsidRPr="000D5434">
        <w:rPr>
          <w:iCs/>
          <w:szCs w:val="22"/>
          <w:lang w:val="es-ES"/>
        </w:rPr>
        <w:t xml:space="preserve"> </w:t>
      </w:r>
      <w:r w:rsidRPr="000D5434">
        <w:rPr>
          <w:iCs/>
          <w:szCs w:val="22"/>
          <w:lang w:val="es-ES"/>
        </w:rPr>
        <w:t xml:space="preserve">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w:t>
      </w:r>
      <w:r w:rsidRPr="000D5434">
        <w:rPr>
          <w:iCs/>
          <w:szCs w:val="22"/>
          <w:lang w:val="es-ES"/>
        </w:rPr>
        <w:lastRenderedPageBreak/>
        <w:t>septiembre de 1968;</w:t>
      </w:r>
      <w:r w:rsidR="00B834A4" w:rsidRPr="000D5434">
        <w:rPr>
          <w:iCs/>
          <w:szCs w:val="22"/>
          <w:lang w:val="es-ES"/>
        </w:rPr>
        <w:t xml:space="preserve"> </w:t>
      </w:r>
      <w:r w:rsidRPr="000D5434">
        <w:rPr>
          <w:iCs/>
          <w:szCs w:val="22"/>
          <w:lang w:val="es-ES"/>
        </w:rPr>
        <w:t>ii) las modificaciones que han entrado en vigor en virtud del Artículo 2.2 del Convenio Europeo antes de la entrada en vigor del presente Arreglo;</w:t>
      </w:r>
      <w:r w:rsidR="00B834A4" w:rsidRPr="000D5434">
        <w:rPr>
          <w:iCs/>
          <w:szCs w:val="22"/>
          <w:lang w:val="es-ES"/>
        </w:rPr>
        <w:t xml:space="preserve"> </w:t>
      </w:r>
      <w:r w:rsidRPr="000D5434">
        <w:rPr>
          <w:iCs/>
          <w:szCs w:val="22"/>
          <w:lang w:val="es-ES"/>
        </w:rPr>
        <w:t>iii) las modificaciones introducidas posteriormente, en virtud del Artículo 5 y que entren en vigor de conformidad con el Artículo 6</w:t>
      </w:r>
      <w:r w:rsidRPr="000D5434">
        <w:rPr>
          <w:szCs w:val="22"/>
          <w:lang w:val="es-ES"/>
        </w:rPr>
        <w:t>”.</w:t>
      </w:r>
    </w:p>
    <w:p w:rsidR="006F3206" w:rsidRPr="000D5434" w:rsidRDefault="006F3206" w:rsidP="00A758A0">
      <w:pPr>
        <w:pStyle w:val="Heading1"/>
        <w:rPr>
          <w:rFonts w:eastAsia="Times New Roman"/>
          <w:b w:val="0"/>
          <w:szCs w:val="22"/>
          <w:lang w:val="es-ES" w:eastAsia="en-US"/>
        </w:rPr>
      </w:pPr>
      <w:bookmarkStart w:id="71" w:name="_Toc535585002"/>
      <w:r w:rsidRPr="000D5434">
        <w:rPr>
          <w:rFonts w:eastAsia="Times New Roman"/>
          <w:szCs w:val="22"/>
          <w:lang w:val="es-ES" w:eastAsia="en-US"/>
        </w:rPr>
        <w:t>Tratado Internacional sobre los Recursos Fitogenéticos para la Alimentación y la Agricultura</w:t>
      </w:r>
      <w:bookmarkEnd w:id="71"/>
    </w:p>
    <w:p w:rsidR="005C4DF4" w:rsidRPr="000D5434" w:rsidRDefault="006F3206" w:rsidP="00B16297">
      <w:pPr>
        <w:pStyle w:val="ONUMFS"/>
        <w:numPr>
          <w:ilvl w:val="0"/>
          <w:numId w:val="0"/>
        </w:numPr>
        <w:spacing w:before="200"/>
        <w:rPr>
          <w:b/>
          <w:szCs w:val="22"/>
          <w:lang w:val="es-ES"/>
        </w:rPr>
      </w:pPr>
      <w:r w:rsidRPr="000D5434">
        <w:rPr>
          <w:rFonts w:eastAsia="Times New Roman"/>
          <w:lang w:val="es-ES" w:eastAsia="en-US"/>
        </w:rPr>
        <w:t>El Tratado Internacional sobre los Recursos Fitogenéticos para la Alimentación y la Agricultura</w:t>
      </w:r>
      <w:r w:rsidRPr="000D5434">
        <w:rPr>
          <w:rFonts w:eastAsia="Times New Roman"/>
          <w:szCs w:val="22"/>
          <w:lang w:val="es-ES" w:eastAsia="en-US"/>
        </w:rPr>
        <w:t xml:space="preserve"> (ITPGRFA) fue adoptado el 3 de noviembre de 2001 en el trigésimo primer período de sesiones de la Conferencia de la Organización de las Naciones Unidas para la Alimentación y la Agricultura, y entró en vigor en 2004.</w:t>
      </w:r>
      <w:r w:rsidR="00B834A4" w:rsidRPr="000D5434">
        <w:rPr>
          <w:rFonts w:eastAsia="Times New Roman"/>
          <w:szCs w:val="22"/>
          <w:lang w:val="es-ES" w:eastAsia="en-US"/>
        </w:rPr>
        <w:t xml:space="preserve"> </w:t>
      </w:r>
      <w:r w:rsidRPr="000D5434">
        <w:rPr>
          <w:rFonts w:eastAsia="Times New Roman"/>
          <w:szCs w:val="22"/>
          <w:lang w:val="es-ES" w:eastAsia="en-US"/>
        </w:rPr>
        <w:t>Los objetivos del Tratado son:</w:t>
      </w:r>
      <w:r w:rsidR="00B834A4" w:rsidRPr="000D5434">
        <w:rPr>
          <w:rFonts w:eastAsia="Times New Roman"/>
          <w:szCs w:val="22"/>
          <w:lang w:val="es-ES" w:eastAsia="en-US"/>
        </w:rPr>
        <w:t xml:space="preserve"> </w:t>
      </w:r>
      <w:r w:rsidRPr="000D5434">
        <w:rPr>
          <w:rFonts w:eastAsia="Times New Roman"/>
          <w:szCs w:val="22"/>
          <w:lang w:val="es-ES" w:eastAsia="en-US"/>
        </w:rPr>
        <w:t>1)reconocer la enorme contribución de los agricultores a la diversidad de los cultivos que alimentan al mundo;</w:t>
      </w:r>
      <w:r w:rsidR="00B834A4" w:rsidRPr="000D5434">
        <w:rPr>
          <w:rFonts w:eastAsia="Times New Roman"/>
          <w:szCs w:val="22"/>
          <w:lang w:val="es-ES" w:eastAsia="en-US"/>
        </w:rPr>
        <w:t xml:space="preserve"> </w:t>
      </w:r>
      <w:r w:rsidRPr="000D5434">
        <w:rPr>
          <w:rFonts w:eastAsia="Times New Roman"/>
          <w:szCs w:val="22"/>
          <w:lang w:val="es-ES" w:eastAsia="en-US"/>
        </w:rPr>
        <w:t>2) establecer un sistema mundial para proporcionar a los agricultores, fitomejoradores y científicos acceso al material fitogenético;</w:t>
      </w:r>
      <w:r w:rsidR="00B834A4" w:rsidRPr="000D5434">
        <w:rPr>
          <w:rFonts w:eastAsia="Times New Roman"/>
          <w:szCs w:val="22"/>
          <w:lang w:val="es-ES" w:eastAsia="en-US"/>
        </w:rPr>
        <w:t xml:space="preserve"> </w:t>
      </w:r>
      <w:r w:rsidRPr="000D5434">
        <w:rPr>
          <w:rFonts w:eastAsia="Times New Roman"/>
          <w:szCs w:val="22"/>
          <w:lang w:val="es-ES" w:eastAsia="en-US"/>
        </w:rPr>
        <w:t>y 3) garantizar que los usuarios compartan los beneficios que obtienen de ese material genético con los países de donde son originarios.</w:t>
      </w:r>
      <w:r w:rsidRPr="000D5434">
        <w:rPr>
          <w:rFonts w:eastAsia="Times New Roman"/>
          <w:szCs w:val="22"/>
          <w:vertAlign w:val="superscript"/>
          <w:lang w:val="es-ES" w:eastAsia="en-US"/>
        </w:rPr>
        <w:footnoteReference w:id="90"/>
      </w:r>
    </w:p>
    <w:p w:rsidR="00C0409B" w:rsidRPr="000D5434" w:rsidRDefault="00C0409B" w:rsidP="00A758A0">
      <w:pPr>
        <w:pStyle w:val="Heading1"/>
        <w:rPr>
          <w:b w:val="0"/>
          <w:szCs w:val="22"/>
          <w:lang w:val="es-ES"/>
        </w:rPr>
      </w:pPr>
      <w:bookmarkStart w:id="72" w:name="_Toc535585003"/>
      <w:r w:rsidRPr="000D5434">
        <w:rPr>
          <w:szCs w:val="22"/>
          <w:lang w:val="es-ES"/>
        </w:rPr>
        <w:t>Actividad inventiva</w:t>
      </w:r>
      <w:bookmarkEnd w:id="72"/>
    </w:p>
    <w:p w:rsidR="00C0409B" w:rsidRPr="000D5434" w:rsidRDefault="00C0409B" w:rsidP="00103D66">
      <w:pPr>
        <w:pStyle w:val="ONUMFS"/>
        <w:numPr>
          <w:ilvl w:val="0"/>
          <w:numId w:val="0"/>
        </w:numPr>
        <w:rPr>
          <w:szCs w:val="22"/>
          <w:lang w:val="es-ES"/>
        </w:rPr>
      </w:pPr>
      <w:r w:rsidRPr="000D5434">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0D5434">
        <w:rPr>
          <w:rStyle w:val="FootnoteReference"/>
          <w:szCs w:val="22"/>
          <w:lang w:val="es-ES"/>
        </w:rPr>
        <w:footnoteReference w:id="91"/>
      </w:r>
    </w:p>
    <w:p w:rsidR="00C0409B" w:rsidRPr="000D5434" w:rsidRDefault="00C0409B" w:rsidP="00103D66">
      <w:pPr>
        <w:pStyle w:val="ONUMFS"/>
        <w:numPr>
          <w:ilvl w:val="0"/>
          <w:numId w:val="0"/>
        </w:numPr>
        <w:rPr>
          <w:szCs w:val="22"/>
          <w:lang w:val="es-ES"/>
        </w:rPr>
      </w:pPr>
      <w:r w:rsidRPr="000D5434">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56 del </w:t>
      </w:r>
      <w:r w:rsidRPr="000D5434">
        <w:rPr>
          <w:i/>
          <w:szCs w:val="22"/>
          <w:lang w:val="es-ES"/>
        </w:rPr>
        <w:t>Convenio de la Patente Europea</w:t>
      </w:r>
      <w:r w:rsidRPr="000D5434">
        <w:rPr>
          <w:szCs w:val="22"/>
          <w:lang w:val="es-ES"/>
        </w:rPr>
        <w:t xml:space="preserve"> y en el artículo 103 del Título 35 del Código de los Estados Unidos figuran definiciones similares.</w:t>
      </w:r>
      <w:r w:rsidR="00B834A4" w:rsidRPr="000D5434">
        <w:rPr>
          <w:szCs w:val="22"/>
          <w:lang w:val="es-ES"/>
        </w:rPr>
        <w:t xml:space="preserve"> </w:t>
      </w:r>
      <w:r w:rsidRPr="000D5434">
        <w:rPr>
          <w:szCs w:val="22"/>
          <w:lang w:val="es-ES"/>
        </w:rPr>
        <w:t>En el artículo 103 del Título 35 del Código de los Estados Unidos se utiliza el término equivalente “materia no evidente”.</w:t>
      </w:r>
      <w:r w:rsidR="006F3206" w:rsidRPr="000D5434">
        <w:rPr>
          <w:szCs w:val="22"/>
          <w:lang w:val="es-ES" w:eastAsia="en-US" w:bidi="th-TH"/>
        </w:rPr>
        <w:t xml:space="preserve"> </w:t>
      </w:r>
      <w:r w:rsidR="006F3206" w:rsidRPr="000D5434">
        <w:rPr>
          <w:szCs w:val="22"/>
          <w:vertAlign w:val="superscript"/>
          <w:lang w:val="es-ES" w:eastAsia="en-US" w:bidi="th-TH"/>
        </w:rPr>
        <w:footnoteReference w:id="92"/>
      </w:r>
    </w:p>
    <w:p w:rsidR="00C0409B" w:rsidRPr="000D5434" w:rsidRDefault="00C0409B" w:rsidP="00A758A0">
      <w:pPr>
        <w:pStyle w:val="Heading1"/>
        <w:rPr>
          <w:b w:val="0"/>
          <w:szCs w:val="22"/>
          <w:lang w:val="es-ES"/>
        </w:rPr>
      </w:pPr>
      <w:bookmarkStart w:id="73" w:name="_Toc535585004"/>
      <w:r w:rsidRPr="000D5434">
        <w:rPr>
          <w:szCs w:val="22"/>
          <w:lang w:val="es-ES"/>
        </w:rPr>
        <w:t>Acuerdos de licencia</w:t>
      </w:r>
      <w:bookmarkEnd w:id="73"/>
    </w:p>
    <w:p w:rsidR="00C0409B" w:rsidRPr="000D5434" w:rsidRDefault="00C0409B" w:rsidP="00103D66">
      <w:pPr>
        <w:pStyle w:val="ONUMFS"/>
        <w:numPr>
          <w:ilvl w:val="0"/>
          <w:numId w:val="0"/>
        </w:numPr>
        <w:rPr>
          <w:b/>
          <w:szCs w:val="22"/>
          <w:lang w:val="es-ES"/>
        </w:rPr>
      </w:pPr>
      <w:r w:rsidRPr="000D5434">
        <w:rPr>
          <w:szCs w:val="22"/>
          <w:lang w:val="es-ES"/>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0D5434">
        <w:rPr>
          <w:rStyle w:val="FootnoteReference"/>
          <w:szCs w:val="22"/>
          <w:lang w:val="es-ES"/>
        </w:rPr>
        <w:footnoteReference w:id="93"/>
      </w:r>
    </w:p>
    <w:p w:rsidR="00C0409B" w:rsidRPr="000D5434" w:rsidRDefault="00C0409B" w:rsidP="00A758A0">
      <w:pPr>
        <w:pStyle w:val="Heading1"/>
        <w:rPr>
          <w:b w:val="0"/>
          <w:szCs w:val="22"/>
          <w:lang w:val="es-ES"/>
        </w:rPr>
      </w:pPr>
      <w:bookmarkStart w:id="74" w:name="_Toc535585005"/>
      <w:r w:rsidRPr="000D5434">
        <w:rPr>
          <w:szCs w:val="22"/>
          <w:lang w:val="es-ES"/>
        </w:rPr>
        <w:t>Limitación</w:t>
      </w:r>
      <w:bookmarkEnd w:id="74"/>
    </w:p>
    <w:p w:rsidR="00C0409B" w:rsidRPr="000D5434" w:rsidRDefault="00C0409B" w:rsidP="00103D66">
      <w:pPr>
        <w:pStyle w:val="ONUMFS"/>
        <w:numPr>
          <w:ilvl w:val="0"/>
          <w:numId w:val="0"/>
        </w:numPr>
        <w:rPr>
          <w:szCs w:val="22"/>
          <w:lang w:val="es-ES"/>
        </w:rPr>
      </w:pPr>
      <w:r w:rsidRPr="000D5434">
        <w:rPr>
          <w:szCs w:val="22"/>
          <w:lang w:val="es-ES"/>
        </w:rPr>
        <w:t>La Real Academia Española explica</w:t>
      </w:r>
      <w:r w:rsidR="0059568D" w:rsidRPr="000D5434">
        <w:rPr>
          <w:szCs w:val="22"/>
          <w:lang w:val="es-ES"/>
        </w:rPr>
        <w:t xml:space="preserve"> en su diccionario</w:t>
      </w:r>
      <w:r w:rsidRPr="000D5434">
        <w:rPr>
          <w:szCs w:val="22"/>
          <w:lang w:val="es-ES"/>
        </w:rPr>
        <w:t xml:space="preserve"> que “limitación” es la “acción y efecto de limitar o limitarse”:</w:t>
      </w:r>
      <w:r w:rsidR="00B834A4" w:rsidRPr="000D5434">
        <w:rPr>
          <w:szCs w:val="22"/>
          <w:lang w:val="es-ES"/>
        </w:rPr>
        <w:t xml:space="preserve"> </w:t>
      </w:r>
      <w:r w:rsidRPr="000D5434">
        <w:rPr>
          <w:szCs w:val="22"/>
          <w:lang w:val="es-ES"/>
        </w:rPr>
        <w:t>“límite” es “fin, término” y “limitar” significa “poner límites a algo”, “acortar, ceñir” y, también, “fijar la extensión que pueden tener la autoridad o los derechos y facultades de alguien”.</w:t>
      </w:r>
      <w:r w:rsidR="00B834A4" w:rsidRPr="000D5434">
        <w:rPr>
          <w:szCs w:val="22"/>
          <w:lang w:val="es-ES"/>
        </w:rPr>
        <w:t xml:space="preserve"> </w:t>
      </w:r>
      <w:r w:rsidRPr="000D5434">
        <w:rPr>
          <w:szCs w:val="22"/>
          <w:lang w:val="es-ES"/>
        </w:rPr>
        <w:t>En efecto, “se puede entender la palabra “límites” ya sea como “fronteras” o “restricciones” o como “excepciones””.</w:t>
      </w:r>
      <w:r w:rsidRPr="000D5434">
        <w:rPr>
          <w:rStyle w:val="FootnoteReference"/>
          <w:szCs w:val="22"/>
          <w:lang w:val="es-ES"/>
        </w:rPr>
        <w:footnoteReference w:id="94"/>
      </w:r>
      <w:r w:rsidR="00B834A4" w:rsidRPr="000D5434">
        <w:rPr>
          <w:szCs w:val="22"/>
          <w:lang w:val="es-ES"/>
        </w:rPr>
        <w:t xml:space="preserve"> </w:t>
      </w:r>
      <w:r w:rsidRPr="000D5434">
        <w:rPr>
          <w:szCs w:val="22"/>
          <w:lang w:val="es-ES"/>
        </w:rPr>
        <w:t xml:space="preserve">“Con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w:t>
      </w:r>
      <w:r w:rsidRPr="000D5434">
        <w:rPr>
          <w:szCs w:val="22"/>
          <w:lang w:val="es-ES"/>
        </w:rPr>
        <w:lastRenderedPageBreak/>
        <w:t>utilizadas sin autorización del titular de los derechos y contra el pago o no de una remuneración.</w:t>
      </w:r>
      <w:r w:rsidRPr="000D5434">
        <w:rPr>
          <w:rStyle w:val="FootnoteReference"/>
          <w:szCs w:val="22"/>
          <w:lang w:val="es-ES"/>
        </w:rPr>
        <w:footnoteReference w:id="95"/>
      </w:r>
    </w:p>
    <w:p w:rsidR="00C0409B" w:rsidRPr="000D5434" w:rsidRDefault="00C0409B" w:rsidP="00103D66">
      <w:pPr>
        <w:pStyle w:val="ONUMFS"/>
        <w:numPr>
          <w:ilvl w:val="0"/>
          <w:numId w:val="0"/>
        </w:numPr>
        <w:rPr>
          <w:b/>
          <w:szCs w:val="22"/>
          <w:lang w:val="es-ES"/>
        </w:rPr>
      </w:pPr>
      <w:r w:rsidRPr="000D5434">
        <w:rPr>
          <w:szCs w:val="22"/>
          <w:lang w:val="es-ES"/>
        </w:rPr>
        <w:t xml:space="preserve">En el </w:t>
      </w:r>
      <w:r w:rsidRPr="000D5434">
        <w:rPr>
          <w:i/>
          <w:szCs w:val="22"/>
          <w:lang w:val="es-ES"/>
        </w:rPr>
        <w:t>Convenio de Berna para la Protección de las Obras Literarias y Artísticas</w:t>
      </w:r>
      <w:r w:rsidRPr="000D5434">
        <w:rPr>
          <w:szCs w:val="22"/>
          <w:lang w:val="es-ES"/>
        </w:rPr>
        <w:t xml:space="preserve"> (1971) se fijan los supuestos en que quedan limitados los derechos del autor y, en consecuencia, es posible hacer uso libremente de la obra.</w:t>
      </w:r>
      <w:r w:rsidRPr="000D5434">
        <w:rPr>
          <w:rStyle w:val="FootnoteReference"/>
          <w:szCs w:val="22"/>
          <w:lang w:val="es-ES"/>
        </w:rPr>
        <w:footnoteReference w:id="96"/>
      </w:r>
      <w:r w:rsidR="00B834A4" w:rsidRPr="000D5434">
        <w:rPr>
          <w:szCs w:val="22"/>
          <w:lang w:val="es-ES"/>
        </w:rPr>
        <w:t xml:space="preserve"> </w:t>
      </w:r>
      <w:r w:rsidRPr="000D5434">
        <w:rPr>
          <w:szCs w:val="22"/>
          <w:lang w:val="es-ES"/>
        </w:rPr>
        <w:t>La prueba del criterio triple establece las condiciones que ponen límites a los derechos del autor.</w:t>
      </w:r>
      <w:r w:rsidRPr="000D5434">
        <w:rPr>
          <w:rStyle w:val="FootnoteReference"/>
          <w:szCs w:val="22"/>
          <w:lang w:val="es-ES"/>
        </w:rPr>
        <w:footnoteReference w:id="97"/>
      </w:r>
      <w:r w:rsidR="00B834A4" w:rsidRPr="000D5434">
        <w:rPr>
          <w:szCs w:val="22"/>
          <w:lang w:val="es-ES"/>
        </w:rPr>
        <w:t xml:space="preserve"> </w:t>
      </w:r>
      <w:r w:rsidRPr="000D5434">
        <w:rPr>
          <w:szCs w:val="22"/>
          <w:lang w:val="es-ES"/>
        </w:rPr>
        <w:t xml:space="preserve">“Fue ampliada en virtud del Artículo 13 del </w:t>
      </w:r>
      <w:r w:rsidRPr="000D5434">
        <w:rPr>
          <w:i/>
          <w:szCs w:val="22"/>
          <w:lang w:val="es-ES"/>
        </w:rPr>
        <w:t>Acuerdo sobre los ADPIC</w:t>
      </w:r>
      <w:r w:rsidRPr="000D5434">
        <w:rPr>
          <w:szCs w:val="22"/>
          <w:lang w:val="es-ES"/>
        </w:rPr>
        <w:t xml:space="preserve">, </w:t>
      </w:r>
      <w:r w:rsidR="0059568D" w:rsidRPr="000D5434">
        <w:rPr>
          <w:szCs w:val="22"/>
          <w:lang w:val="es-ES"/>
        </w:rPr>
        <w:t xml:space="preserve">de la OMC, </w:t>
      </w:r>
      <w:r w:rsidRPr="000D5434">
        <w:rPr>
          <w:szCs w:val="22"/>
          <w:lang w:val="es-ES"/>
        </w:rPr>
        <w:t xml:space="preserve">y posteriormente también mediante el Artículo 10 del </w:t>
      </w:r>
      <w:r w:rsidRPr="000D5434">
        <w:rPr>
          <w:i/>
          <w:szCs w:val="22"/>
          <w:lang w:val="es-ES"/>
        </w:rPr>
        <w:t>WCT</w:t>
      </w:r>
      <w:r w:rsidRPr="000D5434">
        <w:rPr>
          <w:szCs w:val="22"/>
          <w:lang w:val="es-ES"/>
        </w:rPr>
        <w:t>, como prueba para las excepciones y limitaciones a cualquier derecho patrimonial previsto en virtud del derecho de autor.</w:t>
      </w:r>
      <w:r w:rsidR="00B834A4" w:rsidRPr="000D5434">
        <w:rPr>
          <w:szCs w:val="22"/>
          <w:lang w:val="es-ES"/>
        </w:rPr>
        <w:t xml:space="preserve"> </w:t>
      </w:r>
      <w:r w:rsidRPr="000D5434">
        <w:rPr>
          <w:szCs w:val="22"/>
          <w:lang w:val="es-ES"/>
        </w:rPr>
        <w:t xml:space="preserve">Por último, el Artículo 16 del </w:t>
      </w:r>
      <w:r w:rsidRPr="000D5434">
        <w:rPr>
          <w:i/>
          <w:szCs w:val="22"/>
          <w:lang w:val="es-ES"/>
        </w:rPr>
        <w:t>WPPT</w:t>
      </w:r>
      <w:r w:rsidRPr="000D5434">
        <w:rPr>
          <w:szCs w:val="22"/>
          <w:lang w:val="es-ES"/>
        </w:rPr>
        <w:t xml:space="preserve"> la ha ampliado a los derechos de los artistas intérpretes o ejecutantes y los productores de fonogramas recogidos en dicho Tratado”.</w:t>
      </w:r>
      <w:r w:rsidRPr="000D5434">
        <w:rPr>
          <w:rStyle w:val="FootnoteReference"/>
          <w:szCs w:val="22"/>
          <w:lang w:val="es-ES"/>
        </w:rPr>
        <w:footnoteReference w:id="98"/>
      </w:r>
    </w:p>
    <w:p w:rsidR="00C0409B" w:rsidRPr="000D5434" w:rsidRDefault="00C0409B" w:rsidP="00A758A0">
      <w:pPr>
        <w:pStyle w:val="Heading1"/>
        <w:rPr>
          <w:b w:val="0"/>
          <w:szCs w:val="22"/>
          <w:lang w:val="es-ES"/>
        </w:rPr>
      </w:pPr>
      <w:bookmarkStart w:id="75" w:name="_Toc535585006"/>
      <w:r w:rsidRPr="000D5434">
        <w:rPr>
          <w:szCs w:val="22"/>
          <w:lang w:val="es-ES"/>
        </w:rPr>
        <w:t>Acuerdos de transferencia de material</w:t>
      </w:r>
      <w:bookmarkEnd w:id="75"/>
    </w:p>
    <w:p w:rsidR="00C0409B" w:rsidRPr="000D5434" w:rsidRDefault="00C0409B" w:rsidP="00B16297">
      <w:pPr>
        <w:pStyle w:val="ONUMFS"/>
        <w:numPr>
          <w:ilvl w:val="0"/>
          <w:numId w:val="0"/>
        </w:numPr>
        <w:rPr>
          <w:b/>
          <w:szCs w:val="22"/>
          <w:lang w:val="es-ES"/>
        </w:rPr>
      </w:pPr>
      <w:r w:rsidRPr="000D5434">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0D5434">
        <w:rPr>
          <w:i/>
          <w:iCs/>
          <w:szCs w:val="22"/>
          <w:lang w:val="es-ES"/>
        </w:rPr>
        <w:t>in situ.</w:t>
      </w:r>
      <w:r w:rsidRPr="000D5434">
        <w:rPr>
          <w:rStyle w:val="FootnoteReference"/>
          <w:iCs/>
          <w:szCs w:val="22"/>
          <w:lang w:val="es-ES"/>
        </w:rPr>
        <w:footnoteReference w:id="99"/>
      </w:r>
      <w:r w:rsidR="00B834A4" w:rsidRPr="000D5434">
        <w:rPr>
          <w:szCs w:val="22"/>
          <w:lang w:val="es-ES"/>
        </w:rPr>
        <w:t xml:space="preserve"> </w:t>
      </w:r>
      <w:r w:rsidRPr="000D5434">
        <w:rPr>
          <w:szCs w:val="22"/>
          <w:lang w:val="es-ES"/>
        </w:rPr>
        <w:t>La OMPI ha creado una base de datos de los acuerdos de acceso y participación en los beneficios relacionados con la biodiversidad que contiene cláusulas contractuales relacionadas con la transferencia y utilización de recursos genéticos.</w:t>
      </w:r>
      <w:r w:rsidRPr="000D5434">
        <w:rPr>
          <w:rStyle w:val="FootnoteReference"/>
          <w:szCs w:val="22"/>
          <w:lang w:val="es-ES"/>
        </w:rPr>
        <w:footnoteReference w:id="100"/>
      </w:r>
      <w:r w:rsidR="00B834A4" w:rsidRPr="000D5434">
        <w:rPr>
          <w:szCs w:val="22"/>
          <w:vertAlign w:val="superscript"/>
          <w:lang w:val="es-ES"/>
        </w:rPr>
        <w:t xml:space="preserve"> </w:t>
      </w:r>
      <w:r w:rsidRPr="000D5434">
        <w:rPr>
          <w:szCs w:val="22"/>
          <w:lang w:val="es-ES"/>
        </w:rPr>
        <w:t>En 2006, la FAO constituyó y aprobó el Acuerdo de Transferencia de Material Normalizado, relativo a la aplicación del Tratado Internacional sobre los Recursos Fitogenéticos para la Alimentación y la Agricultura.</w:t>
      </w:r>
      <w:r w:rsidRPr="000D5434">
        <w:rPr>
          <w:rStyle w:val="FootnoteReference"/>
          <w:szCs w:val="22"/>
          <w:lang w:val="es-ES"/>
        </w:rPr>
        <w:footnoteReference w:id="101"/>
      </w:r>
      <w:r w:rsidR="00B834A4" w:rsidRPr="000D5434">
        <w:rPr>
          <w:szCs w:val="22"/>
          <w:lang w:val="es-ES"/>
        </w:rPr>
        <w:t xml:space="preserve"> </w:t>
      </w:r>
      <w:r w:rsidRPr="000D5434">
        <w:rPr>
          <w:szCs w:val="22"/>
          <w:lang w:val="es-ES"/>
        </w:rPr>
        <w:t>En el Apéndice I de las Directrices de Bonn se hacen sugerencias con respecto a los acuerdos de transferencia de materiales.</w:t>
      </w:r>
    </w:p>
    <w:p w:rsidR="00C0409B" w:rsidRPr="000D5434" w:rsidRDefault="00C0409B" w:rsidP="00A758A0">
      <w:pPr>
        <w:pStyle w:val="Heading1"/>
        <w:rPr>
          <w:b w:val="0"/>
          <w:szCs w:val="22"/>
          <w:lang w:val="es-ES"/>
        </w:rPr>
      </w:pPr>
      <w:bookmarkStart w:id="76" w:name="_Toc535585007"/>
      <w:r w:rsidRPr="000D5434">
        <w:rPr>
          <w:szCs w:val="22"/>
          <w:lang w:val="es-ES"/>
        </w:rPr>
        <w:t>Documentación mínima del PCT</w:t>
      </w:r>
      <w:bookmarkEnd w:id="76"/>
    </w:p>
    <w:p w:rsidR="00C0409B" w:rsidRPr="000D5434" w:rsidRDefault="00C0409B" w:rsidP="00103D66">
      <w:pPr>
        <w:pStyle w:val="ONUMFS"/>
        <w:numPr>
          <w:ilvl w:val="0"/>
          <w:numId w:val="0"/>
        </w:numPr>
        <w:rPr>
          <w:szCs w:val="22"/>
          <w:lang w:val="es-ES"/>
        </w:rPr>
      </w:pPr>
      <w:r w:rsidRPr="000D5434">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0D5434">
        <w:rPr>
          <w:i/>
          <w:iCs/>
          <w:szCs w:val="22"/>
          <w:lang w:val="es-ES"/>
        </w:rPr>
        <w:t>.</w:t>
      </w:r>
      <w:r w:rsidR="00B834A4" w:rsidRPr="000D5434">
        <w:rPr>
          <w:szCs w:val="22"/>
          <w:lang w:val="es-ES"/>
        </w:rPr>
        <w:t xml:space="preserve"> </w:t>
      </w:r>
      <w:r w:rsidRPr="000D5434">
        <w:rPr>
          <w:szCs w:val="22"/>
          <w:lang w:val="es-ES"/>
        </w:rPr>
        <w:t>Esto se aplica, asimismo, a la Administración encargada del examen preliminar internacional con respecto de su labor de examen.</w:t>
      </w:r>
      <w:r w:rsidR="00B834A4" w:rsidRPr="000D5434">
        <w:rPr>
          <w:szCs w:val="22"/>
          <w:lang w:val="es-ES"/>
        </w:rPr>
        <w:t xml:space="preserve"> </w:t>
      </w:r>
      <w:r w:rsidRPr="000D5434">
        <w:rPr>
          <w:szCs w:val="22"/>
          <w:lang w:val="es-ES"/>
        </w:rPr>
        <w:t>La documentación comprende algunos documentos publicados relativos a patentes y de otra índole contenidos en una lista publicada por la Oficina Internacional.</w:t>
      </w:r>
      <w:r w:rsidR="00B834A4" w:rsidRPr="000D5434">
        <w:rPr>
          <w:szCs w:val="22"/>
          <w:lang w:val="es-ES"/>
        </w:rPr>
        <w:t xml:space="preserve"> </w:t>
      </w:r>
      <w:r w:rsidRPr="000D5434">
        <w:rPr>
          <w:szCs w:val="22"/>
          <w:lang w:val="es-ES"/>
        </w:rPr>
        <w:t>La documentación mínima se establece en la regla 34 del Reglamento del PCT”.</w:t>
      </w:r>
      <w:r w:rsidRPr="000D5434">
        <w:rPr>
          <w:rStyle w:val="FootnoteReference"/>
          <w:szCs w:val="22"/>
          <w:lang w:val="es-ES"/>
        </w:rPr>
        <w:footnoteReference w:id="102"/>
      </w:r>
    </w:p>
    <w:p w:rsidR="00C0409B" w:rsidRPr="000D5434" w:rsidRDefault="00C0409B" w:rsidP="00103D66">
      <w:pPr>
        <w:pStyle w:val="ONUMFS"/>
        <w:numPr>
          <w:ilvl w:val="0"/>
          <w:numId w:val="0"/>
        </w:numPr>
        <w:rPr>
          <w:szCs w:val="22"/>
          <w:lang w:val="es-ES"/>
        </w:rPr>
      </w:pPr>
      <w:r w:rsidRPr="000D5434">
        <w:rPr>
          <w:szCs w:val="22"/>
          <w:lang w:val="es-ES"/>
        </w:rPr>
        <w:t>En las Directrices de búsqueda internacional del PCT, la documentación internacional mínima de búsqueda se define como “una</w:t>
      </w:r>
      <w:r w:rsidRPr="000D5434">
        <w:rPr>
          <w:i/>
          <w:iCs/>
          <w:szCs w:val="22"/>
          <w:lang w:val="es-ES"/>
        </w:rPr>
        <w:t xml:space="preserve"> </w:t>
      </w:r>
      <w:r w:rsidRPr="000D5434">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0D5434">
        <w:rPr>
          <w:rStyle w:val="FootnoteReference"/>
          <w:szCs w:val="22"/>
          <w:lang w:val="es-ES"/>
        </w:rPr>
        <w:footnoteReference w:id="103"/>
      </w:r>
    </w:p>
    <w:p w:rsidR="00C0409B" w:rsidRPr="000D5434" w:rsidRDefault="00C0409B" w:rsidP="00103D66">
      <w:pPr>
        <w:pStyle w:val="ONUMFS"/>
        <w:numPr>
          <w:ilvl w:val="0"/>
          <w:numId w:val="0"/>
        </w:numPr>
        <w:rPr>
          <w:b/>
          <w:szCs w:val="22"/>
          <w:lang w:val="es-ES"/>
        </w:rPr>
      </w:pPr>
      <w:r w:rsidRPr="000D5434">
        <w:rPr>
          <w:szCs w:val="22"/>
          <w:lang w:val="es-ES"/>
        </w:rPr>
        <w:lastRenderedPageBreak/>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0D5434">
        <w:rPr>
          <w:rStyle w:val="FootnoteReference"/>
          <w:szCs w:val="22"/>
          <w:lang w:val="es-ES"/>
        </w:rPr>
        <w:footnoteReference w:id="104"/>
      </w:r>
      <w:r w:rsidR="00B834A4" w:rsidRPr="000D5434">
        <w:rPr>
          <w:szCs w:val="22"/>
          <w:lang w:val="es-ES"/>
        </w:rPr>
        <w:t xml:space="preserve"> </w:t>
      </w:r>
      <w:r w:rsidRPr="000D5434">
        <w:rPr>
          <w:szCs w:val="22"/>
          <w:lang w:val="es-ES"/>
        </w:rPr>
        <w:t xml:space="preserve">Por ejemplo, el </w:t>
      </w:r>
      <w:r w:rsidRPr="000D5434">
        <w:rPr>
          <w:i/>
          <w:iCs/>
          <w:szCs w:val="22"/>
          <w:lang w:val="es-ES"/>
        </w:rPr>
        <w:t xml:space="preserve">Indian Journal of Traditional Knowledge </w:t>
      </w:r>
      <w:r w:rsidRPr="000D5434">
        <w:rPr>
          <w:szCs w:val="22"/>
          <w:lang w:val="es-ES"/>
        </w:rPr>
        <w:t xml:space="preserve">y el </w:t>
      </w:r>
      <w:r w:rsidRPr="000D5434">
        <w:rPr>
          <w:i/>
          <w:iCs/>
          <w:szCs w:val="22"/>
          <w:lang w:val="es-ES"/>
        </w:rPr>
        <w:t>Korean Journal of Traditional Knowledge</w:t>
      </w:r>
      <w:r w:rsidRPr="000D5434">
        <w:rPr>
          <w:szCs w:val="22"/>
          <w:lang w:val="es-ES"/>
        </w:rPr>
        <w:t xml:space="preserve"> se consideran literatura distinta de la de patentes en “Documentación Mínima del PCT – Lista de publicaciones periódicas:</w:t>
      </w:r>
      <w:r w:rsidR="00B834A4" w:rsidRPr="000D5434">
        <w:rPr>
          <w:szCs w:val="22"/>
          <w:lang w:val="es-ES"/>
        </w:rPr>
        <w:t xml:space="preserve"> </w:t>
      </w:r>
      <w:r w:rsidRPr="000D5434">
        <w:rPr>
          <w:szCs w:val="22"/>
          <w:lang w:val="es-ES"/>
        </w:rPr>
        <w:t>Publicaciones periódicas que deben emplearse en la búsqueda y el examen”.</w:t>
      </w:r>
    </w:p>
    <w:p w:rsidR="00C0409B" w:rsidRPr="000D5434" w:rsidRDefault="00C0409B" w:rsidP="00A758A0">
      <w:pPr>
        <w:pStyle w:val="Heading1"/>
        <w:rPr>
          <w:b w:val="0"/>
          <w:szCs w:val="22"/>
          <w:lang w:val="es-ES"/>
        </w:rPr>
      </w:pPr>
      <w:bookmarkStart w:id="77" w:name="_Toc535585008"/>
      <w:r w:rsidRPr="000D5434">
        <w:rPr>
          <w:szCs w:val="22"/>
          <w:lang w:val="es-ES"/>
        </w:rPr>
        <w:t>Minoría</w:t>
      </w:r>
      <w:bookmarkEnd w:id="77"/>
    </w:p>
    <w:p w:rsidR="00C0409B" w:rsidRPr="000D5434" w:rsidRDefault="00C0409B" w:rsidP="00103D66">
      <w:pPr>
        <w:pStyle w:val="ONUMFS"/>
        <w:numPr>
          <w:ilvl w:val="0"/>
          <w:numId w:val="0"/>
        </w:numPr>
        <w:rPr>
          <w:szCs w:val="22"/>
          <w:lang w:val="es-ES"/>
        </w:rPr>
      </w:pPr>
      <w:r w:rsidRPr="000D5434">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r w:rsidR="00B834A4" w:rsidRPr="000D5434">
        <w:rPr>
          <w:szCs w:val="22"/>
          <w:lang w:val="es-ES"/>
        </w:rPr>
        <w:t xml:space="preserve"> </w:t>
      </w:r>
      <w:r w:rsidRPr="000D5434">
        <w:rPr>
          <w:szCs w:val="22"/>
          <w:lang w:val="es-ES"/>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0D5434">
        <w:rPr>
          <w:rStyle w:val="FootnoteReference"/>
          <w:szCs w:val="22"/>
          <w:lang w:val="es-ES"/>
        </w:rPr>
        <w:footnoteReference w:id="105"/>
      </w:r>
    </w:p>
    <w:p w:rsidR="00C0409B" w:rsidRPr="000D5434" w:rsidRDefault="00C0409B" w:rsidP="00B16297">
      <w:pPr>
        <w:pStyle w:val="ONUMFS"/>
        <w:numPr>
          <w:ilvl w:val="0"/>
          <w:numId w:val="0"/>
        </w:numPr>
        <w:rPr>
          <w:szCs w:val="22"/>
          <w:lang w:val="es-ES"/>
        </w:rPr>
      </w:pPr>
      <w:r w:rsidRPr="000D5434">
        <w:rPr>
          <w:szCs w:val="22"/>
          <w:lang w:val="es-ES"/>
        </w:rPr>
        <w:t xml:space="preserve">La </w:t>
      </w:r>
      <w:r w:rsidRPr="000D5434">
        <w:rPr>
          <w:i/>
          <w:szCs w:val="22"/>
          <w:lang w:val="es-ES"/>
        </w:rPr>
        <w:t>Declaración sobre los derechos de las personas pertenecientes a minorías nacionales o étnicas, religiosas y lingüísticas</w:t>
      </w:r>
      <w:r w:rsidRPr="000D5434">
        <w:rPr>
          <w:szCs w:val="22"/>
          <w:lang w:val="es-ES"/>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0D5434">
        <w:rPr>
          <w:rStyle w:val="FootnoteReference"/>
          <w:szCs w:val="22"/>
          <w:lang w:val="es-ES"/>
        </w:rPr>
        <w:footnoteReference w:id="106"/>
      </w:r>
      <w:r w:rsidR="00B834A4" w:rsidRPr="000D5434">
        <w:rPr>
          <w:szCs w:val="22"/>
          <w:lang w:val="es-ES"/>
        </w:rPr>
        <w:t xml:space="preserve"> </w:t>
      </w:r>
      <w:r w:rsidRPr="000D5434">
        <w:rPr>
          <w:szCs w:val="22"/>
          <w:lang w:val="es-ES"/>
        </w:rPr>
        <w:t>“Los Estados protegerán la existencia y la identidad nacional o étnica, cultural, religiosa y lingüística de las minorías dentro de sus territorios respectivos y fomentarán las condiciones para la promoción de esa identidad”.</w:t>
      </w:r>
      <w:r w:rsidRPr="000D5434">
        <w:rPr>
          <w:rStyle w:val="FootnoteReference"/>
          <w:szCs w:val="22"/>
          <w:lang w:val="es-ES"/>
        </w:rPr>
        <w:footnoteReference w:id="107"/>
      </w:r>
    </w:p>
    <w:p w:rsidR="00C0409B" w:rsidRPr="000D5434" w:rsidRDefault="00C0409B" w:rsidP="00103D66">
      <w:pPr>
        <w:pStyle w:val="ONUMFS"/>
        <w:numPr>
          <w:ilvl w:val="0"/>
          <w:numId w:val="0"/>
        </w:numPr>
        <w:rPr>
          <w:b/>
          <w:szCs w:val="22"/>
          <w:lang w:val="es-ES"/>
        </w:rPr>
      </w:pPr>
      <w:r w:rsidRPr="000D5434">
        <w:rPr>
          <w:szCs w:val="22"/>
          <w:lang w:val="es-ES"/>
        </w:rPr>
        <w:t xml:space="preserve">El </w:t>
      </w:r>
      <w:r w:rsidRPr="000D5434">
        <w:rPr>
          <w:i/>
          <w:szCs w:val="22"/>
          <w:lang w:val="es-ES"/>
        </w:rPr>
        <w:t>Pacto Internacional de Derechos Civiles y Políticos</w:t>
      </w:r>
      <w:r w:rsidRPr="000D5434">
        <w:rPr>
          <w:szCs w:val="22"/>
          <w:lang w:val="es-ES"/>
        </w:rPr>
        <w:t xml:space="preserve"> </w:t>
      </w:r>
      <w:r w:rsidR="0059568D" w:rsidRPr="000D5434">
        <w:rPr>
          <w:szCs w:val="22"/>
          <w:lang w:val="es-ES"/>
        </w:rPr>
        <w:t xml:space="preserve">(1966) </w:t>
      </w:r>
      <w:r w:rsidRPr="000D5434">
        <w:rPr>
          <w:szCs w:val="22"/>
          <w:lang w:val="es-ES"/>
        </w:rPr>
        <w:t>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59568D" w:rsidRPr="000D5434">
        <w:rPr>
          <w:rStyle w:val="FootnoteReference"/>
          <w:szCs w:val="22"/>
          <w:lang w:val="es-ES"/>
        </w:rPr>
        <w:t xml:space="preserve"> </w:t>
      </w:r>
      <w:r w:rsidR="0059568D" w:rsidRPr="000D5434">
        <w:rPr>
          <w:rStyle w:val="FootnoteReference"/>
          <w:szCs w:val="22"/>
          <w:lang w:val="es-ES"/>
        </w:rPr>
        <w:footnoteReference w:id="108"/>
      </w:r>
    </w:p>
    <w:p w:rsidR="00C0409B" w:rsidRPr="000D5434" w:rsidRDefault="00C0409B" w:rsidP="00A758A0">
      <w:pPr>
        <w:pStyle w:val="Heading1"/>
        <w:rPr>
          <w:b w:val="0"/>
          <w:szCs w:val="22"/>
          <w:lang w:val="es-ES"/>
        </w:rPr>
      </w:pPr>
      <w:bookmarkStart w:id="78" w:name="_Toc535585009"/>
      <w:r w:rsidRPr="000D5434">
        <w:rPr>
          <w:szCs w:val="22"/>
          <w:lang w:val="es-ES"/>
        </w:rPr>
        <w:t>Apropiación indebida</w:t>
      </w:r>
      <w:bookmarkEnd w:id="78"/>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la apropiación indebida como “incorporación, por acto espontáneo, de una cosa a nuestro patrimonio, cuando se carece de derecho para ello”.</w:t>
      </w:r>
      <w:r w:rsidR="00B834A4" w:rsidRPr="000D5434">
        <w:rPr>
          <w:szCs w:val="22"/>
          <w:lang w:val="es-ES"/>
        </w:rPr>
        <w:t xml:space="preserve"> </w:t>
      </w:r>
      <w:r w:rsidRPr="000D5434">
        <w:rPr>
          <w:szCs w:val="22"/>
          <w:lang w:val="es-ES"/>
        </w:rPr>
        <w:t>En ese sentido, constituye, por consiguiente, un atentado al derecho de propiedad.</w:t>
      </w:r>
      <w:r w:rsidR="00B834A4" w:rsidRPr="000D5434">
        <w:rPr>
          <w:szCs w:val="22"/>
          <w:lang w:val="es-ES"/>
        </w:rPr>
        <w:t xml:space="preserve"> </w:t>
      </w:r>
      <w:r w:rsidRPr="000D5434">
        <w:rPr>
          <w:szCs w:val="22"/>
          <w:lang w:val="es-ES"/>
        </w:rPr>
        <w:t xml:space="preserve">En lo que respecta a la propiedad intelectual, en el diccionario jurídico de Black se define “apropiación indebida” como ilícito civil en el </w:t>
      </w:r>
      <w:r w:rsidRPr="000D5434">
        <w:rPr>
          <w:i/>
          <w:iCs/>
          <w:szCs w:val="22"/>
          <w:lang w:val="es-ES"/>
        </w:rPr>
        <w:t>common law</w:t>
      </w:r>
      <w:r w:rsidRPr="000D5434">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w:t>
      </w:r>
      <w:r w:rsidR="00B834A4" w:rsidRPr="000D5434">
        <w:rPr>
          <w:szCs w:val="22"/>
          <w:lang w:val="es-ES"/>
        </w:rPr>
        <w:t xml:space="preserve"> </w:t>
      </w:r>
      <w:r w:rsidRPr="000D5434">
        <w:rPr>
          <w:szCs w:val="22"/>
          <w:lang w:val="es-ES"/>
        </w:rPr>
        <w:t xml:space="preserve">[…] Los elementos para determinar si ha habido apropiación indebida </w:t>
      </w:r>
      <w:r w:rsidRPr="000D5434">
        <w:rPr>
          <w:szCs w:val="22"/>
          <w:lang w:val="es-ES"/>
        </w:rPr>
        <w:lastRenderedPageBreak/>
        <w:t>son:</w:t>
      </w:r>
      <w:r w:rsidR="00B834A4" w:rsidRPr="000D5434">
        <w:rPr>
          <w:szCs w:val="22"/>
          <w:lang w:val="es-ES"/>
        </w:rPr>
        <w:t xml:space="preserve"> </w:t>
      </w:r>
      <w:r w:rsidRPr="000D5434">
        <w:rPr>
          <w:szCs w:val="22"/>
          <w:lang w:val="es-ES"/>
        </w:rPr>
        <w:t>1) el demandante debe haber invertido tiempo, dinero y esfuerzos para obtener la información;</w:t>
      </w:r>
      <w:r w:rsidR="00B834A4" w:rsidRPr="000D5434">
        <w:rPr>
          <w:szCs w:val="22"/>
          <w:lang w:val="es-ES"/>
        </w:rPr>
        <w:t xml:space="preserve"> </w:t>
      </w:r>
      <w:r w:rsidRPr="000D5434">
        <w:rPr>
          <w:szCs w:val="22"/>
          <w:lang w:val="es-ES"/>
        </w:rPr>
        <w:t>2) el demandado debe haberse procurado la información sin haber realizado una inversión similar;</w:t>
      </w:r>
      <w:r w:rsidR="00B834A4" w:rsidRPr="000D5434">
        <w:rPr>
          <w:szCs w:val="22"/>
          <w:lang w:val="es-ES"/>
        </w:rPr>
        <w:t xml:space="preserve"> </w:t>
      </w:r>
      <w:r w:rsidRPr="000D5434">
        <w:rPr>
          <w:szCs w:val="22"/>
          <w:lang w:val="es-ES"/>
        </w:rPr>
        <w:t>y 3) el demandante tiene que haber sufrido un perjuicio de competencia en razón de la actuación del demandado”.</w:t>
      </w:r>
    </w:p>
    <w:p w:rsidR="00C0409B" w:rsidRPr="000D5434" w:rsidRDefault="00C0409B" w:rsidP="00103D66">
      <w:pPr>
        <w:pStyle w:val="ONUMFS"/>
        <w:numPr>
          <w:ilvl w:val="0"/>
          <w:numId w:val="0"/>
        </w:numPr>
        <w:rPr>
          <w:szCs w:val="22"/>
          <w:lang w:val="es-ES"/>
        </w:rPr>
      </w:pPr>
      <w:r w:rsidRPr="000D5434">
        <w:rPr>
          <w:szCs w:val="22"/>
          <w:lang w:val="es-ES"/>
        </w:rPr>
        <w:t xml:space="preserve">En el sistema del </w:t>
      </w:r>
      <w:r w:rsidRPr="000D5434">
        <w:rPr>
          <w:i/>
          <w:iCs/>
          <w:szCs w:val="22"/>
          <w:lang w:val="es-ES"/>
        </w:rPr>
        <w:t>common law</w:t>
      </w:r>
      <w:r w:rsidRPr="000D5434">
        <w:rPr>
          <w:szCs w:val="22"/>
          <w:lang w:val="es-ES"/>
        </w:rPr>
        <w:t>, el delito civil de apropiación indebida se contempla en la legislación sobre competencia desleal.</w:t>
      </w:r>
      <w:r w:rsidR="00B834A4" w:rsidRPr="000D5434">
        <w:rPr>
          <w:szCs w:val="22"/>
          <w:lang w:val="es-ES"/>
        </w:rPr>
        <w:t xml:space="preserve"> </w:t>
      </w:r>
      <w:r w:rsidRPr="000D5434">
        <w:rPr>
          <w:szCs w:val="22"/>
          <w:lang w:val="es-ES"/>
        </w:rPr>
        <w:t>Por consiguiente, la apropiación indebida entraña la utilización ilegal o ilícita de la propiedad de terceros y suele ser el fundamento para incoar un juicio en los casos en los que no ha habido infracción de derechos de propiedad propiamente dichos.</w:t>
      </w:r>
      <w:r w:rsidR="00B834A4" w:rsidRPr="000D5434">
        <w:rPr>
          <w:szCs w:val="22"/>
          <w:lang w:val="es-ES"/>
        </w:rPr>
        <w:t xml:space="preserve"> </w:t>
      </w:r>
      <w:r w:rsidRPr="000D5434">
        <w:rPr>
          <w:szCs w:val="22"/>
          <w:lang w:val="es-ES"/>
        </w:rPr>
        <w:t>La apropiación indebida puede significar el hecho de contraer un préstamo de forma ilícita o de apropiarse de forma fraudulenta de fondos o de propiedades encomendados a una persona que sean propiedad de terceros.</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3 del proyecto de ley </w:t>
      </w:r>
      <w:r w:rsidRPr="000D5434">
        <w:rPr>
          <w:i/>
          <w:szCs w:val="22"/>
          <w:lang w:val="es-ES"/>
        </w:rPr>
        <w:t>Marco jurídico de protección de los conocimientos tradicionales en Sri Lanka</w:t>
      </w:r>
      <w:r w:rsidRPr="000D5434">
        <w:rPr>
          <w:szCs w:val="22"/>
          <w:lang w:val="es-ES"/>
        </w:rPr>
        <w:t>, de 2009, se define la apropiación indebida en tanto que: ‘i) adquisición, apropiación o utilización de conocimientos tradicionales en contravención de lo dispuesto en la presente Ley;</w:t>
      </w:r>
      <w:r w:rsidR="00B834A4" w:rsidRPr="000D5434">
        <w:rPr>
          <w:szCs w:val="22"/>
          <w:lang w:val="es-ES"/>
        </w:rPr>
        <w:t xml:space="preserve"> </w:t>
      </w:r>
      <w:r w:rsidRPr="000D5434">
        <w:rPr>
          <w:szCs w:val="22"/>
          <w:lang w:val="es-ES"/>
        </w:rPr>
        <w:t>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w:t>
      </w:r>
      <w:r w:rsidR="00B834A4" w:rsidRPr="000D5434">
        <w:rPr>
          <w:szCs w:val="22"/>
          <w:lang w:val="es-ES"/>
        </w:rPr>
        <w:t xml:space="preserve"> </w:t>
      </w:r>
      <w:r w:rsidRPr="000D5434">
        <w:rPr>
          <w:szCs w:val="22"/>
          <w:lang w:val="es-ES"/>
        </w:rPr>
        <w:t>y iii) toda actividad comercial contraria a las prácticas leales que dé lugar a beneficios ilegítimos e injustos a partir de conocimientos tradicionales”.</w:t>
      </w:r>
      <w:r w:rsidRPr="000D5434">
        <w:rPr>
          <w:rStyle w:val="FootnoteReference"/>
          <w:szCs w:val="22"/>
          <w:lang w:val="es-ES"/>
        </w:rPr>
        <w:footnoteReference w:id="109"/>
      </w:r>
    </w:p>
    <w:p w:rsidR="00C0409B" w:rsidRPr="000D5434" w:rsidRDefault="00C0409B" w:rsidP="00A758A0">
      <w:pPr>
        <w:pStyle w:val="Heading1"/>
        <w:rPr>
          <w:b w:val="0"/>
          <w:szCs w:val="22"/>
          <w:lang w:val="es-ES"/>
        </w:rPr>
      </w:pPr>
      <w:bookmarkStart w:id="79" w:name="_Toc535585010"/>
      <w:r w:rsidRPr="000D5434">
        <w:rPr>
          <w:szCs w:val="22"/>
          <w:lang w:val="es-ES"/>
        </w:rPr>
        <w:t>Utilización indebida</w:t>
      </w:r>
      <w:r w:rsidRPr="000D5434">
        <w:rPr>
          <w:rStyle w:val="FootnoteReference"/>
          <w:szCs w:val="22"/>
          <w:lang w:val="es-ES"/>
        </w:rPr>
        <w:footnoteReference w:id="110"/>
      </w:r>
      <w:bookmarkEnd w:id="79"/>
    </w:p>
    <w:p w:rsidR="00C0409B" w:rsidRPr="000D5434" w:rsidRDefault="00C0409B" w:rsidP="00B16297">
      <w:pPr>
        <w:pStyle w:val="ONUMFS"/>
        <w:numPr>
          <w:ilvl w:val="0"/>
          <w:numId w:val="0"/>
        </w:numPr>
        <w:rPr>
          <w:b/>
          <w:szCs w:val="22"/>
          <w:lang w:val="es-ES"/>
        </w:rPr>
      </w:pPr>
      <w:r w:rsidRPr="000D5434">
        <w:rPr>
          <w:szCs w:val="22"/>
          <w:lang w:val="es-ES"/>
        </w:rPr>
        <w:t>En el ámbito de las patentes, en el diccionario jurídico de Black se define la expresión “utilización indebida” en tanto que “</w:t>
      </w:r>
      <w:r w:rsidRPr="000D5434">
        <w:rPr>
          <w:iCs/>
          <w:szCs w:val="22"/>
          <w:lang w:val="es-ES"/>
        </w:rPr>
        <w:t>utilización de una patente para ampliar indebidamente el monopolio concedido para dar cabida a productos no patentados o para infringir leyes antimonopolio</w:t>
      </w:r>
      <w:r w:rsidRPr="000D5434">
        <w:rPr>
          <w:szCs w:val="22"/>
          <w:lang w:val="es-ES"/>
        </w:rPr>
        <w:t>”</w:t>
      </w:r>
      <w:r w:rsidRPr="000D5434">
        <w:rPr>
          <w:i/>
          <w:iCs/>
          <w:szCs w:val="22"/>
          <w:lang w:val="es-ES"/>
        </w:rPr>
        <w:t>.</w:t>
      </w:r>
      <w:r w:rsidR="00B834A4" w:rsidRPr="000D5434">
        <w:rPr>
          <w:szCs w:val="22"/>
          <w:lang w:val="es-ES"/>
        </w:rPr>
        <w:t xml:space="preserve"> </w:t>
      </w:r>
      <w:r w:rsidRPr="000D5434">
        <w:rPr>
          <w:szCs w:val="22"/>
          <w:lang w:val="es-ES"/>
        </w:rPr>
        <w:t>En los diccionarios en general se define dicha expresión como utilización errónea, incorrecta o indebida o como aplicación incorrecta.</w:t>
      </w:r>
      <w:r w:rsidR="00B834A4" w:rsidRPr="000D5434">
        <w:rPr>
          <w:szCs w:val="22"/>
          <w:lang w:val="es-ES"/>
        </w:rPr>
        <w:t xml:space="preserve"> </w:t>
      </w:r>
      <w:r w:rsidRPr="000D5434">
        <w:rPr>
          <w:szCs w:val="22"/>
          <w:lang w:val="es-ES"/>
        </w:rPr>
        <w:t>Por utilización indebida también puede entenderse una utilización indebida o excesiva o todo acto que modifique la finalidad o función inherente de algo.</w:t>
      </w:r>
    </w:p>
    <w:p w:rsidR="00C0409B" w:rsidRPr="000D5434" w:rsidRDefault="00C0409B" w:rsidP="00A758A0">
      <w:pPr>
        <w:pStyle w:val="Heading1"/>
        <w:rPr>
          <w:b w:val="0"/>
          <w:szCs w:val="22"/>
          <w:lang w:val="es-ES"/>
        </w:rPr>
      </w:pPr>
      <w:bookmarkStart w:id="80" w:name="_Toc535585011"/>
      <w:r w:rsidRPr="000D5434">
        <w:rPr>
          <w:szCs w:val="22"/>
          <w:lang w:val="es-ES"/>
        </w:rPr>
        <w:t>Modificación</w:t>
      </w:r>
      <w:bookmarkEnd w:id="80"/>
    </w:p>
    <w:p w:rsidR="00C0409B" w:rsidRPr="000D5434" w:rsidRDefault="00C0409B" w:rsidP="00103D66">
      <w:pPr>
        <w:pStyle w:val="ONUMFS"/>
        <w:numPr>
          <w:ilvl w:val="0"/>
          <w:numId w:val="0"/>
        </w:numPr>
        <w:rPr>
          <w:b/>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“modificar” significa “transformar o cambiar algo mudando alguno de sus accidentes” y es sinónimo de “alterar”, que quiere decir “cambiar la esencia o forma de algo”.</w:t>
      </w:r>
      <w:r w:rsidR="00B834A4" w:rsidRPr="000D5434">
        <w:rPr>
          <w:szCs w:val="22"/>
          <w:lang w:val="es-ES"/>
        </w:rPr>
        <w:t xml:space="preserve"> </w:t>
      </w:r>
      <w:r w:rsidRPr="000D5434">
        <w:rPr>
          <w:szCs w:val="22"/>
          <w:lang w:val="es-ES"/>
        </w:rPr>
        <w:t>En el artículo 6</w:t>
      </w:r>
      <w:r w:rsidRPr="000D5434">
        <w:rPr>
          <w:i/>
          <w:iCs/>
          <w:szCs w:val="22"/>
          <w:lang w:val="es-ES"/>
        </w:rPr>
        <w:t>bis</w:t>
      </w:r>
      <w:r w:rsidRPr="000D5434">
        <w:rPr>
          <w:szCs w:val="22"/>
          <w:lang w:val="es-ES"/>
        </w:rPr>
        <w:t xml:space="preserve"> del </w:t>
      </w:r>
      <w:r w:rsidRPr="000D5434">
        <w:rPr>
          <w:i/>
          <w:szCs w:val="22"/>
          <w:lang w:val="es-ES"/>
        </w:rPr>
        <w:t>Convenio de Berna para la Protección de las Obras Literarias y Artísticas</w:t>
      </w:r>
      <w:r w:rsidRPr="000D5434">
        <w:rPr>
          <w:szCs w:val="22"/>
          <w:lang w:val="es-ES"/>
        </w:rPr>
        <w:t xml:space="preserve"> (1971), entre otras cosas, se confiere al autor el derecho “de oponerse a cualquier deformación, mutilación u otra modificación de la misma […] que cause perjuicio a su honor o a su reputación”.</w:t>
      </w:r>
    </w:p>
    <w:p w:rsidR="00C0409B" w:rsidRPr="000D5434" w:rsidRDefault="00C0409B" w:rsidP="00A758A0">
      <w:pPr>
        <w:pStyle w:val="Heading1"/>
        <w:rPr>
          <w:b w:val="0"/>
          <w:szCs w:val="22"/>
          <w:lang w:val="es-ES"/>
        </w:rPr>
      </w:pPr>
      <w:bookmarkStart w:id="81" w:name="_Toc535585012"/>
      <w:r w:rsidRPr="000D5434">
        <w:rPr>
          <w:szCs w:val="22"/>
          <w:lang w:val="es-ES"/>
        </w:rPr>
        <w:lastRenderedPageBreak/>
        <w:t>Mutilación</w:t>
      </w:r>
      <w:bookmarkEnd w:id="81"/>
    </w:p>
    <w:p w:rsidR="00C0409B" w:rsidRPr="000D5434" w:rsidRDefault="00C0409B" w:rsidP="00103D66">
      <w:pPr>
        <w:pStyle w:val="ONUMFS"/>
        <w:numPr>
          <w:ilvl w:val="0"/>
          <w:numId w:val="0"/>
        </w:numPr>
        <w:rPr>
          <w:b/>
          <w:szCs w:val="22"/>
          <w:lang w:val="es-ES"/>
        </w:rPr>
      </w:pPr>
      <w:r w:rsidRPr="000D5434">
        <w:rPr>
          <w:szCs w:val="22"/>
          <w:lang w:val="es-ES"/>
        </w:rPr>
        <w:t>“Mutilar” es “cortar o quitar una parte o porción de algo que de suyo debiera tenerlo” (Real Academia Española), y en el campo del derecho de autor designa el acto de suprimir o modificar parte de la obra o alterar su sentido.</w:t>
      </w:r>
      <w:r w:rsidR="00B834A4" w:rsidRPr="000D5434">
        <w:rPr>
          <w:szCs w:val="22"/>
          <w:lang w:val="es-ES"/>
        </w:rPr>
        <w:t xml:space="preserve"> </w:t>
      </w:r>
      <w:r w:rsidRPr="000D5434">
        <w:rPr>
          <w:szCs w:val="22"/>
          <w:lang w:val="es-ES"/>
        </w:rPr>
        <w:t>La protección contra la mutilación de la obra constituye uno de los atributos de los derechos morales del autor (artículo 6</w:t>
      </w:r>
      <w:r w:rsidRPr="000D5434">
        <w:rPr>
          <w:i/>
          <w:iCs/>
          <w:szCs w:val="22"/>
          <w:lang w:val="es-ES"/>
        </w:rPr>
        <w:t>bis</w:t>
      </w:r>
      <w:r w:rsidRPr="000D5434">
        <w:rPr>
          <w:szCs w:val="22"/>
          <w:lang w:val="es-ES"/>
        </w:rPr>
        <w:t xml:space="preserve"> del </w:t>
      </w:r>
      <w:r w:rsidRPr="000D5434">
        <w:rPr>
          <w:i/>
          <w:szCs w:val="22"/>
          <w:lang w:val="es-ES"/>
        </w:rPr>
        <w:t>Convenio de Berna</w:t>
      </w:r>
      <w:r w:rsidRPr="000D5434">
        <w:rPr>
          <w:szCs w:val="22"/>
          <w:lang w:val="es-ES"/>
        </w:rPr>
        <w:t>).</w:t>
      </w:r>
    </w:p>
    <w:p w:rsidR="00C0409B" w:rsidRPr="000D5434" w:rsidRDefault="00C0409B" w:rsidP="00A758A0">
      <w:pPr>
        <w:pStyle w:val="Heading1"/>
        <w:rPr>
          <w:b w:val="0"/>
          <w:bCs w:val="0"/>
          <w:szCs w:val="22"/>
          <w:lang w:val="es-ES"/>
        </w:rPr>
      </w:pPr>
      <w:bookmarkStart w:id="82" w:name="_Toc535585013"/>
      <w:r w:rsidRPr="000D5434">
        <w:rPr>
          <w:szCs w:val="22"/>
          <w:lang w:val="es-ES"/>
        </w:rPr>
        <w:t>Respeto mutuo</w:t>
      </w:r>
      <w:bookmarkEnd w:id="82"/>
    </w:p>
    <w:p w:rsidR="00C0409B" w:rsidRPr="000D5434" w:rsidRDefault="00C0409B" w:rsidP="00103D66">
      <w:pPr>
        <w:pStyle w:val="ONUMFS"/>
        <w:numPr>
          <w:ilvl w:val="0"/>
          <w:numId w:val="0"/>
        </w:numPr>
        <w:rPr>
          <w:b/>
          <w:szCs w:val="22"/>
          <w:lang w:val="es-ES"/>
        </w:rPr>
      </w:pPr>
      <w:r w:rsidRPr="000D5434">
        <w:rPr>
          <w:szCs w:val="22"/>
          <w:lang w:val="es-ES"/>
        </w:rPr>
        <w:t xml:space="preserve">En el preámbulo de la </w:t>
      </w:r>
      <w:r w:rsidRPr="000D5434">
        <w:rPr>
          <w:i/>
          <w:szCs w:val="22"/>
          <w:lang w:val="es-ES"/>
        </w:rPr>
        <w:t>Declaración de las Naciones Unidas sobre los Derechos de los Pueblos Indígenas</w:t>
      </w:r>
      <w:r w:rsidRPr="000D5434">
        <w:rPr>
          <w:szCs w:val="22"/>
          <w:lang w:val="es-ES"/>
        </w:rPr>
        <w:t xml:space="preserve"> se afirma que es el “ideal común que debe perseguirse en un espíritu de solidaridad y respeto mutuo”.</w:t>
      </w:r>
      <w:r w:rsidRPr="000D5434">
        <w:rPr>
          <w:szCs w:val="22"/>
          <w:vertAlign w:val="superscript"/>
          <w:lang w:val="es-ES"/>
        </w:rPr>
        <w:t>.</w:t>
      </w:r>
      <w:r w:rsidR="00B834A4" w:rsidRPr="000D5434">
        <w:rPr>
          <w:szCs w:val="22"/>
          <w:lang w:val="es-ES"/>
        </w:rPr>
        <w:t xml:space="preserve"> </w:t>
      </w:r>
      <w:r w:rsidRPr="000D5434">
        <w:rPr>
          <w:szCs w:val="22"/>
          <w:lang w:val="es-ES"/>
        </w:rPr>
        <w:t xml:space="preserve">El </w:t>
      </w:r>
      <w:r w:rsidRPr="000D5434">
        <w:rPr>
          <w:iCs/>
          <w:szCs w:val="22"/>
          <w:lang w:val="es-ES"/>
        </w:rPr>
        <w:t>Diccionario de uso del español</w:t>
      </w:r>
      <w:r w:rsidRPr="000D5434">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0D5434" w:rsidRDefault="00C0409B" w:rsidP="00A758A0">
      <w:pPr>
        <w:pStyle w:val="Heading1"/>
        <w:rPr>
          <w:b w:val="0"/>
          <w:bCs w:val="0"/>
          <w:szCs w:val="22"/>
          <w:lang w:val="es-ES"/>
        </w:rPr>
      </w:pPr>
      <w:bookmarkStart w:id="83" w:name="_Toc535585014"/>
      <w:r w:rsidRPr="000D5434">
        <w:rPr>
          <w:szCs w:val="22"/>
          <w:lang w:val="es-ES"/>
        </w:rPr>
        <w:t>Condiciones mutuamente convenidas</w:t>
      </w:r>
      <w:bookmarkEnd w:id="83"/>
    </w:p>
    <w:p w:rsidR="00C0409B" w:rsidRPr="000D5434" w:rsidRDefault="00C0409B" w:rsidP="00103D66">
      <w:pPr>
        <w:pStyle w:val="ONUMFS"/>
        <w:numPr>
          <w:ilvl w:val="0"/>
          <w:numId w:val="0"/>
        </w:numPr>
        <w:rPr>
          <w:szCs w:val="22"/>
          <w:lang w:val="es-ES"/>
        </w:rPr>
      </w:pPr>
      <w:r w:rsidRPr="000D5434">
        <w:rPr>
          <w:szCs w:val="22"/>
          <w:lang w:val="es-ES"/>
        </w:rPr>
        <w:t xml:space="preserve">Además de reconocer la soberanía de los gobiernos nacionales para determinar el acceso a los recursos genéticos, en el artículo 15.4 del </w:t>
      </w:r>
      <w:r w:rsidRPr="000D5434">
        <w:rPr>
          <w:i/>
          <w:szCs w:val="22"/>
          <w:lang w:val="es-ES"/>
        </w:rPr>
        <w:t xml:space="preserve">Convenio sobre la Diversidad Biológica </w:t>
      </w:r>
      <w:r w:rsidRPr="000D5434">
        <w:rPr>
          <w:szCs w:val="22"/>
          <w:lang w:val="es-ES"/>
        </w:rPr>
        <w:t>(1992) se establece que “cuando se conceda acceso, este será en condiciones mutuamente convenidas y estará sometido a lo dispuesto en el presente artículo”.</w:t>
      </w:r>
      <w:r w:rsidR="00B834A4" w:rsidRPr="000D5434">
        <w:rPr>
          <w:szCs w:val="22"/>
          <w:lang w:val="es-ES"/>
        </w:rPr>
        <w:t xml:space="preserve"> </w:t>
      </w:r>
      <w:r w:rsidRPr="000D5434">
        <w:rPr>
          <w:szCs w:val="22"/>
          <w:lang w:val="es-ES"/>
        </w:rPr>
        <w:t>El Secretario Ejecutivo del CDB ha señalado que “los contratos son el modo más común de establecer los términos mutuamente convenidos”.</w:t>
      </w:r>
      <w:r w:rsidRPr="000D5434">
        <w:rPr>
          <w:rStyle w:val="FootnoteReference"/>
          <w:szCs w:val="22"/>
          <w:lang w:val="es-ES"/>
        </w:rPr>
        <w:footnoteReference w:id="111"/>
      </w:r>
      <w:r w:rsidR="00B834A4" w:rsidRPr="000D5434">
        <w:rPr>
          <w:szCs w:val="22"/>
          <w:lang w:val="es-ES"/>
        </w:rPr>
        <w:t xml:space="preserve"> </w:t>
      </w:r>
      <w:r w:rsidRPr="000D5434">
        <w:rPr>
          <w:szCs w:val="22"/>
          <w:lang w:val="es-ES"/>
        </w:rPr>
        <w:t xml:space="preserve">En los artículos 41 a 44 de las </w:t>
      </w:r>
      <w:r w:rsidRPr="000D5434">
        <w:rPr>
          <w:i/>
          <w:szCs w:val="22"/>
          <w:lang w:val="es-ES"/>
        </w:rPr>
        <w:t>Directrices de Bonn</w:t>
      </w:r>
      <w:r w:rsidRPr="000D5434">
        <w:rPr>
          <w:szCs w:val="22"/>
          <w:lang w:val="es-ES"/>
        </w:rPr>
        <w:t xml:space="preserve"> se señalan algunos requisitos básicos de las condiciones mutuamente convenidas.</w:t>
      </w:r>
    </w:p>
    <w:p w:rsidR="00C0409B" w:rsidRPr="000D5434" w:rsidRDefault="00C0409B" w:rsidP="00103D66">
      <w:pPr>
        <w:pStyle w:val="ONUMFS"/>
        <w:numPr>
          <w:ilvl w:val="0"/>
          <w:numId w:val="0"/>
        </w:numPr>
        <w:rPr>
          <w:b/>
          <w:szCs w:val="22"/>
          <w:lang w:val="es-ES"/>
        </w:rPr>
      </w:pPr>
      <w:r w:rsidRPr="000D5434">
        <w:rPr>
          <w:szCs w:val="22"/>
          <w:lang w:val="es-ES"/>
        </w:rPr>
        <w:t xml:space="preserve">En el Artículo 18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aborda específicamente el cumplimiento de las condiciones mutuamente acordadas o convenidas, a saber:</w:t>
      </w:r>
      <w:r w:rsidR="00B834A4" w:rsidRPr="000D5434">
        <w:rPr>
          <w:szCs w:val="22"/>
          <w:lang w:val="es-ES"/>
        </w:rPr>
        <w:t xml:space="preserve"> </w:t>
      </w:r>
      <w:r w:rsidRPr="000D5434">
        <w:rPr>
          <w:szCs w:val="22"/>
          <w:lang w:val="es-ES"/>
        </w:rPr>
        <w:t>“</w:t>
      </w:r>
      <w:r w:rsidRPr="000D5434">
        <w:rPr>
          <w:iCs/>
          <w:szCs w:val="22"/>
          <w:lang w:val="es-ES"/>
        </w:rPr>
        <w:t>1.</w:t>
      </w:r>
      <w:r w:rsidR="00B834A4" w:rsidRPr="000D5434">
        <w:rPr>
          <w:szCs w:val="22"/>
          <w:lang w:val="es-ES"/>
        </w:rPr>
        <w:t xml:space="preserve"> </w:t>
      </w:r>
      <w:r w:rsidRPr="000D5434">
        <w:rPr>
          <w:iCs/>
          <w:szCs w:val="22"/>
          <w:lang w:val="es-ES"/>
        </w:rPr>
        <w:t>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w:t>
      </w:r>
      <w:r w:rsidR="00B834A4" w:rsidRPr="000D5434">
        <w:rPr>
          <w:iCs/>
          <w:szCs w:val="22"/>
          <w:lang w:val="es-ES"/>
        </w:rPr>
        <w:t xml:space="preserve"> </w:t>
      </w:r>
      <w:r w:rsidRPr="000D5434">
        <w:rPr>
          <w:iCs/>
          <w:szCs w:val="22"/>
          <w:lang w:val="es-ES"/>
        </w:rPr>
        <w:t>a) la jurisdicción a la que se someterán todos los procesos de resolución de controversias;</w:t>
      </w:r>
      <w:r w:rsidR="00B834A4" w:rsidRPr="000D5434">
        <w:rPr>
          <w:iCs/>
          <w:szCs w:val="22"/>
          <w:lang w:val="es-ES"/>
        </w:rPr>
        <w:t xml:space="preserve"> </w:t>
      </w:r>
      <w:r w:rsidRPr="000D5434">
        <w:rPr>
          <w:iCs/>
          <w:szCs w:val="22"/>
          <w:lang w:val="es-ES"/>
        </w:rPr>
        <w:t>b) la ley aplicable;</w:t>
      </w:r>
      <w:r w:rsidR="00B834A4" w:rsidRPr="000D5434">
        <w:rPr>
          <w:iCs/>
          <w:szCs w:val="22"/>
          <w:lang w:val="es-ES"/>
        </w:rPr>
        <w:t xml:space="preserve"> </w:t>
      </w:r>
      <w:r w:rsidRPr="000D5434">
        <w:rPr>
          <w:iCs/>
          <w:szCs w:val="22"/>
          <w:lang w:val="es-ES"/>
        </w:rPr>
        <w:t>y/o c) opciones para la resolución de controversias alternativa, tales como mediación o arbitraje. 2.</w:t>
      </w:r>
      <w:r w:rsidR="00B834A4" w:rsidRPr="000D5434">
        <w:rPr>
          <w:iCs/>
          <w:szCs w:val="22"/>
          <w:lang w:val="es-ES"/>
        </w:rPr>
        <w:t xml:space="preserve"> </w:t>
      </w:r>
      <w:r w:rsidRPr="000D5434">
        <w:rPr>
          <w:iCs/>
          <w:szCs w:val="22"/>
          <w:lang w:val="es-ES"/>
        </w:rPr>
        <w:t>Cada parte se asegurará de que sus sistemas jurídicos ofrezcan la posibilidad de presentar recursos, de conformidad con los requisitos jurisdiccionales correspondientes en casos de controversias dimanantes de las condiciones mutuamente acordadas. 3.</w:t>
      </w:r>
      <w:r w:rsidR="00B834A4" w:rsidRPr="000D5434">
        <w:rPr>
          <w:iCs/>
          <w:szCs w:val="22"/>
          <w:lang w:val="es-ES"/>
        </w:rPr>
        <w:t xml:space="preserve"> </w:t>
      </w:r>
      <w:r w:rsidRPr="000D5434">
        <w:rPr>
          <w:iCs/>
          <w:szCs w:val="22"/>
          <w:lang w:val="es-ES"/>
        </w:rPr>
        <w:t>Cada Parte adoptará medidas efectivas, según proceda, respecto a:</w:t>
      </w:r>
      <w:r w:rsidR="00B834A4" w:rsidRPr="000D5434">
        <w:rPr>
          <w:iCs/>
          <w:szCs w:val="22"/>
          <w:lang w:val="es-ES"/>
        </w:rPr>
        <w:t xml:space="preserve"> </w:t>
      </w:r>
      <w:r w:rsidRPr="000D5434">
        <w:rPr>
          <w:iCs/>
          <w:szCs w:val="22"/>
          <w:lang w:val="es-ES"/>
        </w:rPr>
        <w:t>a) acceso a la justicia;</w:t>
      </w:r>
      <w:r w:rsidR="00B834A4" w:rsidRPr="000D5434">
        <w:rPr>
          <w:iCs/>
          <w:szCs w:val="22"/>
          <w:lang w:val="es-ES"/>
        </w:rPr>
        <w:t xml:space="preserve"> </w:t>
      </w:r>
      <w:r w:rsidRPr="000D5434">
        <w:rPr>
          <w:iCs/>
          <w:szCs w:val="22"/>
          <w:lang w:val="es-ES"/>
        </w:rPr>
        <w:t>y b) la utilización de mecanismos respecto al reconocimiento mutuo y la aplicación de sentencias extranjeras y laudos arbitrales. 4.</w:t>
      </w:r>
      <w:r w:rsidR="00B834A4" w:rsidRPr="000D5434">
        <w:rPr>
          <w:iCs/>
          <w:szCs w:val="22"/>
          <w:lang w:val="es-ES"/>
        </w:rPr>
        <w:t xml:space="preserve"> </w:t>
      </w:r>
      <w:r w:rsidRPr="000D5434">
        <w:rPr>
          <w:iCs/>
          <w:szCs w:val="22"/>
          <w:lang w:val="es-ES"/>
        </w:rPr>
        <w:t>La Conferencia de las Partes que actúa como reunión de las Partes en el presente Protocolo examinará la eficacia de este artículo conforme al Artículo 31 del presente Protocolo</w:t>
      </w:r>
      <w:r w:rsidRPr="000D5434">
        <w:rPr>
          <w:szCs w:val="22"/>
          <w:lang w:val="es-ES"/>
        </w:rPr>
        <w:t>”.</w:t>
      </w:r>
    </w:p>
    <w:p w:rsidR="00C0409B" w:rsidRPr="000D5434" w:rsidRDefault="00C0409B" w:rsidP="00A758A0">
      <w:pPr>
        <w:pStyle w:val="Heading1"/>
        <w:rPr>
          <w:b w:val="0"/>
          <w:szCs w:val="22"/>
          <w:lang w:val="es-ES"/>
        </w:rPr>
      </w:pPr>
      <w:bookmarkStart w:id="84" w:name="_Toc535585015"/>
      <w:r w:rsidRPr="000D5434">
        <w:rPr>
          <w:szCs w:val="22"/>
          <w:lang w:val="es-ES"/>
        </w:rPr>
        <w:t>Protocolo de Nagoya sobre Acceso a los Recursos Genéticos y Participación Justa y Equitativa en los Beneficios que se Deriven de su Utilización al Convenio sobre la Diversidad Biológica (2010)</w:t>
      </w:r>
      <w:bookmarkEnd w:id="84"/>
    </w:p>
    <w:p w:rsidR="00C0409B" w:rsidRPr="000D5434" w:rsidRDefault="00C0409B" w:rsidP="00103D66">
      <w:pPr>
        <w:pStyle w:val="ONUMFS"/>
        <w:numPr>
          <w:ilvl w:val="0"/>
          <w:numId w:val="0"/>
        </w:numPr>
        <w:rPr>
          <w:szCs w:val="22"/>
          <w:lang w:val="es-ES"/>
        </w:rPr>
      </w:pPr>
      <w:r w:rsidRPr="000D5434">
        <w:rPr>
          <w:szCs w:val="22"/>
          <w:lang w:val="es-ES"/>
        </w:rPr>
        <w:t>Durante la décima reunión de la Conferencia de las Partes (COP 10), celebrada en Nagoya (Japón) en octubre de 2010, se adoptó un protocolo.</w:t>
      </w:r>
      <w:r w:rsidR="00B834A4" w:rsidRPr="000D5434">
        <w:rPr>
          <w:szCs w:val="22"/>
          <w:lang w:val="es-ES"/>
        </w:rPr>
        <w:t xml:space="preserve"> </w:t>
      </w:r>
      <w:r w:rsidRPr="000D5434">
        <w:rPr>
          <w:szCs w:val="22"/>
          <w:lang w:val="es-ES"/>
        </w:rPr>
        <w:t>Con arreglo al artículo 1, el objetivo del Protocolo es “</w:t>
      </w:r>
      <w:r w:rsidRPr="000D5434">
        <w:rPr>
          <w:iCs/>
          <w:szCs w:val="22"/>
          <w:lang w:val="es-ES"/>
        </w:rPr>
        <w:t xml:space="preserve">la participación justa y equitativa en los beneficios que se deriven de la utilización de los recursos genéticos, incluso por medio del acceso apropiado a los recursos </w:t>
      </w:r>
      <w:r w:rsidRPr="000D5434">
        <w:rPr>
          <w:iCs/>
          <w:szCs w:val="22"/>
          <w:lang w:val="es-ES"/>
        </w:rPr>
        <w:lastRenderedPageBreak/>
        <w:t>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0D5434">
        <w:rPr>
          <w:szCs w:val="22"/>
          <w:lang w:val="es-ES"/>
        </w:rPr>
        <w:t>”.</w:t>
      </w:r>
      <w:r w:rsidR="00B834A4" w:rsidRPr="000D5434">
        <w:rPr>
          <w:szCs w:val="22"/>
          <w:lang w:val="es-ES"/>
        </w:rPr>
        <w:t xml:space="preserve"> </w:t>
      </w:r>
      <w:r w:rsidRPr="000D5434">
        <w:rPr>
          <w:szCs w:val="22"/>
          <w:lang w:val="es-ES"/>
        </w:rPr>
        <w:t>El Secretario General de las Naciones Unidas será el depositario del Protocolo y lo abrirá a la firma en la Sede de las Naciones Unidas de Nueva York del 2 de febrero de 2011 al 1 de febrero de 2012.</w:t>
      </w:r>
    </w:p>
    <w:p w:rsidR="00C0409B" w:rsidRPr="000D5434" w:rsidRDefault="00C0409B" w:rsidP="00103D66">
      <w:pPr>
        <w:pStyle w:val="ONUMFS"/>
        <w:numPr>
          <w:ilvl w:val="0"/>
          <w:numId w:val="0"/>
        </w:numPr>
        <w:rPr>
          <w:b/>
          <w:szCs w:val="22"/>
          <w:lang w:val="es-ES"/>
        </w:rPr>
      </w:pPr>
      <w:r w:rsidRPr="000D5434">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0D5434" w:rsidRDefault="00C0409B" w:rsidP="00A758A0">
      <w:pPr>
        <w:pStyle w:val="Heading1"/>
        <w:rPr>
          <w:b w:val="0"/>
          <w:bCs w:val="0"/>
          <w:szCs w:val="22"/>
          <w:lang w:val="es-ES"/>
        </w:rPr>
      </w:pPr>
      <w:bookmarkStart w:id="85" w:name="_Toc535585016"/>
      <w:r w:rsidRPr="000D5434">
        <w:rPr>
          <w:szCs w:val="22"/>
          <w:lang w:val="es-ES"/>
        </w:rPr>
        <w:t>Nación</w:t>
      </w:r>
      <w:bookmarkEnd w:id="85"/>
    </w:p>
    <w:p w:rsidR="00C0409B" w:rsidRPr="000D5434" w:rsidRDefault="00C0409B" w:rsidP="00103D66">
      <w:pPr>
        <w:pStyle w:val="ONUMFS"/>
        <w:numPr>
          <w:ilvl w:val="0"/>
          <w:numId w:val="0"/>
        </w:numPr>
        <w:rPr>
          <w:b/>
          <w:szCs w:val="22"/>
          <w:lang w:val="es-ES"/>
        </w:rPr>
      </w:pPr>
      <w:bookmarkStart w:id="86" w:name="_Ref289681765"/>
      <w:bookmarkEnd w:id="86"/>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w:t>
      </w:r>
      <w:r w:rsidR="00B834A4" w:rsidRPr="000D5434">
        <w:rPr>
          <w:szCs w:val="22"/>
          <w:lang w:val="es-ES"/>
        </w:rPr>
        <w:t xml:space="preserve"> </w:t>
      </w:r>
      <w:r w:rsidRPr="000D5434">
        <w:rPr>
          <w:szCs w:val="22"/>
          <w:lang w:val="es-ES"/>
        </w:rPr>
        <w:t xml:space="preserve">En el </w:t>
      </w:r>
      <w:r w:rsidRPr="000D5434">
        <w:rPr>
          <w:i/>
          <w:szCs w:val="22"/>
          <w:lang w:val="es-ES"/>
        </w:rPr>
        <w:t>Acuerdo sobre los ADPIC</w:t>
      </w:r>
      <w:r w:rsidRPr="000D5434">
        <w:rPr>
          <w:szCs w:val="22"/>
          <w:lang w:val="es-ES"/>
        </w:rPr>
        <w:t>, por “nacionales” se entiende “las personas físicas o jurídicas que tengan domicilio o un establecimiento industrial o comercial, real y efectivo, en ese territorio aduanero”.</w:t>
      </w:r>
      <w:r w:rsidRPr="000D5434">
        <w:rPr>
          <w:rStyle w:val="FootnoteReference"/>
          <w:szCs w:val="22"/>
          <w:lang w:val="es-ES"/>
        </w:rPr>
        <w:footnoteReference w:id="112"/>
      </w:r>
      <w:r w:rsidR="00B834A4" w:rsidRPr="000D5434">
        <w:rPr>
          <w:szCs w:val="22"/>
          <w:lang w:val="es-ES"/>
        </w:rPr>
        <w:t xml:space="preserve"> </w:t>
      </w:r>
      <w:r w:rsidRPr="000D5434">
        <w:rPr>
          <w:szCs w:val="22"/>
          <w:lang w:val="es-ES"/>
        </w:rPr>
        <w:t>La voz “nación” suele connotar que la comunidad está forjada por un mismo origen, cultura e historia, a lo cual se suma no pocas veces una lengua que es común.</w:t>
      </w:r>
      <w:r w:rsidRPr="000D5434">
        <w:rPr>
          <w:rStyle w:val="FootnoteReference"/>
          <w:szCs w:val="22"/>
          <w:lang w:val="es-ES"/>
        </w:rPr>
        <w:footnoteReference w:id="113"/>
      </w:r>
      <w:r w:rsidR="00B834A4" w:rsidRPr="000D5434">
        <w:rPr>
          <w:szCs w:val="22"/>
          <w:lang w:val="es-ES"/>
        </w:rPr>
        <w:t xml:space="preserve"> </w:t>
      </w:r>
      <w:r w:rsidRPr="000D5434">
        <w:rPr>
          <w:szCs w:val="22"/>
          <w:lang w:val="es-ES"/>
        </w:rPr>
        <w:t>“El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w:t>
      </w:r>
      <w:r w:rsidR="00B834A4" w:rsidRPr="000D5434">
        <w:rPr>
          <w:szCs w:val="22"/>
          <w:lang w:val="es-ES"/>
        </w:rPr>
        <w:t xml:space="preserve"> </w:t>
      </w:r>
      <w:r w:rsidRPr="000D5434">
        <w:rPr>
          <w:szCs w:val="22"/>
          <w:lang w:val="es-ES"/>
        </w:rPr>
        <w:t>Esto complementa la práctica y concuerda con ella en otras esferas políticas”.</w:t>
      </w:r>
      <w:r w:rsidRPr="000D5434">
        <w:rPr>
          <w:rStyle w:val="FootnoteReference"/>
          <w:szCs w:val="22"/>
          <w:lang w:val="es-ES"/>
        </w:rPr>
        <w:footnoteReference w:id="114"/>
      </w:r>
    </w:p>
    <w:p w:rsidR="00C0409B" w:rsidRPr="000D5434" w:rsidRDefault="00C0409B" w:rsidP="00A758A0">
      <w:pPr>
        <w:pStyle w:val="Heading1"/>
        <w:rPr>
          <w:b w:val="0"/>
          <w:bCs w:val="0"/>
          <w:szCs w:val="22"/>
          <w:lang w:val="es-ES"/>
        </w:rPr>
      </w:pPr>
      <w:bookmarkStart w:id="87" w:name="_Toc535585017"/>
      <w:r w:rsidRPr="000D5434">
        <w:rPr>
          <w:szCs w:val="22"/>
          <w:lang w:val="es-ES"/>
        </w:rPr>
        <w:t>Novedad</w:t>
      </w:r>
      <w:bookmarkEnd w:id="87"/>
    </w:p>
    <w:p w:rsidR="00C0409B" w:rsidRPr="000D5434" w:rsidRDefault="00C0409B" w:rsidP="00B16297">
      <w:pPr>
        <w:pStyle w:val="ONUMFS"/>
        <w:numPr>
          <w:ilvl w:val="0"/>
          <w:numId w:val="0"/>
        </w:numPr>
        <w:rPr>
          <w:szCs w:val="22"/>
          <w:lang w:val="es-ES"/>
        </w:rPr>
      </w:pPr>
      <w:r w:rsidRPr="000D5434">
        <w:rPr>
          <w:szCs w:val="22"/>
          <w:lang w:val="es-ES"/>
        </w:rPr>
        <w:t>La novedad es uno de los criterios que se aplican en todo examen de patentes para determinar si se concede una patente.</w:t>
      </w:r>
      <w:r w:rsidR="00B834A4" w:rsidRPr="000D5434">
        <w:rPr>
          <w:szCs w:val="22"/>
          <w:lang w:val="es-ES"/>
        </w:rPr>
        <w:t xml:space="preserve"> </w:t>
      </w:r>
      <w:r w:rsidRPr="000D5434">
        <w:rPr>
          <w:szCs w:val="22"/>
          <w:lang w:val="es-ES"/>
        </w:rPr>
        <w:t>Una invención es nueva si no existe en el estado de la técnica.</w:t>
      </w:r>
      <w:r w:rsidRPr="000D5434">
        <w:rPr>
          <w:rStyle w:val="FootnoteReference"/>
          <w:szCs w:val="22"/>
          <w:lang w:val="es-ES"/>
        </w:rPr>
        <w:footnoteReference w:id="115"/>
      </w:r>
    </w:p>
    <w:p w:rsidR="00C0409B" w:rsidRPr="000D5434" w:rsidRDefault="00C0409B" w:rsidP="00103D66">
      <w:pPr>
        <w:pStyle w:val="ONUMFS"/>
        <w:numPr>
          <w:ilvl w:val="0"/>
          <w:numId w:val="0"/>
        </w:numPr>
        <w:rPr>
          <w:szCs w:val="22"/>
          <w:lang w:val="es-ES"/>
        </w:rPr>
      </w:pPr>
      <w:r w:rsidRPr="000D5434">
        <w:rPr>
          <w:szCs w:val="22"/>
          <w:lang w:val="es-ES"/>
        </w:rPr>
        <w:t xml:space="preserve">En el artículo 33 del </w:t>
      </w:r>
      <w:r w:rsidR="005C21FD" w:rsidRPr="000D5434">
        <w:rPr>
          <w:i/>
          <w:szCs w:val="22"/>
          <w:lang w:val="es-ES"/>
        </w:rPr>
        <w:t>Tratado de Cooperación en materia de Patentes</w:t>
      </w:r>
      <w:r w:rsidRPr="000D5434">
        <w:rPr>
          <w:szCs w:val="22"/>
          <w:lang w:val="es-ES"/>
        </w:rPr>
        <w:t xml:space="preserve"> </w:t>
      </w:r>
      <w:r w:rsidR="005C21FD" w:rsidRPr="000D5434">
        <w:rPr>
          <w:szCs w:val="22"/>
          <w:lang w:val="es-ES"/>
        </w:rPr>
        <w:t xml:space="preserve">(PCT) </w:t>
      </w:r>
      <w:r w:rsidRPr="000D5434">
        <w:rPr>
          <w:szCs w:val="22"/>
          <w:lang w:val="es-ES"/>
        </w:rPr>
        <w:t>se establece lo siguiente con respecto a la novedad:</w:t>
      </w:r>
      <w:r w:rsidR="00B834A4" w:rsidRPr="000D5434">
        <w:rPr>
          <w:szCs w:val="22"/>
          <w:lang w:val="es-ES"/>
        </w:rPr>
        <w:t xml:space="preserve"> </w:t>
      </w:r>
      <w:r w:rsidRPr="000D5434">
        <w:rPr>
          <w:szCs w:val="22"/>
          <w:lang w:val="es-ES"/>
        </w:rPr>
        <w:t>“A los efectos del examen preliminar internacional, se considerará nueva una invención reivindicada si no existe anterioridad en el estado de la técnica, tal como se define en el Reglamento”.</w:t>
      </w:r>
      <w:r w:rsidR="00B834A4" w:rsidRPr="000D5434">
        <w:rPr>
          <w:szCs w:val="22"/>
          <w:lang w:val="es-ES"/>
        </w:rPr>
        <w:t xml:space="preserve"> </w:t>
      </w:r>
      <w:r w:rsidRPr="000D5434">
        <w:rPr>
          <w:szCs w:val="22"/>
          <w:lang w:val="es-ES"/>
        </w:rPr>
        <w:t>En la regla 64.1.a) del Reglamento del PCT se da la siguiente definición de “estado de la técnica”:</w:t>
      </w:r>
      <w:r w:rsidR="00B834A4" w:rsidRPr="000D5434">
        <w:rPr>
          <w:szCs w:val="22"/>
          <w:lang w:val="es-ES"/>
        </w:rPr>
        <w:t xml:space="preserve"> </w:t>
      </w:r>
      <w:r w:rsidRPr="000D5434">
        <w:rPr>
          <w:szCs w:val="22"/>
          <w:lang w:val="es-ES"/>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54 del </w:t>
      </w:r>
      <w:r w:rsidRPr="000D5434">
        <w:rPr>
          <w:i/>
          <w:szCs w:val="22"/>
          <w:lang w:val="es-ES"/>
        </w:rPr>
        <w:t>Convenio sobre la Patente Europea</w:t>
      </w:r>
      <w:r w:rsidRPr="000D5434">
        <w:rPr>
          <w:szCs w:val="22"/>
          <w:lang w:val="es-ES"/>
        </w:rPr>
        <w:t>, se define “novedad” del siguiente modo:</w:t>
      </w:r>
      <w:r w:rsidR="00B834A4" w:rsidRPr="000D5434">
        <w:rPr>
          <w:szCs w:val="22"/>
          <w:lang w:val="es-ES"/>
        </w:rPr>
        <w:t xml:space="preserve"> </w:t>
      </w:r>
      <w:r w:rsidRPr="000D5434">
        <w:rPr>
          <w:szCs w:val="22"/>
          <w:lang w:val="es-ES"/>
        </w:rPr>
        <w:t>“Una invención se considerará nueva si no forma parte del estado de la técnica.</w:t>
      </w:r>
      <w:r w:rsidR="00B834A4" w:rsidRPr="000D5434">
        <w:rPr>
          <w:szCs w:val="22"/>
          <w:lang w:val="es-ES"/>
        </w:rPr>
        <w:t xml:space="preserve"> </w:t>
      </w:r>
      <w:r w:rsidRPr="000D5434">
        <w:rPr>
          <w:szCs w:val="22"/>
          <w:lang w:val="es-ES"/>
        </w:rPr>
        <w:t xml:space="preserve">El estado de la técnica comprenderá todo lo que se haya puesto a disposición del público mediante una divulgación oral o escrita, mediante el uso o de cualquier otra manera, antes </w:t>
      </w:r>
      <w:r w:rsidRPr="000D5434">
        <w:rPr>
          <w:szCs w:val="22"/>
          <w:lang w:val="es-ES"/>
        </w:rPr>
        <w:lastRenderedPageBreak/>
        <w:t>de la fecha de presentación de la solicitud de patente europea”.</w:t>
      </w:r>
      <w:r w:rsidR="00B834A4" w:rsidRPr="000D5434">
        <w:rPr>
          <w:szCs w:val="22"/>
          <w:lang w:val="es-ES"/>
        </w:rPr>
        <w:t xml:space="preserve"> </w:t>
      </w:r>
      <w:r w:rsidRPr="000D5434">
        <w:rPr>
          <w:szCs w:val="22"/>
          <w:lang w:val="es-ES"/>
        </w:rPr>
        <w:t>(Traducción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En el artículo 102 del título 35 del Código de los Estados Unidos [condiciones de patentabilidad;</w:t>
      </w:r>
      <w:r w:rsidR="00B834A4" w:rsidRPr="000D5434">
        <w:rPr>
          <w:szCs w:val="22"/>
          <w:lang w:val="es-ES"/>
        </w:rPr>
        <w:t xml:space="preserve"> </w:t>
      </w:r>
      <w:r w:rsidRPr="000D5434">
        <w:rPr>
          <w:szCs w:val="22"/>
          <w:lang w:val="es-ES"/>
        </w:rPr>
        <w:t>novedad], el concepto de “novedad” se define del siguiente modo:</w:t>
      </w:r>
      <w:r w:rsidR="00B834A4" w:rsidRPr="000D5434">
        <w:rPr>
          <w:szCs w:val="22"/>
          <w:lang w:val="es-ES"/>
        </w:rPr>
        <w:t xml:space="preserve"> </w:t>
      </w:r>
      <w:r w:rsidRPr="000D5434">
        <w:rPr>
          <w:szCs w:val="22"/>
          <w:lang w:val="es-ES"/>
        </w:rPr>
        <w:t>Toda persona tendrá derecho a obtener una patente salvo que:</w:t>
      </w:r>
      <w:r w:rsidR="00B834A4" w:rsidRPr="000D5434">
        <w:rPr>
          <w:szCs w:val="22"/>
          <w:lang w:val="es-ES"/>
        </w:rPr>
        <w:t xml:space="preserve"> </w:t>
      </w:r>
      <w:r w:rsidR="005D6E7F" w:rsidRPr="000D5434">
        <w:rPr>
          <w:szCs w:val="22"/>
          <w:lang w:val="es-ES"/>
        </w:rPr>
        <w:t>1</w:t>
      </w:r>
      <w:r w:rsidRPr="000D5434">
        <w:rPr>
          <w:szCs w:val="22"/>
          <w:lang w:val="es-ES"/>
        </w:rPr>
        <w:t xml:space="preserve">) la invención </w:t>
      </w:r>
      <w:r w:rsidR="0037547D" w:rsidRPr="000D5434">
        <w:rPr>
          <w:szCs w:val="22"/>
          <w:lang w:val="es-ES"/>
        </w:rPr>
        <w:t xml:space="preserve">reivindicada </w:t>
      </w:r>
      <w:r w:rsidRPr="000D5434">
        <w:rPr>
          <w:szCs w:val="22"/>
          <w:lang w:val="es-ES"/>
        </w:rPr>
        <w:t xml:space="preserve">haya sido patentada o </w:t>
      </w:r>
      <w:r w:rsidR="0037547D" w:rsidRPr="000D5434">
        <w:rPr>
          <w:szCs w:val="22"/>
          <w:lang w:val="es-ES"/>
        </w:rPr>
        <w:t xml:space="preserve">esté </w:t>
      </w:r>
      <w:r w:rsidRPr="000D5434">
        <w:rPr>
          <w:szCs w:val="22"/>
          <w:lang w:val="es-ES"/>
        </w:rPr>
        <w:t xml:space="preserve">descrita en una publicación impresa, </w:t>
      </w:r>
      <w:r w:rsidR="005D6E7F" w:rsidRPr="000D5434">
        <w:rPr>
          <w:szCs w:val="22"/>
          <w:lang w:val="es-ES"/>
        </w:rPr>
        <w:t xml:space="preserve">o sea de uso público, </w:t>
      </w:r>
      <w:r w:rsidR="0037547D" w:rsidRPr="000D5434">
        <w:rPr>
          <w:szCs w:val="22"/>
          <w:lang w:val="es-ES"/>
        </w:rPr>
        <w:t>haya estado</w:t>
      </w:r>
      <w:r w:rsidR="005D6E7F" w:rsidRPr="000D5434">
        <w:rPr>
          <w:szCs w:val="22"/>
          <w:lang w:val="es-ES"/>
        </w:rPr>
        <w:t xml:space="preserve"> en venta o de otra forma disponible al público </w:t>
      </w:r>
      <w:r w:rsidRPr="000D5434">
        <w:rPr>
          <w:szCs w:val="22"/>
          <w:lang w:val="es-ES"/>
        </w:rPr>
        <w:t xml:space="preserve">antes de </w:t>
      </w:r>
      <w:r w:rsidR="005D6E7F" w:rsidRPr="000D5434">
        <w:rPr>
          <w:szCs w:val="22"/>
          <w:lang w:val="es-ES"/>
        </w:rPr>
        <w:t xml:space="preserve">la fecha de presentación de la solicitud </w:t>
      </w:r>
      <w:r w:rsidR="0037547D" w:rsidRPr="000D5434">
        <w:rPr>
          <w:szCs w:val="22"/>
          <w:lang w:val="es-ES"/>
        </w:rPr>
        <w:t>correspondiente a dicha</w:t>
      </w:r>
      <w:r w:rsidR="005D6E7F" w:rsidRPr="000D5434">
        <w:rPr>
          <w:szCs w:val="22"/>
          <w:lang w:val="es-ES"/>
        </w:rPr>
        <w:t xml:space="preserve"> invención;</w:t>
      </w:r>
      <w:r w:rsidR="00B834A4" w:rsidRPr="000D5434">
        <w:rPr>
          <w:szCs w:val="22"/>
          <w:lang w:val="es-ES"/>
        </w:rPr>
        <w:t xml:space="preserve"> </w:t>
      </w:r>
      <w:r w:rsidR="005D6E7F" w:rsidRPr="000D5434">
        <w:rPr>
          <w:szCs w:val="22"/>
          <w:lang w:val="es-ES"/>
        </w:rPr>
        <w:t>o 2) la invención reivindicada esté descrita en una patente</w:t>
      </w:r>
      <w:r w:rsidR="001B0533" w:rsidRPr="000D5434">
        <w:rPr>
          <w:szCs w:val="22"/>
          <w:lang w:val="es-ES"/>
        </w:rPr>
        <w:t>,</w:t>
      </w:r>
      <w:r w:rsidR="005D6E7F" w:rsidRPr="000D5434">
        <w:rPr>
          <w:szCs w:val="22"/>
          <w:lang w:val="es-ES"/>
        </w:rPr>
        <w:t xml:space="preserve"> concedida</w:t>
      </w:r>
      <w:r w:rsidR="0037547D" w:rsidRPr="000D5434">
        <w:rPr>
          <w:szCs w:val="22"/>
          <w:lang w:val="es-ES"/>
        </w:rPr>
        <w:t xml:space="preserve"> conforme al</w:t>
      </w:r>
      <w:r w:rsidR="005D6E7F" w:rsidRPr="000D5434">
        <w:rPr>
          <w:szCs w:val="22"/>
          <w:lang w:val="es-ES"/>
        </w:rPr>
        <w:t xml:space="preserve"> artículo 151</w:t>
      </w:r>
      <w:r w:rsidR="0037547D" w:rsidRPr="000D5434">
        <w:rPr>
          <w:szCs w:val="22"/>
          <w:lang w:val="es-ES"/>
        </w:rPr>
        <w:t>,</w:t>
      </w:r>
      <w:r w:rsidR="005D6E7F" w:rsidRPr="000D5434">
        <w:rPr>
          <w:szCs w:val="22"/>
          <w:lang w:val="es-ES"/>
        </w:rPr>
        <w:t xml:space="preserve"> o en una solicitud de patente</w:t>
      </w:r>
      <w:r w:rsidR="0037547D" w:rsidRPr="000D5434">
        <w:rPr>
          <w:szCs w:val="22"/>
          <w:lang w:val="es-ES"/>
        </w:rPr>
        <w:t>,</w:t>
      </w:r>
      <w:r w:rsidR="005D6E7F" w:rsidRPr="000D5434">
        <w:rPr>
          <w:szCs w:val="22"/>
          <w:lang w:val="es-ES"/>
        </w:rPr>
        <w:t xml:space="preserve"> publicada o que se considere publicada</w:t>
      </w:r>
      <w:r w:rsidR="0037547D" w:rsidRPr="000D5434">
        <w:rPr>
          <w:szCs w:val="22"/>
          <w:lang w:val="es-ES"/>
        </w:rPr>
        <w:t xml:space="preserve"> conforme al </w:t>
      </w:r>
      <w:r w:rsidR="005D6E7F" w:rsidRPr="000D5434">
        <w:rPr>
          <w:szCs w:val="22"/>
          <w:lang w:val="es-ES"/>
        </w:rPr>
        <w:t xml:space="preserve">artículo 122.b), </w:t>
      </w:r>
      <w:r w:rsidR="001B0533" w:rsidRPr="000D5434">
        <w:rPr>
          <w:szCs w:val="22"/>
          <w:lang w:val="es-ES"/>
        </w:rPr>
        <w:t xml:space="preserve">en las que se mencione otro inventor </w:t>
      </w:r>
      <w:r w:rsidR="0037547D" w:rsidRPr="000D5434">
        <w:rPr>
          <w:szCs w:val="22"/>
          <w:lang w:val="es-ES"/>
        </w:rPr>
        <w:t>y</w:t>
      </w:r>
      <w:r w:rsidR="001B0533" w:rsidRPr="000D5434">
        <w:rPr>
          <w:szCs w:val="22"/>
          <w:lang w:val="es-ES"/>
        </w:rPr>
        <w:t xml:space="preserve"> que hayan sido, respectivamente, obtenida o presentada en una fecha anterior a la fecha de presentación de la solicitud correspondiente a la invención revindicada</w:t>
      </w:r>
      <w:r w:rsidRPr="000D5434">
        <w:rPr>
          <w:szCs w:val="22"/>
          <w:lang w:val="es-ES"/>
        </w:rPr>
        <w:t>.</w:t>
      </w:r>
      <w:r w:rsidR="001B0533" w:rsidRPr="000D5434">
        <w:rPr>
          <w:rStyle w:val="FootnoteReference"/>
          <w:szCs w:val="22"/>
          <w:lang w:val="es-ES"/>
        </w:rPr>
        <w:footnoteReference w:id="116"/>
      </w:r>
    </w:p>
    <w:p w:rsidR="00C0409B" w:rsidRPr="000D5434" w:rsidRDefault="00C0409B" w:rsidP="00A758A0">
      <w:pPr>
        <w:pStyle w:val="Heading1"/>
        <w:rPr>
          <w:b w:val="0"/>
          <w:bCs w:val="0"/>
          <w:szCs w:val="22"/>
          <w:lang w:val="es-ES"/>
        </w:rPr>
      </w:pPr>
      <w:bookmarkStart w:id="88" w:name="_Toc535585018"/>
      <w:r w:rsidRPr="000D5434">
        <w:rPr>
          <w:szCs w:val="22"/>
          <w:lang w:val="es-ES"/>
        </w:rPr>
        <w:t>Ofensivo</w:t>
      </w:r>
      <w:bookmarkEnd w:id="88"/>
    </w:p>
    <w:p w:rsidR="00C0409B" w:rsidRPr="000D5434" w:rsidRDefault="00C0409B" w:rsidP="00103D66">
      <w:pPr>
        <w:pStyle w:val="ONUMFS"/>
        <w:numPr>
          <w:ilvl w:val="0"/>
          <w:numId w:val="0"/>
        </w:numPr>
        <w:rPr>
          <w:szCs w:val="22"/>
          <w:lang w:val="es-ES"/>
        </w:rPr>
      </w:pPr>
      <w:r w:rsidRPr="000D5434">
        <w:rPr>
          <w:szCs w:val="22"/>
          <w:lang w:val="es-ES"/>
        </w:rPr>
        <w:t xml:space="preserve">Según el </w:t>
      </w:r>
      <w:r w:rsidRPr="000D5434">
        <w:rPr>
          <w:iCs/>
          <w:szCs w:val="22"/>
          <w:lang w:val="es-ES"/>
        </w:rPr>
        <w:t>Diccionario de la lengua española</w:t>
      </w:r>
      <w:r w:rsidRPr="000D5434">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0D5434" w:rsidRDefault="00C0409B" w:rsidP="00A758A0">
      <w:pPr>
        <w:pStyle w:val="Heading1"/>
        <w:rPr>
          <w:b w:val="0"/>
          <w:bCs w:val="0"/>
          <w:szCs w:val="22"/>
          <w:lang w:val="es-ES"/>
        </w:rPr>
      </w:pPr>
      <w:bookmarkStart w:id="89" w:name="_Toc535585019"/>
      <w:r w:rsidRPr="000D5434">
        <w:rPr>
          <w:szCs w:val="22"/>
          <w:lang w:val="es-ES"/>
        </w:rPr>
        <w:t>Patente</w:t>
      </w:r>
      <w:bookmarkEnd w:id="89"/>
    </w:p>
    <w:p w:rsidR="00C0409B" w:rsidRPr="000D5434" w:rsidRDefault="00C0409B" w:rsidP="00103D66">
      <w:pPr>
        <w:pStyle w:val="ONUMFS"/>
        <w:numPr>
          <w:ilvl w:val="0"/>
          <w:numId w:val="0"/>
        </w:numPr>
        <w:rPr>
          <w:szCs w:val="22"/>
          <w:lang w:val="es-ES"/>
        </w:rPr>
      </w:pPr>
      <w:r w:rsidRPr="000D5434">
        <w:rPr>
          <w:szCs w:val="22"/>
          <w:lang w:val="es-ES"/>
        </w:rPr>
        <w:t>Se entiende por patente “</w:t>
      </w:r>
      <w:r w:rsidRPr="000D5434">
        <w:rPr>
          <w:iCs/>
          <w:szCs w:val="22"/>
          <w:lang w:val="es-ES"/>
        </w:rPr>
        <w:t>un documento que describe una invención que puede ser fabricada, utilizada y comercializada con la autorización del propietario de la patente.</w:t>
      </w:r>
      <w:r w:rsidR="00B834A4" w:rsidRPr="000D5434">
        <w:rPr>
          <w:iCs/>
          <w:szCs w:val="22"/>
          <w:lang w:val="es-ES"/>
        </w:rPr>
        <w:t xml:space="preserve"> </w:t>
      </w:r>
      <w:r w:rsidRPr="000D5434">
        <w:rPr>
          <w:iCs/>
          <w:szCs w:val="22"/>
          <w:lang w:val="es-ES"/>
        </w:rPr>
        <w:t>Una invención es una solución a un problema técnico específico.</w:t>
      </w:r>
      <w:r w:rsidR="00B834A4" w:rsidRPr="000D5434">
        <w:rPr>
          <w:iCs/>
          <w:szCs w:val="22"/>
          <w:lang w:val="es-ES"/>
        </w:rPr>
        <w:t xml:space="preserve"> </w:t>
      </w:r>
      <w:r w:rsidRPr="000D5434">
        <w:rPr>
          <w:iCs/>
          <w:szCs w:val="22"/>
          <w:lang w:val="es-ES"/>
        </w:rPr>
        <w:t>Un documento de patente contiene normalmente al menos una reivindicación, el texto completo de la descripción de la invención y la información bibliográfica, tal como el nombre del solicitante.</w:t>
      </w:r>
      <w:r w:rsidR="00B834A4" w:rsidRPr="000D5434">
        <w:rPr>
          <w:iCs/>
          <w:szCs w:val="22"/>
          <w:lang w:val="es-ES"/>
        </w:rPr>
        <w:t xml:space="preserve"> </w:t>
      </w:r>
      <w:r w:rsidRPr="000D5434">
        <w:rPr>
          <w:iCs/>
          <w:szCs w:val="22"/>
          <w:lang w:val="es-ES"/>
        </w:rPr>
        <w:t>La protección proporcionada por una patente está limitada en el tiempo (generalmente de 15 a 20 años desde la presentación o la concesión).</w:t>
      </w:r>
      <w:r w:rsidR="00B834A4" w:rsidRPr="000D5434">
        <w:rPr>
          <w:iCs/>
          <w:szCs w:val="22"/>
          <w:lang w:val="es-ES"/>
        </w:rPr>
        <w:t xml:space="preserve"> </w:t>
      </w:r>
      <w:r w:rsidRPr="000D5434">
        <w:rPr>
          <w:iCs/>
          <w:szCs w:val="22"/>
          <w:lang w:val="es-ES"/>
        </w:rPr>
        <w:t>También está limitada territorialmente al país o países a los que se refiere.</w:t>
      </w:r>
      <w:r w:rsidR="00B834A4" w:rsidRPr="000D5434">
        <w:rPr>
          <w:iCs/>
          <w:szCs w:val="22"/>
          <w:lang w:val="es-ES"/>
        </w:rPr>
        <w:t xml:space="preserve"> </w:t>
      </w:r>
      <w:r w:rsidRPr="000D5434">
        <w:rPr>
          <w:iCs/>
          <w:szCs w:val="22"/>
          <w:lang w:val="es-ES"/>
        </w:rPr>
        <w:t>Una patente es un acuerdo entre un inventor y un país.</w:t>
      </w:r>
      <w:r w:rsidR="00B834A4" w:rsidRPr="000D5434">
        <w:rPr>
          <w:iCs/>
          <w:szCs w:val="22"/>
          <w:lang w:val="es-ES"/>
        </w:rPr>
        <w:t xml:space="preserve"> </w:t>
      </w:r>
      <w:r w:rsidRPr="000D5434">
        <w:rPr>
          <w:iCs/>
          <w:szCs w:val="22"/>
          <w:lang w:val="es-ES"/>
        </w:rPr>
        <w:t>El acuerdo permite al propietario impedir a terceros fabricar, utilizar o comercializar la invención reivindicada.</w:t>
      </w:r>
      <w:r w:rsidRPr="000D5434">
        <w:rPr>
          <w:szCs w:val="22"/>
          <w:lang w:val="es-ES"/>
        </w:rPr>
        <w:t>”</w:t>
      </w:r>
      <w:r w:rsidRPr="000D5434">
        <w:rPr>
          <w:rStyle w:val="FootnoteReference"/>
          <w:szCs w:val="22"/>
          <w:lang w:val="es-ES"/>
        </w:rPr>
        <w:footnoteReference w:id="117"/>
      </w:r>
    </w:p>
    <w:p w:rsidR="00C0409B" w:rsidRPr="000D5434" w:rsidRDefault="00C0409B" w:rsidP="00103D66">
      <w:pPr>
        <w:pStyle w:val="ONUMFS"/>
        <w:numPr>
          <w:ilvl w:val="0"/>
          <w:numId w:val="0"/>
        </w:numPr>
        <w:rPr>
          <w:szCs w:val="22"/>
          <w:lang w:val="es-ES"/>
        </w:rPr>
      </w:pPr>
      <w:r w:rsidRPr="000D5434">
        <w:rPr>
          <w:szCs w:val="22"/>
          <w:lang w:val="es-ES"/>
        </w:rPr>
        <w:t xml:space="preserve">En el artículo 27.1 del </w:t>
      </w:r>
      <w:r w:rsidRPr="000D5434">
        <w:rPr>
          <w:i/>
          <w:szCs w:val="22"/>
          <w:lang w:val="es-ES"/>
        </w:rPr>
        <w:t>Acuerdo sobre los Derechos de Propiedad Intelectual relacionados con el Comercio</w:t>
      </w:r>
      <w:r w:rsidRPr="000D5434">
        <w:rPr>
          <w:szCs w:val="22"/>
          <w:lang w:val="es-ES"/>
        </w:rPr>
        <w:t xml:space="preserve"> (Acuerdo sobre los ADPIC)</w:t>
      </w:r>
      <w:r w:rsidR="005C21FD" w:rsidRPr="000D5434">
        <w:rPr>
          <w:szCs w:val="22"/>
          <w:lang w:val="es-ES"/>
        </w:rPr>
        <w:t>, de la Organización Mundial del Comercio (OMC),</w:t>
      </w:r>
      <w:r w:rsidRPr="000D5434">
        <w:rPr>
          <w:szCs w:val="22"/>
          <w:lang w:val="es-ES"/>
        </w:rPr>
        <w:t xml:space="preserve"> se estipula que </w:t>
      </w:r>
      <w:r w:rsidRPr="000D5434">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w:t>
      </w:r>
      <w:r w:rsidR="00B834A4" w:rsidRPr="000D5434">
        <w:rPr>
          <w:iCs/>
          <w:szCs w:val="22"/>
          <w:lang w:val="es-ES"/>
        </w:rPr>
        <w:t xml:space="preserve"> </w:t>
      </w:r>
      <w:r w:rsidRPr="000D5434">
        <w:rPr>
          <w:iCs/>
          <w:szCs w:val="22"/>
          <w:lang w:val="es-ES"/>
        </w:rPr>
        <w:t>[…] las patentes se podrán obtener y los derechos de patente se podrán gozar sin discriminación por el lugar de la invención, el campo de la tecnología o el hecho de que los productos sean importados o producidos en el país”.</w:t>
      </w:r>
    </w:p>
    <w:p w:rsidR="00C0409B" w:rsidRPr="000D5434" w:rsidRDefault="00C0409B" w:rsidP="00A758A0">
      <w:pPr>
        <w:pStyle w:val="Heading1"/>
        <w:rPr>
          <w:b w:val="0"/>
          <w:bCs w:val="0"/>
          <w:szCs w:val="22"/>
          <w:lang w:val="es-ES"/>
        </w:rPr>
      </w:pPr>
      <w:bookmarkStart w:id="90" w:name="_Toc535585020"/>
      <w:r w:rsidRPr="000D5434">
        <w:rPr>
          <w:szCs w:val="22"/>
          <w:lang w:val="es-ES"/>
        </w:rPr>
        <w:t>Conservación</w:t>
      </w:r>
      <w:bookmarkEnd w:id="90"/>
    </w:p>
    <w:p w:rsidR="00C0409B" w:rsidRPr="000D5434" w:rsidRDefault="00C0409B" w:rsidP="00103D66">
      <w:pPr>
        <w:pStyle w:val="ONUMFS"/>
        <w:numPr>
          <w:ilvl w:val="0"/>
          <w:numId w:val="0"/>
        </w:numPr>
        <w:rPr>
          <w:szCs w:val="22"/>
          <w:lang w:val="es-ES"/>
        </w:rPr>
      </w:pPr>
      <w:r w:rsidRPr="000D5434">
        <w:rPr>
          <w:szCs w:val="22"/>
          <w:lang w:val="es-ES"/>
        </w:rPr>
        <w:t>El concepto de conservación se basa en dos elementos amplios;</w:t>
      </w:r>
      <w:r w:rsidR="00B834A4" w:rsidRPr="000D5434">
        <w:rPr>
          <w:szCs w:val="22"/>
          <w:lang w:val="es-ES"/>
        </w:rPr>
        <w:t xml:space="preserve"> </w:t>
      </w:r>
      <w:r w:rsidRPr="000D5434">
        <w:rPr>
          <w:szCs w:val="22"/>
          <w:lang w:val="es-ES"/>
        </w:rPr>
        <w:t>en primer lugar, la conservación del contexto social y cultural en el que se enmarcan los conocimientos tradicionales, de manera que se mantenga el marco tradicional para facilitar, transmitir y gobernar el acceso a los conocimientos tradicionales;</w:t>
      </w:r>
      <w:r w:rsidR="00B834A4" w:rsidRPr="000D5434">
        <w:rPr>
          <w:szCs w:val="22"/>
          <w:lang w:val="es-ES"/>
        </w:rPr>
        <w:t xml:space="preserve"> </w:t>
      </w:r>
      <w:r w:rsidRPr="000D5434">
        <w:rPr>
          <w:szCs w:val="22"/>
          <w:lang w:val="es-ES"/>
        </w:rPr>
        <w:t xml:space="preserve">y en segundo lugar, la conservación </w:t>
      </w:r>
      <w:r w:rsidRPr="000D5434">
        <w:rPr>
          <w:szCs w:val="22"/>
          <w:lang w:val="es-ES"/>
        </w:rPr>
        <w:lastRenderedPageBreak/>
        <w:t>de los conocimientos tradicionales en forma fija, como cuando se catalogan los conocimientos tradicionales técnicos o medicinales.</w:t>
      </w:r>
      <w:r w:rsidR="00B834A4" w:rsidRPr="000D5434">
        <w:rPr>
          <w:szCs w:val="22"/>
          <w:lang w:val="es-ES"/>
        </w:rPr>
        <w:t xml:space="preserve"> </w:t>
      </w:r>
      <w:r w:rsidRPr="000D5434">
        <w:rPr>
          <w:szCs w:val="22"/>
          <w:lang w:val="es-ES"/>
        </w:rPr>
        <w:t>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0D5434">
        <w:rPr>
          <w:rStyle w:val="FootnoteReference"/>
          <w:szCs w:val="22"/>
          <w:lang w:val="es-ES"/>
        </w:rPr>
        <w:footnoteReference w:id="118"/>
      </w:r>
    </w:p>
    <w:p w:rsidR="00C0409B" w:rsidRPr="000D5434" w:rsidRDefault="00C0409B" w:rsidP="00103D66">
      <w:pPr>
        <w:pStyle w:val="ONUMFS"/>
        <w:numPr>
          <w:ilvl w:val="0"/>
          <w:numId w:val="0"/>
        </w:numPr>
        <w:rPr>
          <w:szCs w:val="22"/>
          <w:lang w:val="es-ES"/>
        </w:rPr>
      </w:pPr>
      <w:r w:rsidRPr="000D5434">
        <w:rPr>
          <w:szCs w:val="22"/>
          <w:lang w:val="es-ES"/>
        </w:rPr>
        <w:t>“La legislación y los programas relativos a la salvaguardia y la promoción del patrimonio vivo, que son ajenos al sistema de P.I., cumplen una útil función a la hora de complementar las leyes relativas a la protección en materia de P.I.”.</w:t>
      </w:r>
      <w:r w:rsidR="00B834A4" w:rsidRPr="000D5434">
        <w:rPr>
          <w:szCs w:val="22"/>
          <w:lang w:val="es-ES"/>
        </w:rPr>
        <w:t xml:space="preserve"> </w:t>
      </w:r>
      <w:r w:rsidRPr="000D5434">
        <w:rPr>
          <w:szCs w:val="22"/>
          <w:lang w:val="es-ES"/>
        </w:rPr>
        <w:t xml:space="preserve">“Otros sistemas jurídicos internacionales, como el </w:t>
      </w:r>
      <w:r w:rsidRPr="000D5434">
        <w:rPr>
          <w:i/>
          <w:szCs w:val="22"/>
          <w:lang w:val="es-ES"/>
        </w:rPr>
        <w:t xml:space="preserve">Convenio sobre la Diversidad Biológica </w:t>
      </w:r>
      <w:r w:rsidRPr="000D5434">
        <w:rPr>
          <w:szCs w:val="22"/>
          <w:lang w:val="es-ES"/>
        </w:rPr>
        <w:t>(1992) y la UNESCO, se ocupan de los aspectos relacionados con la conservación, conservación y salvaguardia de los conocimientos tradicionales en el contexto de sus respectivas políticas”.</w:t>
      </w:r>
      <w:r w:rsidRPr="000D5434">
        <w:rPr>
          <w:rStyle w:val="FootnoteReference"/>
          <w:szCs w:val="22"/>
          <w:lang w:val="es-ES"/>
        </w:rPr>
        <w:footnoteReference w:id="119"/>
      </w:r>
    </w:p>
    <w:p w:rsidR="00C0409B" w:rsidRPr="000D5434" w:rsidRDefault="00C0409B" w:rsidP="00A758A0">
      <w:pPr>
        <w:pStyle w:val="Heading1"/>
        <w:rPr>
          <w:b w:val="0"/>
          <w:bCs w:val="0"/>
          <w:szCs w:val="22"/>
          <w:lang w:val="es-ES"/>
        </w:rPr>
      </w:pPr>
      <w:bookmarkStart w:id="91" w:name="_Toc535585021"/>
      <w:r w:rsidRPr="000D5434">
        <w:rPr>
          <w:szCs w:val="22"/>
          <w:lang w:val="es-ES"/>
        </w:rPr>
        <w:t>Consentimiento fundamentado previo</w:t>
      </w:r>
      <w:bookmarkEnd w:id="91"/>
    </w:p>
    <w:p w:rsidR="00C0409B" w:rsidRPr="000D5434" w:rsidRDefault="00C0409B" w:rsidP="00103D66">
      <w:pPr>
        <w:pStyle w:val="ONUMFS"/>
        <w:numPr>
          <w:ilvl w:val="0"/>
          <w:numId w:val="0"/>
        </w:numPr>
        <w:rPr>
          <w:szCs w:val="22"/>
          <w:lang w:val="es-ES"/>
        </w:rPr>
      </w:pPr>
      <w:r w:rsidRPr="000D5434">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0D5434">
        <w:rPr>
          <w:i/>
          <w:szCs w:val="22"/>
          <w:lang w:val="es-ES"/>
        </w:rPr>
        <w:t>Convenio de Basilea sobre el control de los movimientos transfronterizos de los desechos peligrosos y su eliminación</w:t>
      </w:r>
      <w:r w:rsidRPr="000D5434">
        <w:rPr>
          <w:szCs w:val="22"/>
          <w:lang w:val="es-ES"/>
        </w:rPr>
        <w:t xml:space="preserve">, </w:t>
      </w:r>
      <w:r w:rsidR="005C21FD" w:rsidRPr="000D5434">
        <w:rPr>
          <w:szCs w:val="22"/>
          <w:lang w:val="es-ES"/>
        </w:rPr>
        <w:t xml:space="preserve">de 1989, </w:t>
      </w:r>
      <w:r w:rsidRPr="000D5434">
        <w:rPr>
          <w:szCs w:val="22"/>
          <w:lang w:val="es-ES"/>
        </w:rPr>
        <w:t xml:space="preserve">y en el </w:t>
      </w:r>
      <w:r w:rsidRPr="000D5434">
        <w:rPr>
          <w:i/>
          <w:szCs w:val="22"/>
          <w:lang w:val="es-ES"/>
        </w:rPr>
        <w:t xml:space="preserve">Convenio sobre la Diversidad Biológica </w:t>
      </w:r>
      <w:r w:rsidRPr="000D5434">
        <w:rPr>
          <w:szCs w:val="22"/>
          <w:lang w:val="es-ES"/>
        </w:rPr>
        <w:t>(1992).</w:t>
      </w:r>
    </w:p>
    <w:p w:rsidR="00C0409B" w:rsidRPr="000D5434" w:rsidRDefault="00C0409B" w:rsidP="00103D66">
      <w:pPr>
        <w:pStyle w:val="ONUMFS"/>
        <w:numPr>
          <w:ilvl w:val="0"/>
          <w:numId w:val="0"/>
        </w:numPr>
        <w:rPr>
          <w:szCs w:val="22"/>
          <w:lang w:val="es-ES"/>
        </w:rPr>
      </w:pPr>
      <w:r w:rsidRPr="000D5434">
        <w:rPr>
          <w:szCs w:val="22"/>
          <w:lang w:val="es-ES"/>
        </w:rPr>
        <w:t xml:space="preserve">En lo que respecta al acceso a recursos genéticos, en el artículo 15.5 del </w:t>
      </w:r>
      <w:r w:rsidRPr="000D5434">
        <w:rPr>
          <w:i/>
          <w:szCs w:val="22"/>
          <w:lang w:val="es-ES"/>
        </w:rPr>
        <w:t>CDB</w:t>
      </w:r>
      <w:r w:rsidRPr="000D5434">
        <w:rPr>
          <w:szCs w:val="22"/>
          <w:lang w:val="es-ES"/>
        </w:rPr>
        <w:t xml:space="preserve"> se estipula que “estará sometido al consentimiento fundamentado previo de la Parte Contratante que proporciona los recursos, a menos que esa Parte decida otra cosa”.</w:t>
      </w:r>
    </w:p>
    <w:p w:rsidR="00C0409B" w:rsidRPr="000D5434" w:rsidRDefault="00C0409B" w:rsidP="00103D66">
      <w:pPr>
        <w:pStyle w:val="ONUMFS"/>
        <w:numPr>
          <w:ilvl w:val="0"/>
          <w:numId w:val="0"/>
        </w:numPr>
        <w:rPr>
          <w:szCs w:val="22"/>
          <w:lang w:val="es-ES"/>
        </w:rPr>
      </w:pPr>
      <w:r w:rsidRPr="000D5434">
        <w:rPr>
          <w:szCs w:val="22"/>
          <w:lang w:val="es-ES"/>
        </w:rPr>
        <w:t xml:space="preserve">En el artículo 16.1) del </w:t>
      </w:r>
      <w:r w:rsidRPr="000D5434">
        <w:rPr>
          <w:i/>
          <w:szCs w:val="22"/>
          <w:lang w:val="es-ES"/>
        </w:rPr>
        <w:t>Protocolo de Nagoya sobre Acceso a los Recursos Genéticos y Participación Justa y Equitativa en los Beneficios que se Deriven de su Utilización al Convenio sobre la Diversidad Biológica</w:t>
      </w:r>
      <w:r w:rsidRPr="000D5434">
        <w:rPr>
          <w:szCs w:val="22"/>
          <w:lang w:val="es-ES"/>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0D5434" w:rsidRDefault="00C0409B" w:rsidP="00103D66">
      <w:pPr>
        <w:pStyle w:val="ONUMFS"/>
        <w:numPr>
          <w:ilvl w:val="0"/>
          <w:numId w:val="0"/>
        </w:numPr>
        <w:rPr>
          <w:szCs w:val="22"/>
          <w:lang w:val="es-ES"/>
        </w:rPr>
      </w:pPr>
      <w:r w:rsidRPr="000D5434">
        <w:rPr>
          <w:szCs w:val="22"/>
          <w:lang w:val="es-ES"/>
        </w:rPr>
        <w:t>El concepto tiene su origen en la ética médica, en cuyo marco el paciente tiene derecho a aceptar o rechazar un determinado tratamiento médico tras haber sido informado de todos los riesgos y beneficios del mismo.</w:t>
      </w:r>
      <w:r w:rsidR="00B834A4" w:rsidRPr="000D5434">
        <w:rPr>
          <w:szCs w:val="22"/>
          <w:lang w:val="es-ES"/>
        </w:rPr>
        <w:t xml:space="preserve"> </w:t>
      </w:r>
      <w:r w:rsidRPr="000D5434">
        <w:rPr>
          <w:szCs w:val="22"/>
          <w:lang w:val="es-ES"/>
        </w:rPr>
        <w:t xml:space="preserve">Por ejemplo, en el artículo 5 de la </w:t>
      </w:r>
      <w:r w:rsidRPr="000D5434">
        <w:rPr>
          <w:i/>
          <w:szCs w:val="22"/>
          <w:lang w:val="es-ES"/>
        </w:rPr>
        <w:t>Declaración Universal sobre el Genoma Humano y los Derechos Humanos</w:t>
      </w:r>
      <w:r w:rsidRPr="000D5434">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00B834A4" w:rsidRPr="000D5434">
        <w:rPr>
          <w:szCs w:val="22"/>
          <w:lang w:val="es-ES"/>
        </w:rPr>
        <w:t xml:space="preserve"> </w:t>
      </w:r>
      <w:r w:rsidRPr="000D5434">
        <w:rPr>
          <w:szCs w:val="22"/>
          <w:lang w:val="es-ES"/>
        </w:rPr>
        <w:t xml:space="preserve">En el artículo 6 de la </w:t>
      </w:r>
      <w:r w:rsidRPr="000D5434">
        <w:rPr>
          <w:i/>
          <w:szCs w:val="22"/>
          <w:lang w:val="es-ES"/>
        </w:rPr>
        <w:t>Declaración sobre Bioética y Derechos Humanos</w:t>
      </w:r>
      <w:r w:rsidRPr="000D5434">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0D5434" w:rsidRDefault="00C0409B" w:rsidP="00103D66">
      <w:pPr>
        <w:pStyle w:val="ONUMFS"/>
        <w:numPr>
          <w:ilvl w:val="0"/>
          <w:numId w:val="0"/>
        </w:numPr>
        <w:rPr>
          <w:szCs w:val="22"/>
          <w:lang w:val="es-ES"/>
        </w:rPr>
      </w:pPr>
      <w:r w:rsidRPr="000D5434">
        <w:rPr>
          <w:szCs w:val="22"/>
          <w:lang w:val="es-ES"/>
        </w:rPr>
        <w:lastRenderedPageBreak/>
        <w:t>El concepto ha sido acuñado con el fin de poner en vigor el principio general de la participación de los pueblos indígenas en la decisión, elaboración, ejecución y evaluación de los programas que los afecten.</w:t>
      </w:r>
      <w:r w:rsidRPr="000D5434">
        <w:rPr>
          <w:rStyle w:val="FootnoteReference"/>
          <w:szCs w:val="22"/>
          <w:lang w:val="es-ES"/>
        </w:rPr>
        <w:footnoteReference w:id="120"/>
      </w:r>
    </w:p>
    <w:p w:rsidR="00C0409B" w:rsidRPr="000D5434" w:rsidRDefault="00C0409B" w:rsidP="00103D66">
      <w:pPr>
        <w:pStyle w:val="ONUMFS"/>
        <w:numPr>
          <w:ilvl w:val="0"/>
          <w:numId w:val="0"/>
        </w:numPr>
        <w:rPr>
          <w:szCs w:val="22"/>
          <w:lang w:val="es-ES"/>
        </w:rPr>
      </w:pPr>
      <w:r w:rsidRPr="000D5434">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w:t>
      </w:r>
      <w:r w:rsidR="00B834A4" w:rsidRPr="000D5434">
        <w:rPr>
          <w:szCs w:val="22"/>
          <w:lang w:val="es-ES"/>
        </w:rPr>
        <w:t xml:space="preserve"> </w:t>
      </w:r>
      <w:r w:rsidRPr="000D5434">
        <w:rPr>
          <w:szCs w:val="22"/>
          <w:lang w:val="es-ES"/>
        </w:rPr>
        <w:t>Además se tiene en cuenta la realidad existente, especialmente cuando se trata de las grandes inversiones en el campo del desarrollo, que por lo general se deciden sin consultar a los pueblos indígenas.</w:t>
      </w:r>
      <w:r w:rsidR="00B834A4" w:rsidRPr="000D5434">
        <w:rPr>
          <w:szCs w:val="22"/>
          <w:lang w:val="es-ES"/>
        </w:rPr>
        <w:t xml:space="preserve"> </w:t>
      </w:r>
      <w:r w:rsidRPr="000D5434">
        <w:rPr>
          <w:szCs w:val="22"/>
          <w:lang w:val="es-ES"/>
        </w:rPr>
        <w:t>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0D5434" w:rsidRDefault="00C0409B" w:rsidP="00103D66">
      <w:pPr>
        <w:pStyle w:val="ONUMFS"/>
        <w:numPr>
          <w:ilvl w:val="0"/>
          <w:numId w:val="0"/>
        </w:numPr>
        <w:rPr>
          <w:szCs w:val="22"/>
          <w:lang w:val="es-ES"/>
        </w:rPr>
      </w:pPr>
      <w:r w:rsidRPr="000D5434">
        <w:rPr>
          <w:szCs w:val="22"/>
          <w:lang w:val="es-ES"/>
        </w:rPr>
        <w:t>El “consentimiento” es el proceso que se funda en relaciones de confianza y por cuyo medio se confiere la autorización.</w:t>
      </w:r>
      <w:r w:rsidR="00B834A4" w:rsidRPr="000D5434">
        <w:rPr>
          <w:szCs w:val="22"/>
          <w:lang w:val="es-ES"/>
        </w:rPr>
        <w:t xml:space="preserve"> </w:t>
      </w:r>
      <w:r w:rsidRPr="000D5434">
        <w:rPr>
          <w:szCs w:val="22"/>
          <w:lang w:val="es-ES"/>
        </w:rPr>
        <w:t>El requisito del consentimiento fundamentado obliga a explicar con claridad los posibles beneficios, consecuencias y uso futuro [de las expresiones culturales tradicionales], así como a exponer las cláusulas del correspondiente contrato.</w:t>
      </w:r>
      <w:r w:rsidR="00B834A4" w:rsidRPr="000D5434">
        <w:rPr>
          <w:szCs w:val="22"/>
          <w:lang w:val="es-ES"/>
        </w:rPr>
        <w:t xml:space="preserve"> </w:t>
      </w:r>
      <w:r w:rsidRPr="000D5434">
        <w:rPr>
          <w:szCs w:val="22"/>
          <w:lang w:val="es-ES"/>
        </w:rPr>
        <w:t>Es preciso que el proceso sea totalmente transparente y que los pueblos indígenas puedan entender sin resquicio de duda el lenguaje empleado.</w:t>
      </w:r>
      <w:r w:rsidRPr="000D5434">
        <w:rPr>
          <w:rStyle w:val="FootnoteReference"/>
          <w:szCs w:val="22"/>
          <w:lang w:val="es-ES"/>
        </w:rPr>
        <w:footnoteReference w:id="121"/>
      </w:r>
    </w:p>
    <w:p w:rsidR="00C0409B" w:rsidRPr="000D5434" w:rsidRDefault="00C0409B" w:rsidP="00A758A0">
      <w:pPr>
        <w:pStyle w:val="Heading1"/>
        <w:rPr>
          <w:b w:val="0"/>
          <w:bCs w:val="0"/>
          <w:kern w:val="36"/>
          <w:szCs w:val="22"/>
          <w:lang w:val="es-ES"/>
        </w:rPr>
      </w:pPr>
      <w:bookmarkStart w:id="92" w:name="_Toc535585022"/>
      <w:r w:rsidRPr="000D5434">
        <w:rPr>
          <w:kern w:val="36"/>
          <w:szCs w:val="22"/>
          <w:lang w:val="es-ES"/>
        </w:rPr>
        <w:t>Estado de la técnica</w:t>
      </w:r>
      <w:bookmarkEnd w:id="92"/>
    </w:p>
    <w:p w:rsidR="00C0409B" w:rsidRPr="000D5434" w:rsidRDefault="00C0409B" w:rsidP="00103D66">
      <w:pPr>
        <w:pStyle w:val="ONUMFS"/>
        <w:numPr>
          <w:ilvl w:val="0"/>
          <w:numId w:val="0"/>
        </w:numPr>
        <w:rPr>
          <w:szCs w:val="22"/>
          <w:lang w:val="es-ES"/>
        </w:rPr>
      </w:pPr>
      <w:r w:rsidRPr="000D5434">
        <w:rPr>
          <w:szCs w:val="22"/>
          <w:lang w:val="es-ES"/>
        </w:rPr>
        <w:t>En términos generales, el estado de la técnica es toda la información que ya existía antes de la presentación de la solicitud o la fecha de prioridad de una solicitud de patente, en forma escrita o divulgada oralmente.</w:t>
      </w:r>
      <w:r w:rsidR="00B834A4" w:rsidRPr="000D5434">
        <w:rPr>
          <w:szCs w:val="22"/>
          <w:lang w:val="es-ES"/>
        </w:rPr>
        <w:t xml:space="preserve"> </w:t>
      </w:r>
      <w:r w:rsidRPr="000D5434">
        <w:rPr>
          <w:szCs w:val="22"/>
          <w:lang w:val="es-ES"/>
        </w:rPr>
        <w:t>Algunos instrumentos jurídicos distinguen entre publicación impresa, divulgación oral y utilización anterior y en qué momento se produjeron tales divulgaciones o sacaron a la luz tales publicaciones.</w:t>
      </w:r>
      <w:r w:rsidRPr="000D5434">
        <w:rPr>
          <w:rStyle w:val="FootnoteReference"/>
          <w:szCs w:val="22"/>
          <w:lang w:val="es-ES"/>
        </w:rPr>
        <w:footnoteReference w:id="122"/>
      </w:r>
    </w:p>
    <w:p w:rsidR="00C0409B" w:rsidRPr="000D5434" w:rsidRDefault="00C0409B" w:rsidP="00103D66">
      <w:pPr>
        <w:pStyle w:val="ONUMFS"/>
        <w:numPr>
          <w:ilvl w:val="0"/>
          <w:numId w:val="0"/>
        </w:numPr>
        <w:rPr>
          <w:szCs w:val="22"/>
          <w:lang w:val="es-ES"/>
        </w:rPr>
      </w:pPr>
      <w:r w:rsidRPr="000D5434">
        <w:rPr>
          <w:szCs w:val="22"/>
          <w:lang w:val="es-ES"/>
        </w:rPr>
        <w:t xml:space="preserve">A los efectos del PCT, en la </w:t>
      </w:r>
      <w:r w:rsidR="00D87BB6" w:rsidRPr="000D5434">
        <w:rPr>
          <w:szCs w:val="22"/>
          <w:lang w:val="es-ES"/>
        </w:rPr>
        <w:t>Regla </w:t>
      </w:r>
      <w:r w:rsidRPr="000D5434">
        <w:rPr>
          <w:szCs w:val="22"/>
          <w:lang w:val="es-ES"/>
        </w:rPr>
        <w:t>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0D5434" w:rsidRDefault="00C0409B" w:rsidP="00103D66">
      <w:pPr>
        <w:pStyle w:val="ONUMFS"/>
        <w:numPr>
          <w:ilvl w:val="0"/>
          <w:numId w:val="0"/>
        </w:numPr>
        <w:rPr>
          <w:szCs w:val="22"/>
          <w:lang w:val="es-ES"/>
        </w:rPr>
      </w:pPr>
      <w:r w:rsidRPr="000D5434">
        <w:rPr>
          <w:szCs w:val="22"/>
          <w:lang w:val="es-ES"/>
        </w:rPr>
        <w:t xml:space="preserve">En el caso de Europa, en el artículo 54.2 del </w:t>
      </w:r>
      <w:r w:rsidRPr="000D5434">
        <w:rPr>
          <w:i/>
          <w:szCs w:val="22"/>
          <w:lang w:val="es-ES"/>
        </w:rPr>
        <w:t>Convenio sobre la Patente Europea</w:t>
      </w:r>
      <w:r w:rsidRPr="000D5434">
        <w:rPr>
          <w:szCs w:val="22"/>
          <w:lang w:val="es-ES"/>
        </w:rPr>
        <w:t xml:space="preserve"> se define el término equivalente:</w:t>
      </w:r>
      <w:r w:rsidR="00B834A4" w:rsidRPr="000D5434">
        <w:rPr>
          <w:szCs w:val="22"/>
          <w:lang w:val="es-ES"/>
        </w:rPr>
        <w:t xml:space="preserve"> </w:t>
      </w:r>
      <w:r w:rsidRPr="000D5434">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sidRPr="000D5434">
        <w:rPr>
          <w:szCs w:val="22"/>
          <w:lang w:val="es-ES"/>
        </w:rPr>
        <w:t xml:space="preserve"> </w:t>
      </w:r>
      <w:r w:rsidRPr="000D5434">
        <w:rPr>
          <w:szCs w:val="22"/>
          <w:lang w:val="es-ES"/>
        </w:rPr>
        <w:t xml:space="preserve">En referencia a esta disposición del Convenio sobre la Patente Europea, en las </w:t>
      </w:r>
      <w:r w:rsidRPr="000D5434">
        <w:rPr>
          <w:i/>
          <w:szCs w:val="22"/>
          <w:lang w:val="es-ES"/>
        </w:rPr>
        <w:t>Directrices de Examen de la Oficina Europea de Patentes</w:t>
      </w:r>
      <w:r w:rsidRPr="000D5434">
        <w:rPr>
          <w:szCs w:val="22"/>
          <w:lang w:val="es-ES"/>
        </w:rPr>
        <w:t xml:space="preserve"> (OEP) se señala que “[…] conviene tener en cuenta que esta definición es amplia.</w:t>
      </w:r>
      <w:r w:rsidR="00B834A4" w:rsidRPr="000D5434">
        <w:rPr>
          <w:szCs w:val="22"/>
          <w:lang w:val="es-ES"/>
        </w:rPr>
        <w:t xml:space="preserve"> </w:t>
      </w:r>
      <w:r w:rsidRPr="000D5434">
        <w:rPr>
          <w:szCs w:val="22"/>
          <w:lang w:val="es-ES"/>
        </w:rPr>
        <w:t>No se establece restricción alguna en lo que respecta al lugar geográfico, la forma y el idioma en que el estado de la técnica fue puesto a disposición del público.</w:t>
      </w:r>
      <w:r w:rsidR="00B834A4" w:rsidRPr="000D5434">
        <w:rPr>
          <w:szCs w:val="22"/>
          <w:lang w:val="es-ES"/>
        </w:rPr>
        <w:t xml:space="preserve"> </w:t>
      </w:r>
      <w:r w:rsidRPr="000D5434">
        <w:rPr>
          <w:szCs w:val="22"/>
          <w:lang w:val="es-ES"/>
        </w:rPr>
        <w:t xml:space="preserve">Por otra parte, tampoco se ha establecido ningún límite de </w:t>
      </w:r>
      <w:r w:rsidRPr="000D5434">
        <w:rPr>
          <w:szCs w:val="22"/>
          <w:lang w:val="es-ES"/>
        </w:rPr>
        <w:lastRenderedPageBreak/>
        <w:t>antigüedad con respecto a los documentos u otras fuentes de información.</w:t>
      </w:r>
      <w:r w:rsidR="00B834A4" w:rsidRPr="000D5434">
        <w:rPr>
          <w:szCs w:val="22"/>
          <w:lang w:val="es-ES"/>
        </w:rPr>
        <w:t xml:space="preserve"> </w:t>
      </w:r>
      <w:r w:rsidR="00992FE7" w:rsidRPr="000D5434">
        <w:rPr>
          <w:szCs w:val="22"/>
          <w:lang w:val="es-ES"/>
        </w:rPr>
        <w:t>Sin embargo, e</w:t>
      </w:r>
      <w:r w:rsidRPr="000D5434">
        <w:rPr>
          <w:szCs w:val="22"/>
          <w:lang w:val="es-ES"/>
        </w:rPr>
        <w:t xml:space="preserve">xisten ciertas restricciones particulares” (véase </w:t>
      </w:r>
      <w:r w:rsidR="00992FE7" w:rsidRPr="000D5434">
        <w:rPr>
          <w:szCs w:val="22"/>
          <w:lang w:val="es-ES"/>
        </w:rPr>
        <w:t xml:space="preserve">G a </w:t>
      </w:r>
      <w:r w:rsidRPr="000D5434">
        <w:rPr>
          <w:szCs w:val="22"/>
          <w:lang w:val="es-ES"/>
        </w:rPr>
        <w:t>V</w:t>
      </w:r>
      <w:r w:rsidR="00992FE7" w:rsidRPr="000D5434">
        <w:rPr>
          <w:szCs w:val="22"/>
          <w:lang w:val="es-ES"/>
        </w:rPr>
        <w:t>)</w:t>
      </w:r>
      <w:r w:rsidRPr="000D5434">
        <w:rPr>
          <w:szCs w:val="22"/>
          <w:lang w:val="es-ES"/>
        </w:rPr>
        <w:t>.</w:t>
      </w:r>
    </w:p>
    <w:p w:rsidR="00992FE7" w:rsidRPr="000D5434" w:rsidRDefault="00C0409B" w:rsidP="00103D66">
      <w:pPr>
        <w:pStyle w:val="ONUMFS"/>
        <w:numPr>
          <w:ilvl w:val="0"/>
          <w:numId w:val="0"/>
        </w:numPr>
        <w:rPr>
          <w:szCs w:val="22"/>
          <w:lang w:val="es-ES"/>
        </w:rPr>
      </w:pPr>
      <w:r w:rsidRPr="000D5434">
        <w:rPr>
          <w:szCs w:val="22"/>
          <w:lang w:val="es-ES"/>
        </w:rPr>
        <w:t>En el artículo 102 del título 35 del Código de los Estados Unidos</w:t>
      </w:r>
      <w:r w:rsidR="00992FE7" w:rsidRPr="000D5434">
        <w:rPr>
          <w:szCs w:val="22"/>
          <w:lang w:val="es-ES"/>
        </w:rPr>
        <w:t xml:space="preserve"> de América</w:t>
      </w:r>
      <w:r w:rsidRPr="000D5434">
        <w:rPr>
          <w:szCs w:val="22"/>
          <w:lang w:val="es-ES"/>
        </w:rPr>
        <w:t xml:space="preserve">, el término “estado de la técnica” se define indirectamente mediante el concepto de novedad como </w:t>
      </w:r>
      <w:r w:rsidR="00992FE7" w:rsidRPr="000D5434">
        <w:rPr>
          <w:szCs w:val="22"/>
          <w:lang w:val="es-ES"/>
        </w:rPr>
        <w:t>toda materia que haya sido patentada o esté descrita en una publicación impresa, o sea de uso público, haya estado en venta o de otra forma disponible al público antes de la fecha de presentación de la solicitud correspondiente a la invención reivindicada;</w:t>
      </w:r>
      <w:r w:rsidR="00B834A4" w:rsidRPr="000D5434">
        <w:rPr>
          <w:szCs w:val="22"/>
          <w:lang w:val="es-ES"/>
        </w:rPr>
        <w:t xml:space="preserve"> </w:t>
      </w:r>
      <w:r w:rsidR="00992FE7" w:rsidRPr="000D5434">
        <w:rPr>
          <w:szCs w:val="22"/>
          <w:lang w:val="es-ES"/>
        </w:rPr>
        <w:t>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00992FE7" w:rsidRPr="000D5434">
        <w:rPr>
          <w:rStyle w:val="FootnoteReference"/>
          <w:szCs w:val="22"/>
          <w:lang w:val="es-ES"/>
        </w:rPr>
        <w:footnoteReference w:id="123"/>
      </w:r>
    </w:p>
    <w:p w:rsidR="00C0409B" w:rsidRPr="000D5434" w:rsidRDefault="00C0409B" w:rsidP="00103D66">
      <w:pPr>
        <w:pStyle w:val="ONUMFS"/>
        <w:numPr>
          <w:ilvl w:val="0"/>
          <w:numId w:val="0"/>
        </w:numPr>
        <w:rPr>
          <w:szCs w:val="22"/>
          <w:lang w:val="es-ES"/>
        </w:rPr>
      </w:pPr>
      <w:r w:rsidRPr="000D5434">
        <w:rPr>
          <w:szCs w:val="22"/>
          <w:lang w:val="es-ES"/>
        </w:rPr>
        <w:t>En el artículo 29 de la Ley de Patentes del Japón, el término “estado de la técnica” se define como:</w:t>
      </w:r>
      <w:r w:rsidR="00B834A4" w:rsidRPr="000D5434">
        <w:rPr>
          <w:szCs w:val="22"/>
          <w:lang w:val="es-ES"/>
        </w:rPr>
        <w:t xml:space="preserve"> </w:t>
      </w:r>
      <w:r w:rsidRPr="000D5434">
        <w:rPr>
          <w:szCs w:val="22"/>
          <w:lang w:val="es-ES"/>
        </w:rPr>
        <w:t>“i) invenciones que fueran notoriamente conocidas en el Japón o en otro país antes de la presentación de la solicitud de patente;</w:t>
      </w:r>
      <w:r w:rsidR="00B834A4" w:rsidRPr="000D5434">
        <w:rPr>
          <w:szCs w:val="22"/>
          <w:lang w:val="es-ES"/>
        </w:rPr>
        <w:t xml:space="preserve"> </w:t>
      </w:r>
      <w:r w:rsidRPr="000D5434">
        <w:rPr>
          <w:szCs w:val="22"/>
          <w:lang w:val="es-ES"/>
        </w:rPr>
        <w:t>ii) invenciones que hayan sido elaboradas públicamente en el Japón o en otro país antes de la presentación de la solicitud de patente;</w:t>
      </w:r>
      <w:r w:rsidR="00B834A4" w:rsidRPr="000D5434">
        <w:rPr>
          <w:szCs w:val="22"/>
          <w:lang w:val="es-ES"/>
        </w:rPr>
        <w:t xml:space="preserve"> </w:t>
      </w:r>
      <w:r w:rsidRPr="000D5434">
        <w:rPr>
          <w:szCs w:val="22"/>
          <w:lang w:val="es-ES"/>
        </w:rPr>
        <w:t>o iii) invenciones que se hayan descrito en una publicación divulgada o invenciones que hayan sido puestas a disposición del público mediante líneas de telecomunicación electrónica en el Japón o en otro país antes de la presentación de la solicitud de patente”.</w:t>
      </w:r>
      <w:r w:rsidR="00B834A4" w:rsidRPr="000D5434">
        <w:rPr>
          <w:szCs w:val="22"/>
          <w:lang w:val="es-ES"/>
        </w:rPr>
        <w:t xml:space="preserve"> </w:t>
      </w:r>
      <w:r w:rsidRPr="000D5434">
        <w:rPr>
          <w:szCs w:val="22"/>
          <w:lang w:val="es-ES"/>
        </w:rPr>
        <w:t>(Traducción de la Oficina Internacional).</w:t>
      </w:r>
      <w:r w:rsidR="00992FE7" w:rsidRPr="000D5434">
        <w:rPr>
          <w:vertAlign w:val="superscript"/>
          <w:lang w:val="es-ES" w:eastAsia="en-US" w:bidi="th-TH"/>
        </w:rPr>
        <w:t xml:space="preserve"> </w:t>
      </w:r>
      <w:r w:rsidR="00992FE7" w:rsidRPr="000D5434">
        <w:rPr>
          <w:szCs w:val="22"/>
          <w:vertAlign w:val="superscript"/>
          <w:lang w:val="es-ES"/>
        </w:rPr>
        <w:footnoteReference w:id="124"/>
      </w:r>
    </w:p>
    <w:p w:rsidR="00C0409B" w:rsidRPr="000D5434" w:rsidRDefault="00C0409B" w:rsidP="00A758A0">
      <w:pPr>
        <w:pStyle w:val="Heading1"/>
        <w:rPr>
          <w:b w:val="0"/>
          <w:bCs w:val="0"/>
          <w:szCs w:val="22"/>
          <w:lang w:val="es-ES"/>
        </w:rPr>
      </w:pPr>
      <w:bookmarkStart w:id="93" w:name="_Toc535585023"/>
      <w:r w:rsidRPr="000D5434">
        <w:rPr>
          <w:szCs w:val="22"/>
          <w:lang w:val="es-ES"/>
        </w:rPr>
        <w:t>Protección</w:t>
      </w:r>
      <w:bookmarkEnd w:id="93"/>
    </w:p>
    <w:p w:rsidR="00C0409B" w:rsidRPr="000D5434" w:rsidRDefault="00C0409B" w:rsidP="00103D66">
      <w:pPr>
        <w:pStyle w:val="ONUMFS"/>
        <w:numPr>
          <w:ilvl w:val="0"/>
          <w:numId w:val="0"/>
        </w:numPr>
        <w:rPr>
          <w:szCs w:val="22"/>
          <w:lang w:val="es-ES"/>
        </w:rPr>
      </w:pPr>
      <w:r w:rsidRPr="000D5434">
        <w:rPr>
          <w:szCs w:val="22"/>
          <w:lang w:val="es-ES"/>
        </w:rPr>
        <w:t>En el contexto del CIG, por “protección” se entiende generalmente la protección de los conocimientos tradicionales y las expresiones culturales tradicionales contra algún tipo de utilización no autorizada por terceros.</w:t>
      </w:r>
      <w:r w:rsidRPr="000D5434">
        <w:rPr>
          <w:rStyle w:val="FootnoteReference"/>
          <w:szCs w:val="22"/>
          <w:lang w:val="es-ES"/>
        </w:rPr>
        <w:footnoteReference w:id="125"/>
      </w:r>
      <w:r w:rsidR="00B834A4" w:rsidRPr="000D5434">
        <w:rPr>
          <w:szCs w:val="22"/>
          <w:lang w:val="es-ES"/>
        </w:rPr>
        <w:t xml:space="preserve"> </w:t>
      </w:r>
      <w:r w:rsidRPr="000D5434">
        <w:rPr>
          <w:szCs w:val="22"/>
          <w:lang w:val="es-ES"/>
        </w:rPr>
        <w:t>Se han desarrollado y aplicado dos formas de protección.</w:t>
      </w:r>
    </w:p>
    <w:p w:rsidR="00C0409B" w:rsidRPr="000D5434" w:rsidRDefault="00C0409B" w:rsidP="00103D66">
      <w:pPr>
        <w:pStyle w:val="ONUMFS"/>
        <w:numPr>
          <w:ilvl w:val="0"/>
          <w:numId w:val="0"/>
        </w:numPr>
        <w:rPr>
          <w:szCs w:val="22"/>
          <w:lang w:val="es-ES"/>
        </w:rPr>
      </w:pPr>
      <w:r w:rsidRPr="000D5434">
        <w:rPr>
          <w:i/>
          <w:iCs/>
          <w:szCs w:val="22"/>
          <w:u w:val="single"/>
          <w:lang w:val="es-ES"/>
        </w:rPr>
        <w:t>Protección positiva</w:t>
      </w:r>
    </w:p>
    <w:p w:rsidR="00C0409B" w:rsidRPr="000D5434" w:rsidRDefault="00C0409B" w:rsidP="00103D66">
      <w:pPr>
        <w:pStyle w:val="ONUMFS"/>
        <w:numPr>
          <w:ilvl w:val="0"/>
          <w:numId w:val="0"/>
        </w:numPr>
        <w:rPr>
          <w:szCs w:val="22"/>
          <w:lang w:val="es-ES"/>
        </w:rPr>
      </w:pPr>
      <w:r w:rsidRPr="000D5434">
        <w:rPr>
          <w:szCs w:val="22"/>
          <w:lang w:val="es-ES"/>
        </w:rPr>
        <w:t>Se han estudiado dos aspectos de la protección positiva de los conocimientos tradicionales y las expresiones culturales tradicionales por medio de los derechos de propiedad intelectual;</w:t>
      </w:r>
      <w:r w:rsidR="00B834A4" w:rsidRPr="000D5434">
        <w:rPr>
          <w:szCs w:val="22"/>
          <w:lang w:val="es-ES"/>
        </w:rPr>
        <w:t xml:space="preserve"> </w:t>
      </w:r>
      <w:r w:rsidRPr="000D5434">
        <w:rPr>
          <w:szCs w:val="22"/>
          <w:lang w:val="es-ES"/>
        </w:rPr>
        <w:t>el primero de ellos se aplica a la protección que impide el uso no autorizado, mientras el segundo guarda relación con la explotación activa de los conocimientos tradicionales y las expresiones culturales tradicionales por la propia comunidad de origen.</w:t>
      </w:r>
      <w:r w:rsidR="00B834A4" w:rsidRPr="000D5434">
        <w:rPr>
          <w:szCs w:val="22"/>
          <w:lang w:val="es-ES"/>
        </w:rPr>
        <w:t xml:space="preserve"> </w:t>
      </w:r>
      <w:r w:rsidRPr="000D5434">
        <w:rPr>
          <w:szCs w:val="22"/>
          <w:lang w:val="es-ES"/>
        </w:rPr>
        <w:t>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0D5434">
        <w:rPr>
          <w:rStyle w:val="FootnoteReference"/>
          <w:szCs w:val="22"/>
          <w:lang w:val="es-ES"/>
        </w:rPr>
        <w:footnoteReference w:id="126"/>
      </w:r>
      <w:r w:rsidR="00B834A4" w:rsidRPr="000D5434">
        <w:rPr>
          <w:szCs w:val="22"/>
          <w:lang w:val="es-ES"/>
        </w:rPr>
        <w:t xml:space="preserve"> </w:t>
      </w:r>
      <w:r w:rsidRPr="000D5434">
        <w:rPr>
          <w:szCs w:val="22"/>
          <w:lang w:val="es-ES"/>
        </w:rPr>
        <w:t>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w:t>
      </w:r>
      <w:r w:rsidR="00B834A4" w:rsidRPr="000D5434">
        <w:rPr>
          <w:szCs w:val="22"/>
          <w:lang w:val="es-ES"/>
        </w:rPr>
        <w:t xml:space="preserve"> </w:t>
      </w:r>
      <w:r w:rsidRPr="000D5434">
        <w:rPr>
          <w:szCs w:val="22"/>
          <w:lang w:val="es-ES"/>
        </w:rPr>
        <w:t xml:space="preserve">sin embargo, los poseedores de conocimientos tradicionales y de expresiones culturales </w:t>
      </w:r>
      <w:r w:rsidRPr="000D5434">
        <w:rPr>
          <w:szCs w:val="22"/>
          <w:lang w:val="es-ES"/>
        </w:rPr>
        <w:lastRenderedPageBreak/>
        <w:t>tradicionales también podrán utilizar ese tipo de protección para establecer sus propias empresas sobre la base de tales conocimientos.</w:t>
      </w:r>
      <w:r w:rsidRPr="000D5434">
        <w:rPr>
          <w:rStyle w:val="FootnoteReference"/>
          <w:szCs w:val="22"/>
          <w:lang w:val="es-ES"/>
        </w:rPr>
        <w:footnoteReference w:id="127"/>
      </w:r>
    </w:p>
    <w:p w:rsidR="00C0409B" w:rsidRPr="000D5434" w:rsidRDefault="00C0409B" w:rsidP="00B16297">
      <w:pPr>
        <w:pStyle w:val="ONUMFS"/>
        <w:numPr>
          <w:ilvl w:val="0"/>
          <w:numId w:val="0"/>
        </w:numPr>
        <w:rPr>
          <w:i/>
          <w:szCs w:val="22"/>
          <w:u w:val="single"/>
          <w:lang w:val="es-ES"/>
        </w:rPr>
      </w:pPr>
      <w:r w:rsidRPr="000D5434">
        <w:rPr>
          <w:i/>
          <w:szCs w:val="22"/>
          <w:u w:val="single"/>
          <w:lang w:val="es-ES"/>
        </w:rPr>
        <w:t>Protección preventiva</w:t>
      </w:r>
    </w:p>
    <w:p w:rsidR="00C0409B" w:rsidRPr="000D5434" w:rsidRDefault="00C0409B" w:rsidP="00B16297">
      <w:pPr>
        <w:pStyle w:val="ONUMFS"/>
        <w:numPr>
          <w:ilvl w:val="0"/>
          <w:numId w:val="0"/>
        </w:numPr>
        <w:rPr>
          <w:szCs w:val="22"/>
          <w:lang w:val="es-ES"/>
        </w:rPr>
      </w:pPr>
      <w:r w:rsidRPr="000D5434">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0D5434">
        <w:rPr>
          <w:rStyle w:val="FootnoteReference"/>
          <w:szCs w:val="22"/>
          <w:lang w:val="es-ES"/>
        </w:rPr>
        <w:footnoteReference w:id="128"/>
      </w:r>
      <w:r w:rsidR="00B834A4" w:rsidRPr="000D5434">
        <w:rPr>
          <w:szCs w:val="22"/>
          <w:lang w:val="es-ES"/>
        </w:rPr>
        <w:t xml:space="preserve"> </w:t>
      </w:r>
      <w:r w:rsidRPr="000D5434">
        <w:rPr>
          <w:szCs w:val="22"/>
          <w:lang w:val="es-ES"/>
        </w:rPr>
        <w:t>La protección preventiva de los conocimientos tradicionales prevé medidas para impedir o invalidar patentes que reivindican ilegítimamente como invenciones conocimientos tradicionales preexistentes.</w:t>
      </w:r>
    </w:p>
    <w:p w:rsidR="00C0409B" w:rsidRPr="000D5434" w:rsidRDefault="00C0409B" w:rsidP="00A758A0">
      <w:pPr>
        <w:pStyle w:val="Heading1"/>
        <w:rPr>
          <w:b w:val="0"/>
          <w:bCs w:val="0"/>
          <w:szCs w:val="22"/>
          <w:lang w:val="es-ES"/>
        </w:rPr>
      </w:pPr>
      <w:bookmarkStart w:id="94" w:name="_Toc535585024"/>
      <w:r w:rsidRPr="000D5434">
        <w:rPr>
          <w:szCs w:val="22"/>
          <w:lang w:val="es-ES"/>
        </w:rPr>
        <w:t>Protocolo</w:t>
      </w:r>
      <w:bookmarkEnd w:id="94"/>
    </w:p>
    <w:p w:rsidR="00C0409B" w:rsidRPr="000D5434" w:rsidRDefault="00C0409B" w:rsidP="00103D66">
      <w:pPr>
        <w:pStyle w:val="ONUMFS"/>
        <w:numPr>
          <w:ilvl w:val="0"/>
          <w:numId w:val="0"/>
        </w:numPr>
        <w:rPr>
          <w:szCs w:val="22"/>
          <w:lang w:val="es-ES"/>
        </w:rPr>
      </w:pPr>
      <w:r w:rsidRPr="000D5434">
        <w:rPr>
          <w:szCs w:val="22"/>
          <w:lang w:val="es-ES"/>
        </w:rPr>
        <w:t>Los protocolos son acuerdos jurídicos, códigos de conducta, directrices o repertorios de prácticas en que se indica la conducta que debe adoptarse en determinadas circunstancias.</w:t>
      </w:r>
      <w:r w:rsidR="00B834A4" w:rsidRPr="000D5434">
        <w:rPr>
          <w:szCs w:val="22"/>
          <w:lang w:val="es-ES"/>
        </w:rPr>
        <w:t xml:space="preserve"> </w:t>
      </w:r>
      <w:r w:rsidRPr="000D5434">
        <w:rPr>
          <w:szCs w:val="22"/>
          <w:lang w:val="es-ES"/>
        </w:rPr>
        <w:t>Pueden utilizarse para instaurar normas comunes en torno a la difusión de conocimientos y su utilización por terceros o para fomentar el cambio de actitudes y establecer nuevas normas.</w:t>
      </w:r>
      <w:r w:rsidR="00B834A4" w:rsidRPr="000D5434">
        <w:rPr>
          <w:szCs w:val="22"/>
          <w:lang w:val="es-ES"/>
        </w:rPr>
        <w:t xml:space="preserve"> </w:t>
      </w:r>
      <w:r w:rsidRPr="000D5434">
        <w:rPr>
          <w:szCs w:val="22"/>
          <w:lang w:val="es-ES"/>
        </w:rPr>
        <w:t>Por lo general, los protocolos son flexibles y pueden variar con el tiempo.</w:t>
      </w:r>
      <w:r w:rsidR="00B834A4" w:rsidRPr="000D5434">
        <w:rPr>
          <w:szCs w:val="22"/>
          <w:lang w:val="es-ES"/>
        </w:rPr>
        <w:t xml:space="preserve"> </w:t>
      </w:r>
      <w:r w:rsidRPr="000D5434">
        <w:rPr>
          <w:szCs w:val="22"/>
          <w:lang w:val="es-ES"/>
        </w:rPr>
        <w:t>Pueden aplicarse para lograr determinados objetivos que no hayan podido alcanzarse mediante otros instrumentos legislativos.</w:t>
      </w:r>
      <w:r w:rsidR="00B834A4" w:rsidRPr="000D5434">
        <w:rPr>
          <w:szCs w:val="22"/>
          <w:lang w:val="es-ES"/>
        </w:rPr>
        <w:t xml:space="preserve"> </w:t>
      </w:r>
      <w:r w:rsidRPr="000D5434">
        <w:rPr>
          <w:szCs w:val="22"/>
          <w:lang w:val="es-ES"/>
        </w:rPr>
        <w:t>En tanto que directrices oficiales u oficiosas de conducta, los protocolos pueden contribuir a estrechar vínculos y a crear otros nuevos.</w:t>
      </w:r>
      <w:r w:rsidRPr="000D5434">
        <w:rPr>
          <w:rStyle w:val="FootnoteReference"/>
          <w:szCs w:val="22"/>
          <w:lang w:val="es-ES"/>
        </w:rPr>
        <w:footnoteReference w:id="129"/>
      </w:r>
    </w:p>
    <w:p w:rsidR="00C0409B" w:rsidRPr="000D5434" w:rsidRDefault="00C0409B" w:rsidP="00A758A0">
      <w:pPr>
        <w:pStyle w:val="Heading1"/>
        <w:rPr>
          <w:b w:val="0"/>
          <w:bCs w:val="0"/>
          <w:szCs w:val="22"/>
          <w:lang w:val="es-ES"/>
        </w:rPr>
      </w:pPr>
      <w:bookmarkStart w:id="95" w:name="_Toc535585025"/>
      <w:r w:rsidRPr="000D5434">
        <w:rPr>
          <w:szCs w:val="22"/>
          <w:lang w:val="es-ES"/>
        </w:rPr>
        <w:t>Proveedores y beneficiarios</w:t>
      </w:r>
      <w:r w:rsidR="0009484E" w:rsidRPr="000D5434">
        <w:rPr>
          <w:szCs w:val="22"/>
          <w:lang w:val="es-ES"/>
        </w:rPr>
        <w:t xml:space="preserve"> de recursos genéticos</w:t>
      </w:r>
      <w:bookmarkEnd w:id="95"/>
    </w:p>
    <w:p w:rsidR="00C0409B" w:rsidRPr="000D5434" w:rsidRDefault="00C0409B" w:rsidP="00103D66">
      <w:pPr>
        <w:pStyle w:val="ONUMFS"/>
        <w:numPr>
          <w:ilvl w:val="0"/>
          <w:numId w:val="0"/>
        </w:numPr>
        <w:rPr>
          <w:szCs w:val="22"/>
          <w:lang w:val="es-ES"/>
        </w:rPr>
      </w:pPr>
      <w:r w:rsidRPr="000D5434">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w:t>
      </w:r>
      <w:r w:rsidR="00B834A4" w:rsidRPr="000D5434">
        <w:rPr>
          <w:szCs w:val="22"/>
          <w:lang w:val="es-ES"/>
        </w:rPr>
        <w:t xml:space="preserve"> </w:t>
      </w:r>
      <w:r w:rsidRPr="000D5434">
        <w:rPr>
          <w:szCs w:val="22"/>
          <w:lang w:val="es-ES"/>
        </w:rPr>
        <w:t>el comercio o la industria (por ejemplo, empresas farmacéuticas, alimentarias y agrícolas, de horticultura y de cosméticos);</w:t>
      </w:r>
      <w:r w:rsidR="00B834A4" w:rsidRPr="000D5434">
        <w:rPr>
          <w:szCs w:val="22"/>
          <w:lang w:val="es-ES"/>
        </w:rPr>
        <w:t xml:space="preserve"> </w:t>
      </w:r>
      <w:r w:rsidRPr="000D5434">
        <w:rPr>
          <w:szCs w:val="22"/>
          <w:lang w:val="es-ES"/>
        </w:rPr>
        <w:t>instituciones de investigación (como las universidades, los bancos de genes, los jardines botánicos y las colecciones microbianas);</w:t>
      </w:r>
      <w:r w:rsidR="00B834A4" w:rsidRPr="000D5434">
        <w:rPr>
          <w:szCs w:val="22"/>
          <w:lang w:val="es-ES"/>
        </w:rPr>
        <w:t xml:space="preserve"> </w:t>
      </w:r>
      <w:r w:rsidRPr="000D5434">
        <w:rPr>
          <w:szCs w:val="22"/>
          <w:lang w:val="es-ES"/>
        </w:rPr>
        <w:t>los custodios de los recursos genéticos y los poseedores de conocimientos tradicionales (por ejemplo, las asociaciones de curanderos, los pueblos indígenas o las comunidades locales, las organizaciones de pueblos y las comunidades agrícolas tradicionales);</w:t>
      </w:r>
      <w:r w:rsidR="00B834A4" w:rsidRPr="000D5434">
        <w:rPr>
          <w:szCs w:val="22"/>
          <w:lang w:val="es-ES"/>
        </w:rPr>
        <w:t xml:space="preserve"> </w:t>
      </w:r>
      <w:r w:rsidRPr="000D5434">
        <w:rPr>
          <w:szCs w:val="22"/>
          <w:lang w:val="es-ES"/>
        </w:rPr>
        <w:t>y otros (por ejemplo, los propietarios privados de tierras, los grupos encargados de la conservación, etcétera).</w:t>
      </w:r>
      <w:r w:rsidRPr="000D5434">
        <w:rPr>
          <w:rStyle w:val="FootnoteReference"/>
          <w:szCs w:val="22"/>
          <w:lang w:val="es-ES"/>
        </w:rPr>
        <w:footnoteReference w:id="130"/>
      </w:r>
    </w:p>
    <w:p w:rsidR="00C0409B" w:rsidRPr="000D5434" w:rsidRDefault="00C0409B" w:rsidP="00A758A0">
      <w:pPr>
        <w:pStyle w:val="Heading1"/>
        <w:rPr>
          <w:b w:val="0"/>
          <w:bCs w:val="0"/>
          <w:kern w:val="36"/>
          <w:szCs w:val="22"/>
          <w:lang w:val="es-ES"/>
        </w:rPr>
      </w:pPr>
      <w:bookmarkStart w:id="96" w:name="_Toc535585026"/>
      <w:r w:rsidRPr="000D5434">
        <w:rPr>
          <w:kern w:val="36"/>
          <w:szCs w:val="22"/>
          <w:lang w:val="es-ES"/>
        </w:rPr>
        <w:t>Dominio público</w:t>
      </w:r>
      <w:bookmarkEnd w:id="96"/>
    </w:p>
    <w:p w:rsidR="00C0409B" w:rsidRPr="000D5434" w:rsidRDefault="00C0409B" w:rsidP="00103D66">
      <w:pPr>
        <w:pStyle w:val="ONUMFS"/>
        <w:numPr>
          <w:ilvl w:val="0"/>
          <w:numId w:val="0"/>
        </w:numPr>
        <w:rPr>
          <w:szCs w:val="22"/>
          <w:lang w:val="es-ES"/>
        </w:rPr>
      </w:pPr>
      <w:r w:rsidRPr="000D5434">
        <w:rPr>
          <w:szCs w:val="22"/>
          <w:lang w:val="es-ES"/>
        </w:rPr>
        <w:t>En general, se considera que una obra forma parte del dominio público si no existe una restricción jurídica sobre su uso por parte del público.</w:t>
      </w:r>
      <w:r w:rsidRPr="000D5434">
        <w:rPr>
          <w:rStyle w:val="FootnoteReference"/>
          <w:szCs w:val="22"/>
          <w:lang w:val="es-ES"/>
        </w:rPr>
        <w:footnoteReference w:id="131"/>
      </w:r>
    </w:p>
    <w:p w:rsidR="00C0409B" w:rsidRPr="000D5434" w:rsidRDefault="00C0409B" w:rsidP="00103D66">
      <w:pPr>
        <w:pStyle w:val="ONUMFS"/>
        <w:numPr>
          <w:ilvl w:val="0"/>
          <w:numId w:val="0"/>
        </w:numPr>
        <w:rPr>
          <w:szCs w:val="22"/>
          <w:lang w:val="es-ES"/>
        </w:rPr>
      </w:pPr>
      <w:r w:rsidRPr="000D5434">
        <w:rPr>
          <w:szCs w:val="22"/>
          <w:lang w:val="es-ES"/>
        </w:rPr>
        <w:t>En el diccionario de Derecho de Black, el término “dominio público” se define como:</w:t>
      </w:r>
      <w:r w:rsidR="00B834A4" w:rsidRPr="000D5434">
        <w:rPr>
          <w:szCs w:val="22"/>
          <w:lang w:val="es-ES"/>
        </w:rPr>
        <w:t xml:space="preserve"> </w:t>
      </w:r>
      <w:r w:rsidRPr="000D5434">
        <w:rPr>
          <w:szCs w:val="22"/>
          <w:lang w:val="es-ES"/>
        </w:rPr>
        <w:t>conjunto de invenciones y obras creativas que no tienen protección por derechos de propiedad intelectual y están, por ello, a disposición de quien quiera utilizarlas gratuitamente.</w:t>
      </w:r>
      <w:r w:rsidR="00B834A4" w:rsidRPr="000D5434">
        <w:rPr>
          <w:szCs w:val="22"/>
          <w:lang w:val="es-ES"/>
        </w:rPr>
        <w:t xml:space="preserve"> </w:t>
      </w:r>
      <w:r w:rsidRPr="000D5434">
        <w:rPr>
          <w:szCs w:val="22"/>
          <w:lang w:val="es-ES"/>
        </w:rPr>
        <w:t>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2F5651" w:rsidRDefault="00C0409B" w:rsidP="00103D66">
      <w:pPr>
        <w:pStyle w:val="ONUMFS"/>
        <w:numPr>
          <w:ilvl w:val="0"/>
          <w:numId w:val="0"/>
        </w:numPr>
        <w:rPr>
          <w:szCs w:val="22"/>
          <w:lang w:val="es-ES"/>
        </w:rPr>
      </w:pPr>
      <w:r w:rsidRPr="000D5434">
        <w:rPr>
          <w:szCs w:val="22"/>
          <w:lang w:val="es-ES"/>
        </w:rPr>
        <w:lastRenderedPageBreak/>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97" w:name="sdfootnote52anc"/>
      <w:r w:rsidRPr="000D5434">
        <w:rPr>
          <w:rStyle w:val="FootnoteReference"/>
          <w:szCs w:val="22"/>
          <w:lang w:val="es-ES"/>
        </w:rPr>
        <w:footnoteReference w:id="132"/>
      </w:r>
      <w:bookmarkEnd w:id="97"/>
    </w:p>
    <w:p w:rsidR="002F5651" w:rsidRDefault="00C0409B" w:rsidP="00103D66">
      <w:pPr>
        <w:pStyle w:val="ONUMFS"/>
        <w:numPr>
          <w:ilvl w:val="0"/>
          <w:numId w:val="0"/>
        </w:numPr>
        <w:rPr>
          <w:szCs w:val="22"/>
          <w:lang w:val="es-ES"/>
        </w:rPr>
      </w:pPr>
      <w:r w:rsidRPr="000D5434">
        <w:rPr>
          <w:szCs w:val="22"/>
          <w:lang w:val="es-ES"/>
        </w:rPr>
        <w:t>En general, el dominio público en lo tocante al Derecho de patentes consiste en los conocimientos, ideas e innovaciones sobre los que ninguna persona u organización posee derechos de propiedad intelectual.</w:t>
      </w:r>
      <w:r w:rsidR="00B834A4" w:rsidRPr="000D5434">
        <w:rPr>
          <w:szCs w:val="22"/>
          <w:lang w:val="es-ES"/>
        </w:rPr>
        <w:t xml:space="preserve"> </w:t>
      </w:r>
      <w:r w:rsidRPr="000D5434">
        <w:rPr>
          <w:szCs w:val="22"/>
          <w:lang w:val="es-ES"/>
        </w:rPr>
        <w:t>Conocimientos, ideas e innovaciones pasan a formar parte del dominio público si no pesa sobre ellos ninguna restricción jurídica de uso (que varía según las diferentes legislaciones, dando lugar a dominios públicos diferentes);</w:t>
      </w:r>
      <w:r w:rsidR="00B834A4" w:rsidRPr="000D5434">
        <w:rPr>
          <w:szCs w:val="22"/>
          <w:lang w:val="es-ES"/>
        </w:rPr>
        <w:t xml:space="preserve"> </w:t>
      </w:r>
      <w:r w:rsidRPr="000D5434">
        <w:rPr>
          <w:szCs w:val="22"/>
          <w:lang w:val="es-ES"/>
        </w:rPr>
        <w:t>si vence la duración de la patente (normalmente 20 años);</w:t>
      </w:r>
      <w:r w:rsidR="00B834A4" w:rsidRPr="000D5434">
        <w:rPr>
          <w:szCs w:val="22"/>
          <w:lang w:val="es-ES"/>
        </w:rPr>
        <w:t xml:space="preserve"> </w:t>
      </w:r>
      <w:r w:rsidRPr="000D5434">
        <w:rPr>
          <w:szCs w:val="22"/>
          <w:lang w:val="es-ES"/>
        </w:rPr>
        <w:t>si la patente no se renueva;</w:t>
      </w:r>
      <w:r w:rsidR="00B834A4" w:rsidRPr="000D5434">
        <w:rPr>
          <w:szCs w:val="22"/>
          <w:lang w:val="es-ES"/>
        </w:rPr>
        <w:t xml:space="preserve"> </w:t>
      </w:r>
      <w:r w:rsidRPr="000D5434">
        <w:rPr>
          <w:szCs w:val="22"/>
          <w:lang w:val="es-ES"/>
        </w:rPr>
        <w:t>si se revoca o, por último, si se invalida.</w:t>
      </w:r>
      <w:r w:rsidRPr="000D5434">
        <w:rPr>
          <w:rStyle w:val="FootnoteReference"/>
          <w:szCs w:val="22"/>
          <w:lang w:val="es-ES"/>
        </w:rPr>
        <w:footnoteReference w:id="133"/>
      </w:r>
    </w:p>
    <w:p w:rsidR="00C0409B" w:rsidRPr="000D5434" w:rsidRDefault="00C0409B" w:rsidP="00103D66">
      <w:pPr>
        <w:pStyle w:val="ONUMFS"/>
        <w:numPr>
          <w:ilvl w:val="0"/>
          <w:numId w:val="0"/>
        </w:numPr>
        <w:rPr>
          <w:szCs w:val="22"/>
          <w:lang w:val="es-ES"/>
        </w:rPr>
      </w:pPr>
      <w:r w:rsidRPr="000D5434">
        <w:rPr>
          <w:szCs w:val="22"/>
          <w:lang w:val="es-ES"/>
        </w:rPr>
        <w:t>El papel, el perfil y las limitaciones del dominio público son objeto de activo debate en diversas instancias, entre ellas la OMPI y el presente Comité.</w:t>
      </w:r>
      <w:r w:rsidR="00B834A4" w:rsidRPr="000D5434">
        <w:rPr>
          <w:szCs w:val="22"/>
          <w:lang w:val="es-ES"/>
        </w:rPr>
        <w:t xml:space="preserve"> </w:t>
      </w:r>
      <w:r w:rsidRPr="000D5434">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0D5434" w:rsidRDefault="00C0409B" w:rsidP="00A758A0">
      <w:pPr>
        <w:pStyle w:val="Heading1"/>
        <w:rPr>
          <w:b w:val="0"/>
          <w:szCs w:val="22"/>
          <w:lang w:val="es-ES"/>
        </w:rPr>
      </w:pPr>
      <w:bookmarkStart w:id="98" w:name="_Toc535585027"/>
      <w:r w:rsidRPr="000D5434">
        <w:rPr>
          <w:szCs w:val="22"/>
          <w:lang w:val="es-ES"/>
        </w:rPr>
        <w:t>Disponibilidad pública</w:t>
      </w:r>
      <w:bookmarkEnd w:id="98"/>
    </w:p>
    <w:p w:rsidR="00C0409B" w:rsidRPr="000D5434" w:rsidRDefault="00C0409B" w:rsidP="00103D66">
      <w:pPr>
        <w:pStyle w:val="ONUMFS"/>
        <w:numPr>
          <w:ilvl w:val="0"/>
          <w:numId w:val="0"/>
        </w:numPr>
        <w:rPr>
          <w:szCs w:val="22"/>
          <w:lang w:val="es-ES"/>
        </w:rPr>
      </w:pPr>
      <w:r w:rsidRPr="000D5434">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w:t>
      </w:r>
      <w:r w:rsidR="00B834A4" w:rsidRPr="000D5434">
        <w:rPr>
          <w:szCs w:val="22"/>
          <w:lang w:val="es-ES"/>
        </w:rPr>
        <w:t xml:space="preserve"> </w:t>
      </w:r>
      <w:r w:rsidRPr="000D5434">
        <w:rPr>
          <w:szCs w:val="22"/>
          <w:lang w:val="es-ES"/>
        </w:rPr>
        <w:t>“</w:t>
      </w:r>
      <w:r w:rsidRPr="000D5434">
        <w:rPr>
          <w:iCs/>
          <w:szCs w:val="22"/>
          <w:lang w:val="es-ES"/>
        </w:rPr>
        <w:t>el término dominio público, que se utiliza para indicar libre disponibilidad, se ha tomado fuera de contexto y aplicado a los conocimientos tradicionales asociados a los recursos genéticos que están disponibles públicamente.</w:t>
      </w:r>
      <w:r w:rsidR="00B834A4" w:rsidRPr="000D5434">
        <w:rPr>
          <w:iCs/>
          <w:szCs w:val="22"/>
          <w:lang w:val="es-ES"/>
        </w:rPr>
        <w:t xml:space="preserve"> </w:t>
      </w:r>
      <w:r w:rsidRPr="000D5434">
        <w:rPr>
          <w:iCs/>
          <w:szCs w:val="22"/>
          <w:lang w:val="es-ES"/>
        </w:rPr>
        <w:t>La interpretación común de disponible públicamente no significa disponible en forma gratuita.</w:t>
      </w:r>
      <w:r w:rsidR="00B834A4" w:rsidRPr="000D5434">
        <w:rPr>
          <w:iCs/>
          <w:szCs w:val="22"/>
          <w:lang w:val="es-ES"/>
        </w:rPr>
        <w:t xml:space="preserve"> </w:t>
      </w:r>
      <w:r w:rsidRPr="000D5434">
        <w:rPr>
          <w:iCs/>
          <w:szCs w:val="22"/>
          <w:lang w:val="es-ES"/>
        </w:rPr>
        <w:t>La interpretación común de disponibilidad pública podría significar que existe la condición de imponer condiciones mutuamente acordadas, tales como pagar por el acceso.</w:t>
      </w:r>
      <w:r w:rsidR="00B834A4" w:rsidRPr="000D5434">
        <w:rPr>
          <w:iCs/>
          <w:szCs w:val="22"/>
          <w:lang w:val="es-ES"/>
        </w:rPr>
        <w:t xml:space="preserve"> </w:t>
      </w:r>
      <w:r w:rsidRPr="000D5434">
        <w:rPr>
          <w:iCs/>
          <w:szCs w:val="22"/>
          <w:lang w:val="es-ES"/>
        </w:rPr>
        <w:t>A menudo, se ha considerado que los conocimientos tradicionales son de dominio público y, por lo tanto, están libremente disponibles una vez que se haya accedido a los mismos y se los haya retirado de su contexto cultural y divulgado.</w:t>
      </w:r>
      <w:r w:rsidR="00B834A4" w:rsidRPr="000D5434">
        <w:rPr>
          <w:iCs/>
          <w:szCs w:val="22"/>
          <w:lang w:val="es-ES"/>
        </w:rPr>
        <w:t xml:space="preserve"> </w:t>
      </w:r>
      <w:r w:rsidRPr="000D5434">
        <w:rPr>
          <w:iCs/>
          <w:szCs w:val="22"/>
          <w:lang w:val="es-ES"/>
        </w:rPr>
        <w:t>Pero no se puede presuponer que los conocimientos tradicionales asociados a los recursos genéticos que están disponibles públicamente no pertenezcan a alguien.</w:t>
      </w:r>
      <w:r w:rsidR="00B834A4" w:rsidRPr="000D5434">
        <w:rPr>
          <w:iCs/>
          <w:szCs w:val="22"/>
          <w:lang w:val="es-ES"/>
        </w:rPr>
        <w:t xml:space="preserve"> </w:t>
      </w:r>
      <w:r w:rsidRPr="000D5434">
        <w:rPr>
          <w:iCs/>
          <w:szCs w:val="22"/>
          <w:lang w:val="es-ES"/>
        </w:rPr>
        <w:t>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w:t>
      </w:r>
      <w:r w:rsidR="00B834A4" w:rsidRPr="000D5434">
        <w:rPr>
          <w:iCs/>
          <w:szCs w:val="22"/>
          <w:lang w:val="es-ES"/>
        </w:rPr>
        <w:t xml:space="preserve"> </w:t>
      </w:r>
      <w:r w:rsidRPr="000D5434">
        <w:rPr>
          <w:iCs/>
          <w:szCs w:val="22"/>
          <w:lang w:val="es-ES"/>
        </w:rPr>
        <w:t>Cuando no se pueda identificar a un titular, el Estado, por ejemplo, podría adoptar una decisión respecto a los beneficiarios.”</w:t>
      </w:r>
      <w:r w:rsidRPr="000D5434">
        <w:rPr>
          <w:rStyle w:val="FootnoteReference"/>
          <w:iCs/>
          <w:szCs w:val="22"/>
          <w:lang w:val="es-ES"/>
        </w:rPr>
        <w:footnoteReference w:id="134"/>
      </w:r>
    </w:p>
    <w:p w:rsidR="00C0409B" w:rsidRPr="000D5434" w:rsidRDefault="00C0409B" w:rsidP="00A758A0">
      <w:pPr>
        <w:pStyle w:val="Heading1"/>
        <w:rPr>
          <w:b w:val="0"/>
          <w:szCs w:val="22"/>
          <w:lang w:val="es-ES"/>
        </w:rPr>
      </w:pPr>
      <w:bookmarkStart w:id="99" w:name="_Toc535585028"/>
      <w:r w:rsidRPr="000D5434">
        <w:rPr>
          <w:szCs w:val="22"/>
          <w:lang w:val="es-ES"/>
        </w:rPr>
        <w:lastRenderedPageBreak/>
        <w:t>Registros de conocimientos tradicionales</w:t>
      </w:r>
      <w:bookmarkEnd w:id="99"/>
    </w:p>
    <w:p w:rsidR="00C0409B" w:rsidRPr="000D5434" w:rsidRDefault="00C0409B" w:rsidP="00103D66">
      <w:pPr>
        <w:pStyle w:val="ONUMFS"/>
        <w:numPr>
          <w:ilvl w:val="0"/>
          <w:numId w:val="0"/>
        </w:numPr>
        <w:rPr>
          <w:szCs w:val="22"/>
          <w:lang w:val="es-ES"/>
        </w:rPr>
      </w:pPr>
      <w:r w:rsidRPr="000D5434">
        <w:rPr>
          <w:szCs w:val="22"/>
          <w:lang w:val="es-ES"/>
        </w:rPr>
        <w:t>Los registros se pueden analizar desde varias perspectivas distintas.</w:t>
      </w:r>
      <w:r w:rsidR="00B834A4" w:rsidRPr="000D5434">
        <w:rPr>
          <w:szCs w:val="22"/>
          <w:lang w:val="es-ES"/>
        </w:rPr>
        <w:t xml:space="preserve"> </w:t>
      </w:r>
      <w:r w:rsidRPr="000D5434">
        <w:rPr>
          <w:szCs w:val="22"/>
          <w:lang w:val="es-ES"/>
        </w:rPr>
        <w:t>Según su naturaleza jurídica, los registros pueden ser o bien declarativos o bien constitutivos en función del sistema en el que se basan.</w:t>
      </w:r>
      <w:r w:rsidRPr="000D5434">
        <w:rPr>
          <w:rStyle w:val="FootnoteReference"/>
          <w:szCs w:val="22"/>
          <w:lang w:val="es-ES"/>
        </w:rPr>
        <w:footnoteReference w:id="135"/>
      </w:r>
    </w:p>
    <w:p w:rsidR="00C0409B" w:rsidRPr="000D5434" w:rsidRDefault="00C0409B" w:rsidP="00103D66">
      <w:pPr>
        <w:pStyle w:val="ONUMFS"/>
        <w:numPr>
          <w:ilvl w:val="0"/>
          <w:numId w:val="0"/>
        </w:numPr>
        <w:rPr>
          <w:szCs w:val="22"/>
          <w:lang w:val="es-ES"/>
        </w:rPr>
      </w:pPr>
      <w:r w:rsidRPr="000D5434">
        <w:rPr>
          <w:szCs w:val="22"/>
          <w:lang w:val="es-ES"/>
        </w:rPr>
        <w:t xml:space="preserve">El régimen declarativo en relación con los conocimientos tradicionales reconoce que los derechos sobre </w:t>
      </w:r>
      <w:r w:rsidR="00D4348B">
        <w:rPr>
          <w:szCs w:val="22"/>
          <w:lang w:val="es-ES"/>
        </w:rPr>
        <w:t>estos</w:t>
      </w:r>
      <w:r w:rsidRPr="000D5434">
        <w:rPr>
          <w:szCs w:val="22"/>
          <w:lang w:val="es-ES"/>
        </w:rPr>
        <w:t xml:space="preserve"> no provienen de actos del gobierno sino más bien se basan en derechos preexistentes, incluidos los derechos ancestrales, consuetudinarios, morales y humanos.</w:t>
      </w:r>
      <w:r w:rsidR="00B834A4" w:rsidRPr="000D5434">
        <w:rPr>
          <w:szCs w:val="22"/>
          <w:lang w:val="es-ES"/>
        </w:rPr>
        <w:t xml:space="preserve"> </w:t>
      </w:r>
      <w:r w:rsidRPr="000D5434">
        <w:rPr>
          <w:szCs w:val="22"/>
          <w:lang w:val="es-ES"/>
        </w:rPr>
        <w:t>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w:t>
      </w:r>
      <w:r w:rsidR="00B834A4" w:rsidRPr="000D5434">
        <w:rPr>
          <w:szCs w:val="22"/>
          <w:lang w:val="es-ES"/>
        </w:rPr>
        <w:t xml:space="preserve"> </w:t>
      </w:r>
      <w:r w:rsidRPr="000D5434">
        <w:rPr>
          <w:szCs w:val="22"/>
          <w:lang w:val="es-ES"/>
        </w:rPr>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w:t>
      </w:r>
      <w:r w:rsidR="00B834A4" w:rsidRPr="000D5434">
        <w:rPr>
          <w:szCs w:val="22"/>
          <w:lang w:val="es-ES"/>
        </w:rPr>
        <w:t xml:space="preserve"> </w:t>
      </w:r>
      <w:r w:rsidRPr="000D5434">
        <w:rPr>
          <w:szCs w:val="22"/>
          <w:lang w:val="es-ES"/>
        </w:rPr>
        <w:t>Una tercera función que pueden tener tales registros es la de facilitar la distribución de los beneficios entre los usuarios y los proveedores.</w:t>
      </w:r>
      <w:r w:rsidRPr="000D5434">
        <w:rPr>
          <w:rStyle w:val="FootnoteReference"/>
          <w:szCs w:val="22"/>
          <w:lang w:val="es-ES"/>
        </w:rPr>
        <w:footnoteReference w:id="136"/>
      </w:r>
    </w:p>
    <w:p w:rsidR="002F5651" w:rsidRDefault="00C0409B" w:rsidP="00103D66">
      <w:pPr>
        <w:pStyle w:val="ONUMFS"/>
        <w:numPr>
          <w:ilvl w:val="0"/>
          <w:numId w:val="0"/>
        </w:numPr>
        <w:rPr>
          <w:szCs w:val="22"/>
          <w:lang w:val="es-ES"/>
        </w:rPr>
      </w:pPr>
      <w:r w:rsidRPr="000D5434">
        <w:rPr>
          <w:szCs w:val="22"/>
          <w:lang w:val="es-ES"/>
        </w:rPr>
        <w:t>Los registros constitutivos forman parte de un régimen jurídico que pretende garantizar derechos sobre los conocimientos tradicionales.</w:t>
      </w:r>
      <w:r w:rsidR="00B834A4" w:rsidRPr="000D5434">
        <w:rPr>
          <w:szCs w:val="22"/>
          <w:lang w:val="es-ES"/>
        </w:rPr>
        <w:t xml:space="preserve"> </w:t>
      </w:r>
      <w:r w:rsidRPr="000D5434">
        <w:rPr>
          <w:szCs w:val="22"/>
          <w:lang w:val="es-ES"/>
        </w:rPr>
        <w:t>En los registros constitutivos se inscribe la concesión de derechos (por ejemplo, derechos exclusivos de propiedad) al poseedor de los conocimientos tradicionales como un medio para garantizar la protección y el reconocimiento de sus derechos morales, económicos y legales.</w:t>
      </w:r>
      <w:r w:rsidR="00B834A4" w:rsidRPr="000D5434">
        <w:rPr>
          <w:szCs w:val="22"/>
          <w:lang w:val="es-ES"/>
        </w:rPr>
        <w:t xml:space="preserve"> </w:t>
      </w:r>
      <w:r w:rsidRPr="000D5434">
        <w:rPr>
          <w:szCs w:val="22"/>
          <w:lang w:val="es-ES"/>
        </w:rPr>
        <w:t>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w:t>
      </w:r>
      <w:r w:rsidR="00B834A4" w:rsidRPr="000D5434">
        <w:rPr>
          <w:szCs w:val="22"/>
          <w:lang w:val="es-ES"/>
        </w:rPr>
        <w:t xml:space="preserve"> </w:t>
      </w:r>
      <w:r w:rsidRPr="000D5434">
        <w:rPr>
          <w:szCs w:val="22"/>
          <w:lang w:val="es-ES"/>
        </w:rPr>
        <w:t>En consecuencia, su concepción puede resultar más difícil y controvertida, y plantear grandes dificultades y preguntas para llevar el concepto a la práctica.</w:t>
      </w:r>
      <w:r w:rsidRPr="000D5434">
        <w:rPr>
          <w:rStyle w:val="FootnoteReference"/>
          <w:szCs w:val="22"/>
          <w:lang w:val="es-ES"/>
        </w:rPr>
        <w:footnoteReference w:id="137"/>
      </w:r>
    </w:p>
    <w:p w:rsidR="00C0409B" w:rsidRPr="000D5434" w:rsidRDefault="00C0409B" w:rsidP="00103D66">
      <w:pPr>
        <w:pStyle w:val="ONUMFS"/>
        <w:numPr>
          <w:ilvl w:val="0"/>
          <w:numId w:val="0"/>
        </w:numPr>
        <w:rPr>
          <w:szCs w:val="22"/>
          <w:lang w:val="es-ES"/>
        </w:rPr>
      </w:pPr>
      <w:r w:rsidRPr="000D5434">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0D5434">
        <w:rPr>
          <w:iCs/>
          <w:szCs w:val="22"/>
          <w:lang w:val="es-ES"/>
        </w:rPr>
        <w:t xml:space="preserve"> </w:t>
      </w:r>
      <w:r w:rsidRPr="000D5434">
        <w:rPr>
          <w:szCs w:val="22"/>
          <w:lang w:val="es-ES"/>
        </w:rPr>
        <w:t>se estipula que “</w:t>
      </w:r>
      <w:r w:rsidRPr="000D5434">
        <w:rPr>
          <w:iCs/>
          <w:szCs w:val="22"/>
          <w:lang w:val="es-ES"/>
        </w:rPr>
        <w:t>[l]os Registros de Conocimientos Colectivos de los Pueblos Indígenas tienen por objeto, según sea el caso:</w:t>
      </w:r>
      <w:r w:rsidR="00B834A4" w:rsidRPr="000D5434">
        <w:rPr>
          <w:iCs/>
          <w:szCs w:val="22"/>
          <w:lang w:val="es-ES"/>
        </w:rPr>
        <w:t xml:space="preserve"> </w:t>
      </w:r>
      <w:r w:rsidRPr="000D5434">
        <w:rPr>
          <w:iCs/>
          <w:szCs w:val="22"/>
          <w:lang w:val="es-ES"/>
        </w:rPr>
        <w:t>a) preservar y salvaguardar los conocimientos colectivos de los pueblos indígenas y sus derechos sobre ellos;</w:t>
      </w:r>
      <w:r w:rsidR="00B834A4" w:rsidRPr="000D5434">
        <w:rPr>
          <w:iCs/>
          <w:szCs w:val="22"/>
          <w:lang w:val="es-ES"/>
        </w:rPr>
        <w:t xml:space="preserve"> </w:t>
      </w:r>
      <w:r w:rsidRPr="000D5434">
        <w:rPr>
          <w:iCs/>
          <w:szCs w:val="22"/>
          <w:lang w:val="es-ES"/>
        </w:rPr>
        <w:t>b) proveer al Indecopi de información que le permita la defensa de los intereses de los pueblos indígenas con relación a sus conocimientos colectivos</w:t>
      </w:r>
      <w:r w:rsidRPr="000D5434">
        <w:rPr>
          <w:szCs w:val="22"/>
          <w:lang w:val="es-ES"/>
        </w:rPr>
        <w:t>”.</w:t>
      </w:r>
      <w:r w:rsidRPr="000D5434">
        <w:rPr>
          <w:rStyle w:val="FootnoteReference"/>
          <w:szCs w:val="22"/>
          <w:lang w:val="es-ES"/>
        </w:rPr>
        <w:footnoteReference w:id="138"/>
      </w:r>
      <w:r w:rsidR="00B834A4" w:rsidRPr="000D5434">
        <w:rPr>
          <w:szCs w:val="22"/>
          <w:lang w:val="es-ES"/>
        </w:rPr>
        <w:t xml:space="preserve"> </w:t>
      </w:r>
      <w:r w:rsidRPr="000D5434">
        <w:rPr>
          <w:szCs w:val="22"/>
          <w:lang w:val="es-ES"/>
        </w:rPr>
        <w:t>En el artículo 15 se estipula además que “</w:t>
      </w:r>
      <w:r w:rsidRPr="000D5434">
        <w:rPr>
          <w:iCs/>
          <w:szCs w:val="22"/>
          <w:lang w:val="es-ES"/>
        </w:rPr>
        <w:t>[l]</w:t>
      </w:r>
      <w:r w:rsidRPr="000D5434">
        <w:rPr>
          <w:szCs w:val="22"/>
          <w:lang w:val="es-ES"/>
        </w:rPr>
        <w:t>os conocimientos colectivos de los pueblos indígenas podrán ser inscritos en tres tipos de registros</w:t>
      </w:r>
      <w:r w:rsidRPr="000D5434">
        <w:rPr>
          <w:iCs/>
          <w:szCs w:val="22"/>
          <w:lang w:val="es-ES"/>
        </w:rPr>
        <w:t>:</w:t>
      </w:r>
      <w:r w:rsidR="00B834A4" w:rsidRPr="000D5434">
        <w:rPr>
          <w:iCs/>
          <w:szCs w:val="22"/>
          <w:lang w:val="es-ES"/>
        </w:rPr>
        <w:t xml:space="preserve"> </w:t>
      </w:r>
      <w:r w:rsidRPr="000D5434">
        <w:rPr>
          <w:iCs/>
          <w:szCs w:val="22"/>
          <w:lang w:val="es-ES"/>
        </w:rPr>
        <w:t>(a)</w:t>
      </w:r>
      <w:r w:rsidRPr="000D5434">
        <w:rPr>
          <w:szCs w:val="22"/>
          <w:lang w:val="es-ES"/>
        </w:rPr>
        <w:t xml:space="preserve"> Registro Nacional Público de Conocimientos Colectivos de los Pueblos Indígenas;</w:t>
      </w:r>
      <w:r w:rsidR="00B834A4" w:rsidRPr="000D5434">
        <w:rPr>
          <w:szCs w:val="22"/>
          <w:lang w:val="es-ES"/>
        </w:rPr>
        <w:t xml:space="preserve"> </w:t>
      </w:r>
      <w:r w:rsidRPr="000D5434">
        <w:rPr>
          <w:szCs w:val="22"/>
          <w:lang w:val="es-ES"/>
        </w:rPr>
        <w:t>(b) Registro Nacional Confidencial de Conocimientos Colectivos de los Pueblos Indígenas;</w:t>
      </w:r>
      <w:r w:rsidR="00B834A4" w:rsidRPr="000D5434">
        <w:rPr>
          <w:szCs w:val="22"/>
          <w:lang w:val="es-ES"/>
        </w:rPr>
        <w:t xml:space="preserve"> </w:t>
      </w:r>
      <w:r w:rsidRPr="000D5434">
        <w:rPr>
          <w:szCs w:val="22"/>
          <w:lang w:val="es-ES"/>
        </w:rPr>
        <w:t>(c) Registros Locales de Conocimientos Colectivos de los Pueblos indígenas</w:t>
      </w:r>
      <w:r w:rsidRPr="000D5434">
        <w:rPr>
          <w:i/>
          <w:iCs/>
          <w:szCs w:val="22"/>
          <w:lang w:val="es-ES"/>
        </w:rPr>
        <w:t>.</w:t>
      </w:r>
      <w:r w:rsidRPr="000D5434">
        <w:rPr>
          <w:szCs w:val="22"/>
          <w:lang w:val="es-ES"/>
        </w:rPr>
        <w:t>”</w:t>
      </w:r>
    </w:p>
    <w:p w:rsidR="00C0409B" w:rsidRPr="000D5434" w:rsidRDefault="00C0409B" w:rsidP="00A758A0">
      <w:pPr>
        <w:pStyle w:val="Heading1"/>
        <w:rPr>
          <w:b w:val="0"/>
          <w:bCs w:val="0"/>
          <w:kern w:val="36"/>
          <w:szCs w:val="22"/>
          <w:lang w:val="es-ES"/>
        </w:rPr>
      </w:pPr>
      <w:bookmarkStart w:id="100" w:name="_Toc535585029"/>
      <w:r w:rsidRPr="000D5434">
        <w:rPr>
          <w:kern w:val="36"/>
          <w:szCs w:val="22"/>
          <w:lang w:val="es-ES"/>
        </w:rPr>
        <w:lastRenderedPageBreak/>
        <w:t>Reputación</w:t>
      </w:r>
      <w:bookmarkEnd w:id="100"/>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es el “prestigio o estima en que son tenidos alguien o algo”.</w:t>
      </w:r>
      <w:r w:rsidR="00B834A4" w:rsidRPr="000D5434">
        <w:rPr>
          <w:szCs w:val="22"/>
          <w:lang w:val="es-ES"/>
        </w:rPr>
        <w:t xml:space="preserve"> </w:t>
      </w:r>
      <w:r w:rsidRPr="000D5434">
        <w:rPr>
          <w:szCs w:val="22"/>
          <w:lang w:val="es-ES"/>
        </w:rPr>
        <w:t>La reputación está amparada por los derechos morales del autor.</w:t>
      </w:r>
      <w:r w:rsidRPr="000D5434">
        <w:rPr>
          <w:rStyle w:val="FootnoteReference"/>
          <w:szCs w:val="22"/>
          <w:lang w:val="es-ES"/>
        </w:rPr>
        <w:footnoteReference w:id="139"/>
      </w:r>
      <w:r w:rsidR="00B834A4" w:rsidRPr="000D5434">
        <w:rPr>
          <w:szCs w:val="22"/>
          <w:lang w:val="es-ES"/>
        </w:rPr>
        <w:t xml:space="preserve"> </w:t>
      </w:r>
      <w:r w:rsidRPr="000D5434">
        <w:rPr>
          <w:szCs w:val="22"/>
          <w:lang w:val="es-ES"/>
        </w:rPr>
        <w:t xml:space="preserve">En la Conferencia de Revisión de Bruselas del </w:t>
      </w:r>
      <w:r w:rsidRPr="000D5434">
        <w:rPr>
          <w:i/>
          <w:szCs w:val="22"/>
          <w:lang w:val="es-ES"/>
        </w:rPr>
        <w:t>Convenio de Berna</w:t>
      </w:r>
      <w:r w:rsidR="005C21FD" w:rsidRPr="000D5434">
        <w:rPr>
          <w:i/>
          <w:szCs w:val="22"/>
          <w:lang w:val="es-ES"/>
        </w:rPr>
        <w:t xml:space="preserve"> para la Protección de las Obras Literarias y Artísticas</w:t>
      </w:r>
      <w:r w:rsidR="005C21FD" w:rsidRPr="000D5434">
        <w:rPr>
          <w:szCs w:val="22"/>
          <w:lang w:val="es-ES"/>
        </w:rPr>
        <w:t xml:space="preserve"> (1971)</w:t>
      </w:r>
      <w:r w:rsidRPr="000D5434">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w:t>
      </w:r>
      <w:r w:rsidR="00B834A4" w:rsidRPr="000D5434">
        <w:rPr>
          <w:szCs w:val="22"/>
          <w:lang w:val="es-ES"/>
        </w:rPr>
        <w:t xml:space="preserve"> </w:t>
      </w:r>
      <w:r w:rsidRPr="000D5434">
        <w:rPr>
          <w:szCs w:val="22"/>
          <w:lang w:val="es-ES"/>
        </w:rPr>
        <w:t>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0D5434">
        <w:rPr>
          <w:rStyle w:val="FootnoteReference"/>
          <w:szCs w:val="22"/>
          <w:lang w:val="es-ES"/>
        </w:rPr>
        <w:footnoteReference w:id="140"/>
      </w:r>
    </w:p>
    <w:p w:rsidR="00C0409B" w:rsidRPr="000D5434" w:rsidRDefault="00C0409B" w:rsidP="00A758A0">
      <w:pPr>
        <w:pStyle w:val="Heading1"/>
        <w:rPr>
          <w:b w:val="0"/>
          <w:szCs w:val="22"/>
          <w:lang w:val="es-ES"/>
        </w:rPr>
      </w:pPr>
      <w:bookmarkStart w:id="101" w:name="_Toc535585030"/>
      <w:r w:rsidRPr="000D5434">
        <w:rPr>
          <w:szCs w:val="22"/>
          <w:lang w:val="es-ES"/>
        </w:rPr>
        <w:t>Sagrado</w:t>
      </w:r>
      <w:bookmarkEnd w:id="101"/>
    </w:p>
    <w:p w:rsidR="00C0409B" w:rsidRPr="000D5434" w:rsidRDefault="00C0409B" w:rsidP="00103D66">
      <w:pPr>
        <w:pStyle w:val="ONUMFS"/>
        <w:numPr>
          <w:ilvl w:val="0"/>
          <w:numId w:val="0"/>
        </w:numPr>
        <w:rPr>
          <w:szCs w:val="22"/>
          <w:lang w:val="es-ES"/>
        </w:rPr>
      </w:pPr>
      <w:r w:rsidRPr="000D5434">
        <w:rPr>
          <w:szCs w:val="22"/>
          <w:lang w:val="es-ES"/>
        </w:rPr>
        <w:t>Por “sagrado” se entiende “cualquier manifestación de los CC.TT. que simbolice o pertenezca a las creencias, las prácticas o las costumbre religiosas y espirituales.</w:t>
      </w:r>
      <w:r w:rsidR="00B834A4" w:rsidRPr="000D5434">
        <w:rPr>
          <w:szCs w:val="22"/>
          <w:lang w:val="es-ES"/>
        </w:rPr>
        <w:t xml:space="preserve"> </w:t>
      </w:r>
      <w:r w:rsidRPr="000D5434">
        <w:rPr>
          <w:szCs w:val="22"/>
          <w:lang w:val="es-ES"/>
        </w:rPr>
        <w:t>Se utiliza como opuesto de profano o laico, cuyas formas extremas equivalen a formas de CC.TT. explotadas comercialmente”.</w:t>
      </w:r>
      <w:r w:rsidRPr="000D5434">
        <w:rPr>
          <w:rStyle w:val="FootnoteReference"/>
          <w:szCs w:val="22"/>
          <w:lang w:val="es-ES"/>
        </w:rPr>
        <w:footnoteReference w:id="141"/>
      </w:r>
    </w:p>
    <w:p w:rsidR="00C0409B" w:rsidRPr="000D5434" w:rsidRDefault="00C0409B" w:rsidP="00103D66">
      <w:pPr>
        <w:pStyle w:val="ONUMFS"/>
        <w:numPr>
          <w:ilvl w:val="0"/>
          <w:numId w:val="0"/>
        </w:numPr>
        <w:rPr>
          <w:szCs w:val="22"/>
          <w:lang w:val="es-ES"/>
        </w:rPr>
      </w:pPr>
      <w:r w:rsidRPr="000D5434">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w:t>
      </w:r>
      <w:r w:rsidR="00B834A4" w:rsidRPr="000D5434">
        <w:rPr>
          <w:szCs w:val="22"/>
          <w:lang w:val="es-ES"/>
        </w:rPr>
        <w:t xml:space="preserve"> </w:t>
      </w:r>
      <w:r w:rsidRPr="000D5434">
        <w:rPr>
          <w:szCs w:val="22"/>
          <w:lang w:val="es-ES"/>
        </w:rPr>
        <w:t>la expresión también se refiere a CC.TT. sagrados relacionados con especies sagradas de plantas, animales, microorganismos, minerales, y también hace referencia a sitios sagrados.</w:t>
      </w:r>
      <w:r w:rsidR="00B834A4" w:rsidRPr="000D5434">
        <w:rPr>
          <w:szCs w:val="22"/>
          <w:lang w:val="es-ES"/>
        </w:rPr>
        <w:t xml:space="preserve"> </w:t>
      </w:r>
      <w:r w:rsidRPr="000D5434">
        <w:rPr>
          <w:szCs w:val="22"/>
          <w:lang w:val="es-ES"/>
        </w:rPr>
        <w:t>La comunidad pertinente es quien atribuye el carácter sagrado a los CC.TT.</w:t>
      </w:r>
      <w:r w:rsidR="00B834A4" w:rsidRPr="000D5434">
        <w:rPr>
          <w:szCs w:val="22"/>
          <w:lang w:val="es-ES"/>
        </w:rPr>
        <w:t xml:space="preserve"> </w:t>
      </w:r>
      <w:r w:rsidRPr="000D5434">
        <w:rPr>
          <w:szCs w:val="22"/>
          <w:lang w:val="es-ES"/>
        </w:rPr>
        <w:t>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Informe de la OMPI relativo a las misiones exploratorias sobre propiedad intelectual y conocimientos tradicionales</w:t>
      </w:r>
      <w:r w:rsidRPr="000D5434">
        <w:rPr>
          <w:szCs w:val="22"/>
          <w:lang w:val="es-ES"/>
        </w:rPr>
        <w:t xml:space="preserve"> se señala que varios temas, por ejemplo, la forma tradicional de solución de problemas y los conocimientos médicos, se interrelacionan de manera espiritual.</w:t>
      </w:r>
      <w:r w:rsidR="00B834A4" w:rsidRPr="000D5434">
        <w:rPr>
          <w:szCs w:val="22"/>
          <w:lang w:val="es-ES"/>
        </w:rPr>
        <w:t xml:space="preserve"> </w:t>
      </w:r>
      <w:r w:rsidRPr="000D5434">
        <w:rPr>
          <w:szCs w:val="22"/>
          <w:lang w:val="es-ES"/>
        </w:rPr>
        <w:t>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00B834A4" w:rsidRPr="000D5434">
        <w:rPr>
          <w:szCs w:val="22"/>
          <w:vertAlign w:val="superscript"/>
          <w:lang w:val="es-ES"/>
        </w:rPr>
        <w:t xml:space="preserve"> </w:t>
      </w:r>
      <w:r w:rsidRPr="000D5434">
        <w:rPr>
          <w:szCs w:val="22"/>
          <w:lang w:val="es-ES"/>
        </w:rPr>
        <w:t>En ciertos sistemas de CC.TT., se supone que las creencias y los códigos culturales explican o guían las consecuencias de las actividades de la vida.</w:t>
      </w:r>
      <w:r w:rsidRPr="000D5434">
        <w:rPr>
          <w:rStyle w:val="FootnoteReference"/>
          <w:szCs w:val="22"/>
          <w:lang w:val="es-ES"/>
        </w:rPr>
        <w:footnoteReference w:id="142"/>
      </w:r>
      <w:r w:rsidR="00B834A4" w:rsidRPr="000D5434">
        <w:rPr>
          <w:szCs w:val="22"/>
          <w:vertAlign w:val="superscript"/>
          <w:lang w:val="es-ES"/>
        </w:rPr>
        <w:t xml:space="preserve"> </w:t>
      </w:r>
      <w:r w:rsidRPr="000D5434">
        <w:rPr>
          <w:szCs w:val="22"/>
          <w:lang w:val="es-ES"/>
        </w:rPr>
        <w:t>En el Perú, algunos “conocimientos se transmitían de generación en generación en un ‘libro’ sagrado, no escrito”.</w:t>
      </w:r>
      <w:r w:rsidRPr="000D5434">
        <w:rPr>
          <w:rStyle w:val="FootnoteReference"/>
          <w:szCs w:val="22"/>
          <w:lang w:val="es-ES"/>
        </w:rPr>
        <w:footnoteReference w:id="143"/>
      </w:r>
      <w:r w:rsidR="00B834A4" w:rsidRPr="000D5434">
        <w:rPr>
          <w:szCs w:val="22"/>
          <w:lang w:val="es-ES"/>
        </w:rPr>
        <w:t xml:space="preserve"> </w:t>
      </w:r>
      <w:r w:rsidRPr="000D5434">
        <w:rPr>
          <w:szCs w:val="22"/>
          <w:lang w:val="es-ES"/>
        </w:rPr>
        <w:t>El núcleo de los CC.TT. sagrados y secretos es ponderado de distintas maneras en las comunidades indígenas y locales, y se almacena, se transmite y se registra de maneras diferentes.</w:t>
      </w:r>
    </w:p>
    <w:p w:rsidR="00C0409B" w:rsidRPr="000D5434" w:rsidRDefault="00C0409B" w:rsidP="00103D66">
      <w:pPr>
        <w:pStyle w:val="ONUMFS"/>
        <w:numPr>
          <w:ilvl w:val="0"/>
          <w:numId w:val="0"/>
        </w:numPr>
        <w:rPr>
          <w:szCs w:val="22"/>
          <w:lang w:val="es-ES"/>
        </w:rPr>
      </w:pPr>
      <w:r w:rsidRPr="000D5434">
        <w:rPr>
          <w:szCs w:val="22"/>
          <w:lang w:val="es-ES"/>
        </w:rPr>
        <w:t>Desde la perspectiva de la P.I., y en particular de la labor del Comité, pueden formularse las observaciones siguientes:</w:t>
      </w:r>
    </w:p>
    <w:p w:rsidR="00C0409B" w:rsidRPr="000D5434" w:rsidRDefault="00C0409B" w:rsidP="00103D66">
      <w:pPr>
        <w:pStyle w:val="ONUMFS"/>
        <w:numPr>
          <w:ilvl w:val="0"/>
          <w:numId w:val="50"/>
        </w:numPr>
        <w:tabs>
          <w:tab w:val="clear" w:pos="1741"/>
          <w:tab w:val="num" w:pos="-5103"/>
        </w:tabs>
        <w:ind w:left="567" w:firstLine="0"/>
        <w:rPr>
          <w:szCs w:val="22"/>
          <w:lang w:val="es-ES"/>
        </w:rPr>
      </w:pPr>
      <w:r w:rsidRPr="000D5434">
        <w:rPr>
          <w:szCs w:val="22"/>
          <w:lang w:val="es-ES"/>
        </w:rPr>
        <w:lastRenderedPageBreak/>
        <w:t>una delegación preguntó si los CC.TT. sagrados se tendrían en cuenta al examinar la protección por P.I. de los CC.TT.</w:t>
      </w:r>
      <w:r w:rsidRPr="000D5434">
        <w:rPr>
          <w:rStyle w:val="FootnoteReference"/>
          <w:szCs w:val="22"/>
          <w:lang w:val="es-ES"/>
        </w:rPr>
        <w:footnoteReference w:id="144"/>
      </w:r>
      <w:r w:rsidR="00B834A4" w:rsidRPr="000D5434">
        <w:rPr>
          <w:szCs w:val="22"/>
          <w:lang w:val="es-ES"/>
        </w:rPr>
        <w:t xml:space="preserve"> </w:t>
      </w:r>
      <w:r w:rsidRPr="000D5434">
        <w:rPr>
          <w:szCs w:val="22"/>
          <w:lang w:val="es-ES"/>
        </w:rPr>
        <w:t>A este respecto, otra delegación planteó la pregunta según tres aspectos:</w:t>
      </w:r>
      <w:r w:rsidR="00B834A4" w:rsidRPr="000D5434">
        <w:rPr>
          <w:szCs w:val="22"/>
          <w:lang w:val="es-ES"/>
        </w:rPr>
        <w:t xml:space="preserve"> </w:t>
      </w:r>
      <w:r w:rsidRPr="000D5434">
        <w:rPr>
          <w:szCs w:val="22"/>
          <w:lang w:val="es-ES"/>
        </w:rPr>
        <w:t>¿qué es “tradicional”?, ¿qué es “conocimiento”?</w:t>
      </w:r>
      <w:r w:rsidR="00B834A4" w:rsidRPr="000D5434">
        <w:rPr>
          <w:szCs w:val="22"/>
          <w:lang w:val="es-ES"/>
        </w:rPr>
        <w:t xml:space="preserve"> </w:t>
      </w:r>
      <w:r w:rsidRPr="000D5434">
        <w:rPr>
          <w:szCs w:val="22"/>
          <w:lang w:val="es-ES"/>
        </w:rPr>
        <w:t>Y ¿qué debe protegerse?</w:t>
      </w:r>
      <w:r w:rsidR="00B834A4" w:rsidRPr="000D5434">
        <w:rPr>
          <w:szCs w:val="22"/>
          <w:lang w:val="es-ES"/>
        </w:rPr>
        <w:t xml:space="preserve"> </w:t>
      </w:r>
      <w:r w:rsidRPr="000D5434">
        <w:rPr>
          <w:szCs w:val="22"/>
          <w:lang w:val="es-ES"/>
        </w:rPr>
        <w:t>Por ejemplo, según algunas opiniones, la espiritualidad o las religiones deberían incluirse en los CC.TT.;</w:t>
      </w:r>
      <w:r w:rsidR="00B834A4" w:rsidRPr="000D5434">
        <w:rPr>
          <w:szCs w:val="22"/>
          <w:lang w:val="es-ES"/>
        </w:rPr>
        <w:t xml:space="preserve"> </w:t>
      </w:r>
      <w:r w:rsidRPr="000D5434">
        <w:rPr>
          <w:szCs w:val="22"/>
          <w:lang w:val="es-ES"/>
        </w:rPr>
        <w:t>según otras opiniones, los CC.TT. deberían limitarse a los conocimientos técnicos;</w:t>
      </w:r>
      <w:bookmarkStart w:id="102" w:name="sdfootnote53anc"/>
      <w:r w:rsidRPr="000D5434">
        <w:rPr>
          <w:rStyle w:val="FootnoteReference"/>
          <w:szCs w:val="22"/>
          <w:lang w:val="es-ES"/>
        </w:rPr>
        <w:footnoteReference w:id="145"/>
      </w:r>
      <w:bookmarkEnd w:id="102"/>
    </w:p>
    <w:p w:rsidR="00C0409B" w:rsidRPr="000D5434" w:rsidRDefault="00C0409B" w:rsidP="00103D66">
      <w:pPr>
        <w:pStyle w:val="ONUMFS"/>
        <w:numPr>
          <w:ilvl w:val="0"/>
          <w:numId w:val="50"/>
        </w:numPr>
        <w:tabs>
          <w:tab w:val="clear" w:pos="1741"/>
          <w:tab w:val="num" w:pos="-5103"/>
        </w:tabs>
        <w:ind w:left="567" w:firstLine="0"/>
        <w:rPr>
          <w:szCs w:val="22"/>
          <w:lang w:val="es-ES"/>
        </w:rPr>
      </w:pPr>
      <w:r w:rsidRPr="000D5434">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w:t>
      </w:r>
      <w:r w:rsidR="00B834A4" w:rsidRPr="000D5434">
        <w:rPr>
          <w:szCs w:val="22"/>
          <w:lang w:val="es-ES"/>
        </w:rPr>
        <w:t xml:space="preserve"> </w:t>
      </w:r>
      <w:r w:rsidRPr="000D5434">
        <w:rPr>
          <w:szCs w:val="22"/>
          <w:lang w:val="es-ES"/>
        </w:rPr>
        <w:t>Tal como se ha indicado anteriormente en el documento “Protección de los conocimientos tradicionales:</w:t>
      </w:r>
      <w:r w:rsidR="00B834A4" w:rsidRPr="000D5434">
        <w:rPr>
          <w:szCs w:val="22"/>
          <w:lang w:val="es-ES"/>
        </w:rPr>
        <w:t xml:space="preserve"> </w:t>
      </w:r>
      <w:r w:rsidRPr="000D5434">
        <w:rPr>
          <w:szCs w:val="22"/>
          <w:lang w:val="es-ES"/>
        </w:rPr>
        <w:t>Proyecto de análisis de carencias:</w:t>
      </w:r>
      <w:r w:rsidR="00B834A4" w:rsidRPr="000D5434">
        <w:rPr>
          <w:szCs w:val="22"/>
          <w:lang w:val="es-ES"/>
        </w:rPr>
        <w:t xml:space="preserve"> </w:t>
      </w:r>
      <w:r w:rsidRPr="000D5434">
        <w:rPr>
          <w:szCs w:val="22"/>
          <w:lang w:val="es-ES"/>
        </w:rPr>
        <w:t>Revisión” (WIPO/GRTKF/IC/13/5(b) Rev.), los CC.TT. no divulgados pueden estar protegidos por el derecho internacional de P.I. como la información no divulgada en general.</w:t>
      </w:r>
      <w:r w:rsidR="00B834A4" w:rsidRPr="000D5434">
        <w:rPr>
          <w:szCs w:val="22"/>
          <w:lang w:val="es-ES"/>
        </w:rPr>
        <w:t xml:space="preserve"> </w:t>
      </w:r>
      <w:r w:rsidRPr="000D5434">
        <w:rPr>
          <w:szCs w:val="22"/>
          <w:lang w:val="es-ES"/>
        </w:rPr>
        <w:t>Sin embargo, pueden caber consideraciones especiales respecto de los conocimientos que tienen valor espiritual y cultural, pero no valor comercial, para la comunidad.</w:t>
      </w:r>
      <w:r w:rsidRPr="000D5434">
        <w:rPr>
          <w:rStyle w:val="FootnoteReference"/>
          <w:szCs w:val="22"/>
          <w:lang w:val="es-ES"/>
        </w:rPr>
        <w:footnoteReference w:id="146"/>
      </w:r>
    </w:p>
    <w:p w:rsidR="00C0409B" w:rsidRPr="000D5434" w:rsidRDefault="00C0409B" w:rsidP="00A758A0">
      <w:pPr>
        <w:pStyle w:val="Heading1"/>
        <w:rPr>
          <w:b w:val="0"/>
          <w:szCs w:val="22"/>
          <w:lang w:val="es-ES"/>
        </w:rPr>
      </w:pPr>
      <w:bookmarkStart w:id="103" w:name="_Toc535585031"/>
      <w:r w:rsidRPr="000D5434">
        <w:rPr>
          <w:szCs w:val="22"/>
          <w:lang w:val="es-ES"/>
        </w:rPr>
        <w:t>Salvaguardia</w:t>
      </w:r>
      <w:bookmarkEnd w:id="103"/>
    </w:p>
    <w:p w:rsidR="00C0409B" w:rsidRPr="000D5434" w:rsidRDefault="00C0409B" w:rsidP="00103D66">
      <w:pPr>
        <w:pStyle w:val="ONUMFS"/>
        <w:numPr>
          <w:ilvl w:val="0"/>
          <w:numId w:val="0"/>
        </w:numPr>
        <w:rPr>
          <w:szCs w:val="22"/>
          <w:lang w:val="es-ES"/>
        </w:rPr>
      </w:pPr>
      <w:r w:rsidRPr="000D5434">
        <w:rPr>
          <w:szCs w:val="22"/>
          <w:lang w:val="es-ES"/>
        </w:rPr>
        <w:t xml:space="preserve">En la </w:t>
      </w:r>
      <w:r w:rsidRPr="000D5434">
        <w:rPr>
          <w:i/>
          <w:szCs w:val="22"/>
          <w:lang w:val="es-ES"/>
        </w:rPr>
        <w:t>Convención para la Salvaguardia del Patrimonio Cultural Inmaterial</w:t>
      </w:r>
      <w:r w:rsidRPr="000D5434">
        <w:rPr>
          <w:szCs w:val="22"/>
          <w:lang w:val="es-ES"/>
        </w:rPr>
        <w:t xml:space="preserve"> (2003)</w:t>
      </w:r>
      <w:r w:rsidR="005C21FD" w:rsidRPr="000D5434">
        <w:rPr>
          <w:szCs w:val="22"/>
          <w:lang w:val="es-ES"/>
        </w:rPr>
        <w:t>, de la UNESCO,</w:t>
      </w:r>
      <w:r w:rsidRPr="000D5434">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r w:rsidR="00B834A4" w:rsidRPr="000D5434">
        <w:rPr>
          <w:szCs w:val="22"/>
          <w:lang w:val="es-ES"/>
        </w:rPr>
        <w:t xml:space="preserve"> </w:t>
      </w:r>
      <w:r w:rsidRPr="000D5434">
        <w:rPr>
          <w:szCs w:val="22"/>
          <w:lang w:val="es-ES"/>
        </w:rPr>
        <w:t>Designa la adopción de “medidas cautelares destinadas a proteger determinados usos e ideas culturales que se consideran de valor”.</w:t>
      </w:r>
    </w:p>
    <w:p w:rsidR="00C0409B" w:rsidRPr="000D5434" w:rsidRDefault="00C0409B" w:rsidP="00A758A0">
      <w:pPr>
        <w:pStyle w:val="Heading1"/>
        <w:rPr>
          <w:b w:val="0"/>
          <w:szCs w:val="22"/>
          <w:lang w:val="es-ES"/>
        </w:rPr>
      </w:pPr>
      <w:bookmarkStart w:id="104" w:name="_Toc535585032"/>
      <w:r w:rsidRPr="000D5434">
        <w:rPr>
          <w:szCs w:val="22"/>
          <w:lang w:val="es-ES"/>
        </w:rPr>
        <w:t>Secreto</w:t>
      </w:r>
      <w:bookmarkEnd w:id="104"/>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w:t>
      </w:r>
      <w:r w:rsidR="00B834A4" w:rsidRPr="000D5434">
        <w:rPr>
          <w:szCs w:val="22"/>
          <w:lang w:val="es-ES"/>
        </w:rPr>
        <w:t xml:space="preserve"> </w:t>
      </w:r>
      <w:r w:rsidRPr="000D5434">
        <w:rPr>
          <w:szCs w:val="22"/>
          <w:lang w:val="es-ES"/>
        </w:rPr>
        <w:t>Por otra parte, se denomina “secreto o sagrado” a las “expresiones culturales tradicionales que revisten naturaleza secreta o sagrada de conformidad con las leyes y prácticas consuetudinarias de los propietarios tradicionales”.</w:t>
      </w:r>
      <w:r w:rsidRPr="000D5434">
        <w:rPr>
          <w:rStyle w:val="FootnoteReference"/>
          <w:szCs w:val="22"/>
          <w:lang w:val="es-ES"/>
        </w:rPr>
        <w:footnoteReference w:id="147"/>
      </w:r>
    </w:p>
    <w:p w:rsidR="00C0409B" w:rsidRPr="000D5434" w:rsidRDefault="00C0409B" w:rsidP="00A758A0">
      <w:pPr>
        <w:pStyle w:val="Heading1"/>
        <w:rPr>
          <w:b w:val="0"/>
          <w:i/>
          <w:iCs/>
          <w:szCs w:val="22"/>
          <w:lang w:val="es-ES"/>
        </w:rPr>
      </w:pPr>
      <w:bookmarkStart w:id="105" w:name="_Toc535585033"/>
      <w:r w:rsidRPr="000D5434">
        <w:rPr>
          <w:rStyle w:val="Emphasis"/>
          <w:szCs w:val="22"/>
          <w:lang w:val="es-ES"/>
        </w:rPr>
        <w:t>Fuente de los recursos genéticos</w:t>
      </w:r>
      <w:bookmarkEnd w:id="105"/>
    </w:p>
    <w:p w:rsidR="005E60D3" w:rsidRPr="000D5434" w:rsidRDefault="00C0409B" w:rsidP="00103D66">
      <w:pPr>
        <w:pStyle w:val="ONUMFS"/>
        <w:numPr>
          <w:ilvl w:val="0"/>
          <w:numId w:val="0"/>
        </w:numPr>
        <w:rPr>
          <w:szCs w:val="22"/>
          <w:lang w:val="es-ES"/>
        </w:rPr>
      </w:pPr>
      <w:r w:rsidRPr="000D5434">
        <w:rPr>
          <w:szCs w:val="22"/>
          <w:lang w:val="es-ES"/>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w:t>
      </w:r>
      <w:r w:rsidR="00B834A4" w:rsidRPr="000D5434">
        <w:rPr>
          <w:szCs w:val="22"/>
          <w:lang w:val="es-ES"/>
        </w:rPr>
        <w:t xml:space="preserve"> </w:t>
      </w:r>
      <w:r w:rsidRPr="000D5434">
        <w:rPr>
          <w:szCs w:val="22"/>
          <w:lang w:val="es-ES"/>
        </w:rPr>
        <w:t>En dicha comunicación se establece que “el término ‘fuente’ debería entenderse en su sentido más amplio posible”, ya que “una multitud de entidades puede estar implicada en el acceso y la participación en los beneficios.</w:t>
      </w:r>
      <w:r w:rsidR="00B834A4" w:rsidRPr="000D5434">
        <w:rPr>
          <w:szCs w:val="22"/>
          <w:lang w:val="es-ES"/>
        </w:rPr>
        <w:t xml:space="preserve"> </w:t>
      </w:r>
      <w:r w:rsidRPr="000D5434">
        <w:rPr>
          <w:szCs w:val="22"/>
          <w:lang w:val="es-ES"/>
        </w:rPr>
        <w:t>En primer lugar debe declararse como fuente la entidad competente para:</w:t>
      </w:r>
      <w:r w:rsidR="00B834A4" w:rsidRPr="000D5434">
        <w:rPr>
          <w:szCs w:val="22"/>
          <w:lang w:val="es-ES"/>
        </w:rPr>
        <w:t xml:space="preserve"> </w:t>
      </w:r>
      <w:r w:rsidRPr="000D5434">
        <w:rPr>
          <w:szCs w:val="22"/>
          <w:lang w:val="es-ES"/>
        </w:rPr>
        <w:t>1) otorgar el acceso a los recursos genéticos y/o los conocimientos tradicionales, o 2) participar en la distribución de los beneficios derivados de su utilización.</w:t>
      </w:r>
      <w:r w:rsidR="00B834A4" w:rsidRPr="000D5434">
        <w:rPr>
          <w:szCs w:val="22"/>
          <w:lang w:val="es-ES"/>
        </w:rPr>
        <w:t xml:space="preserve"> </w:t>
      </w:r>
      <w:r w:rsidRPr="000D5434">
        <w:rPr>
          <w:szCs w:val="22"/>
          <w:lang w:val="es-ES"/>
        </w:rPr>
        <w:t xml:space="preserve">Según el recurso genético o el conocimiento </w:t>
      </w:r>
      <w:r w:rsidRPr="000D5434">
        <w:rPr>
          <w:szCs w:val="22"/>
          <w:lang w:val="es-ES"/>
        </w:rPr>
        <w:lastRenderedPageBreak/>
        <w:t>tradicional en cuestión, pueden distinguirse las fuentes primarias, incluidas en particular las Partes Contratantes que proveen los recursos genéticos</w:t>
      </w:r>
      <w:r w:rsidRPr="000D5434">
        <w:rPr>
          <w:rStyle w:val="FootnoteReference"/>
          <w:szCs w:val="22"/>
          <w:lang w:val="es-ES"/>
        </w:rPr>
        <w:footnoteReference w:id="148"/>
      </w:r>
      <w:r w:rsidRPr="000D5434">
        <w:rPr>
          <w:szCs w:val="22"/>
          <w:lang w:val="es-ES"/>
        </w:rPr>
        <w:t xml:space="preserve"> y, por último, el Sistema Multilateral del Tratado Internacional de la FAO,</w:t>
      </w:r>
      <w:r w:rsidRPr="000D5434">
        <w:rPr>
          <w:rStyle w:val="FootnoteReference"/>
          <w:szCs w:val="22"/>
          <w:lang w:val="es-ES"/>
        </w:rPr>
        <w:footnoteReference w:id="149"/>
      </w:r>
      <w:r w:rsidRPr="000D5434">
        <w:rPr>
          <w:szCs w:val="22"/>
          <w:lang w:val="es-ES"/>
        </w:rPr>
        <w:t xml:space="preserve"> las comunidades indígenas y locales;</w:t>
      </w:r>
      <w:bookmarkStart w:id="106" w:name="sdfootnote57anc"/>
      <w:r w:rsidRPr="000D5434">
        <w:rPr>
          <w:rStyle w:val="FootnoteReference"/>
          <w:szCs w:val="22"/>
          <w:lang w:val="es-ES"/>
        </w:rPr>
        <w:footnoteReference w:id="150"/>
      </w:r>
      <w:bookmarkEnd w:id="106"/>
      <w:r w:rsidR="00B834A4" w:rsidRPr="000D5434">
        <w:rPr>
          <w:szCs w:val="22"/>
          <w:lang w:val="es-ES"/>
        </w:rPr>
        <w:t xml:space="preserve"> </w:t>
      </w:r>
      <w:r w:rsidRPr="000D5434">
        <w:rPr>
          <w:szCs w:val="22"/>
          <w:lang w:val="es-ES"/>
        </w:rPr>
        <w:t xml:space="preserve">y las fuentes secundarias, incluidas en particular las colecciones </w:t>
      </w:r>
      <w:r w:rsidRPr="000D5434">
        <w:rPr>
          <w:i/>
          <w:szCs w:val="22"/>
          <w:lang w:val="es-ES"/>
        </w:rPr>
        <w:t>ex situ</w:t>
      </w:r>
      <w:r w:rsidRPr="000D5434">
        <w:rPr>
          <w:szCs w:val="22"/>
          <w:lang w:val="es-ES"/>
        </w:rPr>
        <w:t xml:space="preserve"> y la literatura científica”.</w:t>
      </w:r>
      <w:r w:rsidRPr="000D5434">
        <w:rPr>
          <w:rStyle w:val="FootnoteReference"/>
          <w:szCs w:val="22"/>
          <w:lang w:val="es-ES"/>
        </w:rPr>
        <w:footnoteReference w:id="151"/>
      </w:r>
    </w:p>
    <w:p w:rsidR="00C0409B" w:rsidRPr="000D5434" w:rsidRDefault="00C0409B" w:rsidP="00A758A0">
      <w:pPr>
        <w:pStyle w:val="Heading1"/>
        <w:rPr>
          <w:b w:val="0"/>
          <w:bCs w:val="0"/>
          <w:iCs/>
          <w:szCs w:val="22"/>
          <w:lang w:val="es-ES"/>
        </w:rPr>
      </w:pPr>
      <w:bookmarkStart w:id="107" w:name="_Toc535585034"/>
      <w:r w:rsidRPr="000D5434">
        <w:rPr>
          <w:iCs/>
          <w:szCs w:val="22"/>
          <w:lang w:val="es-ES"/>
        </w:rPr>
        <w:t>Sui géneris</w:t>
      </w:r>
      <w:bookmarkEnd w:id="107"/>
    </w:p>
    <w:p w:rsidR="00C0409B" w:rsidRPr="000D5434" w:rsidRDefault="00C0409B" w:rsidP="00103D66">
      <w:pPr>
        <w:pStyle w:val="ONUMFS"/>
        <w:numPr>
          <w:ilvl w:val="0"/>
          <w:numId w:val="0"/>
        </w:numPr>
        <w:rPr>
          <w:szCs w:val="22"/>
          <w:lang w:val="es-ES"/>
        </w:rPr>
      </w:pPr>
      <w:r w:rsidRPr="000D5434">
        <w:rPr>
          <w:szCs w:val="22"/>
          <w:lang w:val="es-ES"/>
        </w:rPr>
        <w:t>En el Diccionario de la lengua española de la Real Academia Española se define “sui géneris” como “([l]oc. lat.;</w:t>
      </w:r>
      <w:r w:rsidR="00B834A4" w:rsidRPr="000D5434">
        <w:rPr>
          <w:szCs w:val="22"/>
          <w:lang w:val="es-ES"/>
        </w:rPr>
        <w:t xml:space="preserve"> </w:t>
      </w:r>
      <w:r w:rsidRPr="000D5434">
        <w:rPr>
          <w:szCs w:val="22"/>
          <w:lang w:val="es-ES"/>
        </w:rPr>
        <w:t>literalmente, 'de su género</w:t>
      </w:r>
      <w:r w:rsidR="008D49E2" w:rsidRPr="000D5434">
        <w:rPr>
          <w:szCs w:val="22"/>
          <w:lang w:val="es-ES"/>
        </w:rPr>
        <w:t xml:space="preserve">', 'de su especie'). loc. adj. </w:t>
      </w:r>
      <w:r w:rsidRPr="000D5434">
        <w:rPr>
          <w:szCs w:val="22"/>
          <w:lang w:val="es-ES"/>
        </w:rPr>
        <w:t>[d]icho de una cosa:</w:t>
      </w:r>
      <w:r w:rsidR="00B834A4" w:rsidRPr="000D5434">
        <w:rPr>
          <w:szCs w:val="22"/>
          <w:lang w:val="es-ES"/>
        </w:rPr>
        <w:t xml:space="preserve"> </w:t>
      </w:r>
      <w:r w:rsidRPr="000D5434">
        <w:rPr>
          <w:szCs w:val="22"/>
          <w:lang w:val="es-ES"/>
        </w:rPr>
        <w:t>[d]e un género o especie muy singular y excepcional”.</w:t>
      </w:r>
      <w:r w:rsidR="00B834A4" w:rsidRPr="000D5434">
        <w:rPr>
          <w:szCs w:val="22"/>
          <w:lang w:val="es-ES"/>
        </w:rPr>
        <w:t xml:space="preserve"> </w:t>
      </w:r>
      <w:r w:rsidRPr="000D5434">
        <w:rPr>
          <w:szCs w:val="22"/>
          <w:lang w:val="es-ES"/>
        </w:rPr>
        <w:t>En el mismo sentido se define “sui géneris” en el diccionario jurídico de Black utilizado para la referencia del término en inglés.</w:t>
      </w:r>
      <w:r w:rsidR="00B834A4" w:rsidRPr="000D5434">
        <w:rPr>
          <w:szCs w:val="22"/>
          <w:lang w:val="es-ES"/>
        </w:rPr>
        <w:t xml:space="preserve"> </w:t>
      </w:r>
      <w:r w:rsidRPr="000D5434">
        <w:rPr>
          <w:szCs w:val="22"/>
          <w:lang w:val="es-ES"/>
        </w:rPr>
        <w:t>En el Derecho de propiedad intelectual, “sui géneris” se emplea para describir un régimen concebido para proteger los derechos que no están contemplados en las doctrinas tradicionales de patentes, marcas, derecho de autor y secreto comercial.</w:t>
      </w:r>
      <w:r w:rsidR="00B834A4" w:rsidRPr="000D5434">
        <w:rPr>
          <w:szCs w:val="22"/>
          <w:lang w:val="es-ES"/>
        </w:rPr>
        <w:t xml:space="preserve"> </w:t>
      </w:r>
      <w:r w:rsidRPr="000D5434">
        <w:rPr>
          <w:szCs w:val="22"/>
          <w:lang w:val="es-ES"/>
        </w:rPr>
        <w:t>Por ejemplo, no se podrá proteger una base de datos mediante el derecho de autor si el contenido no es original, pero podría ser protegida por un sistema sui géneris concebido a esos fines.</w:t>
      </w:r>
      <w:r w:rsidR="00B834A4" w:rsidRPr="000D5434">
        <w:rPr>
          <w:szCs w:val="22"/>
          <w:lang w:val="es-ES"/>
        </w:rPr>
        <w:t xml:space="preserve"> </w:t>
      </w:r>
      <w:r w:rsidRPr="000D5434">
        <w:rPr>
          <w:szCs w:val="22"/>
          <w:lang w:val="es-ES"/>
        </w:rPr>
        <w:t xml:space="preserve">Se dispone ya de varios ejemplos de derechos sui géneris de propiedad intelectual, tales como los derechos de obtentor, según se establece en el </w:t>
      </w:r>
      <w:r w:rsidRPr="000D5434">
        <w:rPr>
          <w:i/>
          <w:szCs w:val="22"/>
          <w:lang w:val="es-ES"/>
        </w:rPr>
        <w:t>Convenio Internacional para la Protección de las Obtenciones Vegetales</w:t>
      </w:r>
      <w:r w:rsidRPr="000D5434">
        <w:rPr>
          <w:szCs w:val="22"/>
          <w:lang w:val="es-ES"/>
        </w:rPr>
        <w:t xml:space="preserve"> de 1991 (“el Convenio de la UPOV”), y la protección de la propiedad intelectual de los circuitos integrados, como se refleja en el </w:t>
      </w:r>
      <w:r w:rsidRPr="000D5434">
        <w:rPr>
          <w:i/>
          <w:szCs w:val="22"/>
          <w:lang w:val="es-ES"/>
        </w:rPr>
        <w:t>Tratado sobre la Propiedad Intelectual respecto de los Circuitos Integrados</w:t>
      </w:r>
      <w:r w:rsidRPr="000D5434">
        <w:rPr>
          <w:szCs w:val="22"/>
          <w:lang w:val="es-ES"/>
        </w:rPr>
        <w:t xml:space="preserve"> de 1989 (“el Tratado de Washington”), entre otros.</w:t>
      </w:r>
      <w:r w:rsidR="00B834A4" w:rsidRPr="000D5434">
        <w:rPr>
          <w:szCs w:val="22"/>
          <w:lang w:val="es-ES"/>
        </w:rPr>
        <w:t xml:space="preserve"> </w:t>
      </w:r>
      <w:r w:rsidRPr="000D5434">
        <w:rPr>
          <w:szCs w:val="22"/>
          <w:lang w:val="es-ES"/>
        </w:rPr>
        <w:t>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0D5434" w:rsidRDefault="00C0409B" w:rsidP="00A758A0">
      <w:pPr>
        <w:pStyle w:val="Heading1"/>
        <w:rPr>
          <w:b w:val="0"/>
          <w:bCs w:val="0"/>
          <w:szCs w:val="22"/>
          <w:lang w:val="es-ES"/>
        </w:rPr>
      </w:pPr>
      <w:bookmarkStart w:id="108" w:name="_Toc535585035"/>
      <w:r w:rsidRPr="000D5434">
        <w:rPr>
          <w:szCs w:val="22"/>
          <w:lang w:val="es-ES"/>
        </w:rPr>
        <w:t>Protocolo de Swakopmund sobre la Protección de los Conocimientos Tradicionales y las Expresiones del Folclore</w:t>
      </w:r>
      <w:bookmarkEnd w:id="108"/>
    </w:p>
    <w:p w:rsidR="00C0409B" w:rsidRPr="000D5434" w:rsidRDefault="00C0409B" w:rsidP="00103D66">
      <w:pPr>
        <w:pStyle w:val="ONUMFS"/>
        <w:numPr>
          <w:ilvl w:val="0"/>
          <w:numId w:val="0"/>
        </w:numPr>
        <w:rPr>
          <w:szCs w:val="22"/>
          <w:lang w:val="es-ES"/>
        </w:rPr>
      </w:pPr>
      <w:r w:rsidRPr="000D5434">
        <w:rPr>
          <w:szCs w:val="22"/>
          <w:lang w:val="es-ES"/>
        </w:rPr>
        <w:t>Los Estados miembros de la Organización Regional Africana de la Propiedad Intelectual (ARIPO) adoptaron un protocolo en agosto de 2010 durante la conferencia diplomática celebrada en Swakopmund (Namibia).</w:t>
      </w:r>
      <w:r w:rsidR="00B834A4" w:rsidRPr="000D5434">
        <w:rPr>
          <w:szCs w:val="22"/>
          <w:lang w:val="es-ES"/>
        </w:rPr>
        <w:t xml:space="preserve"> </w:t>
      </w:r>
      <w:r w:rsidRPr="000D5434">
        <w:rPr>
          <w:szCs w:val="22"/>
          <w:lang w:val="es-ES"/>
        </w:rPr>
        <w:t>Con arreglo al artículo 1.1, este Protocolo tiene por objetivo:</w:t>
      </w:r>
      <w:r w:rsidR="00B834A4" w:rsidRPr="000D5434">
        <w:rPr>
          <w:szCs w:val="22"/>
          <w:lang w:val="es-ES"/>
        </w:rPr>
        <w:t xml:space="preserve"> </w:t>
      </w:r>
      <w:r w:rsidRPr="000D5434">
        <w:rPr>
          <w:szCs w:val="22"/>
          <w:lang w:val="es-ES"/>
        </w:rPr>
        <w:t>“a) proteger a los poseedores de conocimientos tradicionales contra cualquier infracción de sus derechos reconocidos por este Protocolo;</w:t>
      </w:r>
      <w:r w:rsidR="00B834A4" w:rsidRPr="000D5434">
        <w:rPr>
          <w:szCs w:val="22"/>
          <w:lang w:val="es-ES"/>
        </w:rPr>
        <w:t xml:space="preserve"> </w:t>
      </w:r>
      <w:r w:rsidRPr="000D5434">
        <w:rPr>
          <w:szCs w:val="22"/>
          <w:lang w:val="es-ES"/>
        </w:rPr>
        <w:t>y b) proteger las expresiones del folclore contra la apropiación indebida, el uso indebido y la explotación ilegal fuera de su contexto tradicional”, (traducción oficiosa de la Oficina Internacional).</w:t>
      </w:r>
      <w:r w:rsidR="00B834A4" w:rsidRPr="000D5434">
        <w:rPr>
          <w:szCs w:val="22"/>
          <w:lang w:val="es-ES"/>
        </w:rPr>
        <w:t xml:space="preserve"> </w:t>
      </w:r>
      <w:r w:rsidRPr="000D5434">
        <w:rPr>
          <w:szCs w:val="22"/>
          <w:lang w:val="es-ES"/>
        </w:rPr>
        <w:t>El Protocolo entr</w:t>
      </w:r>
      <w:r w:rsidR="005E60D3" w:rsidRPr="000D5434">
        <w:rPr>
          <w:szCs w:val="22"/>
          <w:lang w:val="es-ES"/>
        </w:rPr>
        <w:t>ó</w:t>
      </w:r>
      <w:r w:rsidRPr="000D5434">
        <w:rPr>
          <w:szCs w:val="22"/>
          <w:lang w:val="es-ES"/>
        </w:rPr>
        <w:t xml:space="preserve"> en vigor </w:t>
      </w:r>
      <w:r w:rsidR="005E60D3" w:rsidRPr="000D5434">
        <w:rPr>
          <w:szCs w:val="22"/>
          <w:lang w:val="es-ES"/>
        </w:rPr>
        <w:t xml:space="preserve">el 11 de mayo de 2015, </w:t>
      </w:r>
      <w:r w:rsidRPr="000D5434">
        <w:rPr>
          <w:szCs w:val="22"/>
          <w:lang w:val="es-ES"/>
        </w:rPr>
        <w:t xml:space="preserve">cuando </w:t>
      </w:r>
      <w:r w:rsidR="005E60D3" w:rsidRPr="000D5434">
        <w:rPr>
          <w:szCs w:val="22"/>
          <w:lang w:val="es-ES"/>
        </w:rPr>
        <w:t>se alcanzó el número de seis Estados miembros de la </w:t>
      </w:r>
      <w:r w:rsidRPr="000D5434">
        <w:rPr>
          <w:szCs w:val="22"/>
          <w:lang w:val="es-ES"/>
        </w:rPr>
        <w:t xml:space="preserve">ARIPO </w:t>
      </w:r>
      <w:r w:rsidR="005E60D3" w:rsidRPr="000D5434">
        <w:rPr>
          <w:szCs w:val="22"/>
          <w:lang w:val="es-ES"/>
        </w:rPr>
        <w:t xml:space="preserve">que </w:t>
      </w:r>
      <w:r w:rsidRPr="000D5434">
        <w:rPr>
          <w:szCs w:val="22"/>
          <w:lang w:val="es-ES"/>
        </w:rPr>
        <w:t>deposit</w:t>
      </w:r>
      <w:r w:rsidR="005E60D3" w:rsidRPr="000D5434">
        <w:rPr>
          <w:szCs w:val="22"/>
          <w:lang w:val="es-ES"/>
        </w:rPr>
        <w:t>aron</w:t>
      </w:r>
      <w:r w:rsidRPr="000D5434">
        <w:rPr>
          <w:szCs w:val="22"/>
          <w:lang w:val="es-ES"/>
        </w:rPr>
        <w:t xml:space="preserve"> sus instrumentos de ratificación o de adhesión.</w:t>
      </w:r>
    </w:p>
    <w:p w:rsidR="00C0409B" w:rsidRPr="000D5434" w:rsidRDefault="00C0409B" w:rsidP="00A758A0">
      <w:pPr>
        <w:pStyle w:val="Heading1"/>
        <w:rPr>
          <w:b w:val="0"/>
          <w:bCs w:val="0"/>
          <w:szCs w:val="22"/>
          <w:lang w:val="es-ES"/>
        </w:rPr>
      </w:pPr>
      <w:bookmarkStart w:id="109" w:name="_Toc535585036"/>
      <w:r w:rsidRPr="000D5434">
        <w:rPr>
          <w:szCs w:val="22"/>
          <w:lang w:val="es-ES"/>
        </w:rPr>
        <w:t>Expresiones materiales (o tangibles)</w:t>
      </w:r>
      <w:bookmarkEnd w:id="109"/>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“tangible” es aquello “que se puede tocar” o “que se puede percibir de manera precisa”.</w:t>
      </w:r>
      <w:r w:rsidR="00B834A4" w:rsidRPr="000D5434">
        <w:rPr>
          <w:szCs w:val="22"/>
          <w:lang w:val="es-ES"/>
        </w:rPr>
        <w:t xml:space="preserve"> </w:t>
      </w:r>
      <w:r w:rsidRPr="000D5434">
        <w:rPr>
          <w:szCs w:val="22"/>
          <w:lang w:val="es-ES"/>
        </w:rPr>
        <w:t>El Diccionario de uso del español de María Moliner añade que es lo “susceptible de ser tocado o percibido por el tacto”.</w:t>
      </w:r>
      <w:r w:rsidR="00B834A4" w:rsidRPr="000D5434">
        <w:rPr>
          <w:szCs w:val="22"/>
          <w:lang w:val="es-ES"/>
        </w:rPr>
        <w:t xml:space="preserve"> </w:t>
      </w:r>
      <w:r w:rsidRPr="000D5434">
        <w:rPr>
          <w:szCs w:val="22"/>
          <w:lang w:val="es-ES"/>
        </w:rPr>
        <w:t>Es sinónimo de “material” y antónimo de “intangible”, que designa las cosas incorpóreas, impalpables o inmateriales, lo “que no debe o no puede tocarse”.</w:t>
      </w:r>
    </w:p>
    <w:p w:rsidR="00C0409B" w:rsidRPr="000D5434" w:rsidRDefault="00C0409B" w:rsidP="00103D66">
      <w:pPr>
        <w:pStyle w:val="ONUMFS"/>
        <w:numPr>
          <w:ilvl w:val="0"/>
          <w:numId w:val="0"/>
        </w:numPr>
        <w:rPr>
          <w:szCs w:val="22"/>
          <w:lang w:val="es-ES"/>
        </w:rPr>
      </w:pPr>
      <w:r w:rsidRPr="000D5434">
        <w:rPr>
          <w:szCs w:val="22"/>
          <w:lang w:val="es-ES"/>
        </w:rPr>
        <w:t>Las expresiones tangibles son las expresiones incorporadas en objetos materiales.</w:t>
      </w:r>
      <w:r w:rsidRPr="000D5434">
        <w:rPr>
          <w:rStyle w:val="FootnoteReference"/>
          <w:szCs w:val="22"/>
          <w:lang w:val="es-ES"/>
        </w:rPr>
        <w:footnoteReference w:id="152"/>
      </w:r>
      <w:r w:rsidR="00B834A4" w:rsidRPr="000D5434">
        <w:rPr>
          <w:szCs w:val="22"/>
          <w:lang w:val="es-ES"/>
        </w:rPr>
        <w:t xml:space="preserve"> </w:t>
      </w:r>
      <w:r w:rsidRPr="000D5434">
        <w:rPr>
          <w:szCs w:val="22"/>
          <w:lang w:val="es-ES"/>
        </w:rPr>
        <w:t>No necesitan estar fijadas en un soporte, pero deben estar incorporadas en un material permanente, como la piedra, la madera, los tejidos, el oro, etcétera.</w:t>
      </w:r>
      <w:r w:rsidR="00B834A4" w:rsidRPr="000D5434">
        <w:rPr>
          <w:szCs w:val="22"/>
          <w:lang w:val="es-ES"/>
        </w:rPr>
        <w:t xml:space="preserve"> </w:t>
      </w:r>
      <w:r w:rsidRPr="000D5434">
        <w:rPr>
          <w:szCs w:val="22"/>
          <w:lang w:val="es-ES"/>
        </w:rPr>
        <w:t xml:space="preserve">Las expresiones </w:t>
      </w:r>
      <w:r w:rsidRPr="000D5434">
        <w:rPr>
          <w:szCs w:val="22"/>
          <w:lang w:val="es-ES"/>
        </w:rPr>
        <w:lastRenderedPageBreak/>
        <w:t>tangibles constituyen expresiones del folclore protegidas.</w:t>
      </w:r>
      <w:r w:rsidR="00B834A4" w:rsidRPr="000D5434">
        <w:rPr>
          <w:szCs w:val="22"/>
          <w:lang w:val="es-ES"/>
        </w:rPr>
        <w:t xml:space="preserve"> </w:t>
      </w:r>
      <w:r w:rsidRPr="000D5434">
        <w:rPr>
          <w:szCs w:val="22"/>
          <w:lang w:val="es-ES"/>
        </w:rPr>
        <w:t>A modo de ejemplo cabe señalar las siguientes:</w:t>
      </w:r>
    </w:p>
    <w:p w:rsidR="00C0409B" w:rsidRPr="000D5434" w:rsidRDefault="00C0409B" w:rsidP="00103D66">
      <w:pPr>
        <w:pStyle w:val="ONUMFS"/>
        <w:numPr>
          <w:ilvl w:val="0"/>
          <w:numId w:val="0"/>
        </w:numPr>
        <w:ind w:left="1134" w:hanging="584"/>
        <w:rPr>
          <w:szCs w:val="22"/>
          <w:lang w:val="es-ES"/>
        </w:rPr>
      </w:pPr>
      <w:r w:rsidRPr="000D5434">
        <w:rPr>
          <w:szCs w:val="22"/>
          <w:lang w:val="es-ES"/>
        </w:rPr>
        <w:t>a)</w:t>
      </w:r>
      <w:r w:rsidRPr="000D5434">
        <w:rPr>
          <w:szCs w:val="22"/>
          <w:lang w:val="es-ES"/>
        </w:rPr>
        <w:tab/>
        <w:t>las obras de arte popular y tradicional, tales como:</w:t>
      </w:r>
      <w:r w:rsidR="00B834A4" w:rsidRPr="000D5434">
        <w:rPr>
          <w:szCs w:val="22"/>
          <w:lang w:val="es-ES"/>
        </w:rPr>
        <w:t xml:space="preserve"> </w:t>
      </w:r>
      <w:r w:rsidRPr="000D5434">
        <w:rPr>
          <w:szCs w:val="22"/>
          <w:lang w:val="es-ES"/>
        </w:rPr>
        <w:t>dibujos, pinturas, tallas, esculturas, alfarería, terracota, mosaico, ebanistería, forja, joyería, cestería, labores de punto, textiles, tapices, trajes;</w:t>
      </w:r>
    </w:p>
    <w:p w:rsidR="00C0409B" w:rsidRPr="000D5434" w:rsidRDefault="00C0409B" w:rsidP="00103D66">
      <w:pPr>
        <w:pStyle w:val="ONUMFS"/>
        <w:numPr>
          <w:ilvl w:val="0"/>
          <w:numId w:val="0"/>
        </w:numPr>
        <w:ind w:left="1134" w:hanging="584"/>
        <w:rPr>
          <w:szCs w:val="22"/>
          <w:lang w:val="es-ES"/>
        </w:rPr>
      </w:pPr>
      <w:r w:rsidRPr="000D5434">
        <w:rPr>
          <w:szCs w:val="22"/>
          <w:lang w:val="es-ES"/>
        </w:rPr>
        <w:t>b)</w:t>
      </w:r>
      <w:r w:rsidRPr="000D5434">
        <w:rPr>
          <w:szCs w:val="22"/>
          <w:lang w:val="es-ES"/>
        </w:rPr>
        <w:tab/>
        <w:t>los instrumentos musicales;</w:t>
      </w:r>
    </w:p>
    <w:p w:rsidR="00C0409B" w:rsidRPr="000D5434" w:rsidRDefault="00C0409B" w:rsidP="00103D66">
      <w:pPr>
        <w:pStyle w:val="ONUMFS"/>
        <w:numPr>
          <w:ilvl w:val="0"/>
          <w:numId w:val="0"/>
        </w:numPr>
        <w:ind w:left="1134" w:hanging="567"/>
        <w:rPr>
          <w:szCs w:val="22"/>
          <w:lang w:val="es-ES"/>
        </w:rPr>
      </w:pPr>
      <w:r w:rsidRPr="000D5434">
        <w:rPr>
          <w:szCs w:val="22"/>
          <w:lang w:val="es-ES"/>
        </w:rPr>
        <w:t>c)</w:t>
      </w:r>
      <w:r w:rsidRPr="000D5434">
        <w:rPr>
          <w:szCs w:val="22"/>
          <w:lang w:val="es-ES"/>
        </w:rPr>
        <w:tab/>
        <w:t>las obras arquitectónicas.</w:t>
      </w:r>
      <w:r w:rsidRPr="000D5434">
        <w:rPr>
          <w:rStyle w:val="FootnoteReference"/>
          <w:szCs w:val="22"/>
          <w:lang w:val="es-ES"/>
        </w:rPr>
        <w:footnoteReference w:id="153"/>
      </w:r>
    </w:p>
    <w:p w:rsidR="00C0409B" w:rsidRPr="000D5434" w:rsidRDefault="00C0409B" w:rsidP="00A758A0">
      <w:pPr>
        <w:pStyle w:val="Heading1"/>
        <w:rPr>
          <w:b w:val="0"/>
          <w:bCs w:val="0"/>
          <w:szCs w:val="22"/>
          <w:lang w:val="es-ES"/>
        </w:rPr>
      </w:pPr>
      <w:bookmarkStart w:id="110" w:name="_Toc535585037"/>
      <w:r w:rsidRPr="000D5434">
        <w:rPr>
          <w:szCs w:val="22"/>
          <w:lang w:val="es-ES"/>
        </w:rPr>
        <w:t>Contexto tradicional</w:t>
      </w:r>
      <w:bookmarkEnd w:id="110"/>
    </w:p>
    <w:p w:rsidR="00C0409B" w:rsidRPr="000D5434" w:rsidRDefault="00C0409B" w:rsidP="00B16297">
      <w:pPr>
        <w:pStyle w:val="ONUMFS"/>
        <w:numPr>
          <w:ilvl w:val="0"/>
          <w:numId w:val="0"/>
        </w:numPr>
        <w:rPr>
          <w:szCs w:val="22"/>
          <w:lang w:val="es-ES"/>
        </w:rPr>
      </w:pPr>
      <w:r w:rsidRPr="000D5434">
        <w:rPr>
          <w:szCs w:val="22"/>
          <w:lang w:val="es-ES"/>
        </w:rPr>
        <w:t>Se califica de “tradicionales” a los conocimientos desarrollados de conformidad con las reglas, protocolos y costumbres de una determinada comunidad, y no porque sean antiguos.</w:t>
      </w:r>
      <w:r w:rsidR="00B834A4" w:rsidRPr="000D5434">
        <w:rPr>
          <w:szCs w:val="22"/>
          <w:lang w:val="es-ES"/>
        </w:rPr>
        <w:t xml:space="preserve"> </w:t>
      </w:r>
      <w:r w:rsidRPr="000D5434">
        <w:rPr>
          <w:szCs w:val="22"/>
          <w:lang w:val="es-ES"/>
        </w:rPr>
        <w:t>En otras palabras, el adjetivo “tradicional” califica el método de creación de las expresiones culturales tradicionales y no las propias expresiones.</w:t>
      </w:r>
      <w:r w:rsidRPr="000D5434">
        <w:rPr>
          <w:rStyle w:val="FootnoteReference"/>
          <w:szCs w:val="22"/>
          <w:lang w:val="es-ES"/>
        </w:rPr>
        <w:footnoteReference w:id="154"/>
      </w:r>
      <w:r w:rsidR="00B834A4" w:rsidRPr="000D5434">
        <w:rPr>
          <w:szCs w:val="22"/>
          <w:lang w:val="es-ES"/>
        </w:rPr>
        <w:t xml:space="preserve"> </w:t>
      </w:r>
      <w:r w:rsidRPr="000D5434">
        <w:rPr>
          <w:szCs w:val="22"/>
          <w:lang w:val="es-ES"/>
        </w:rPr>
        <w:t>El término “tradicional” significa “que las expresiones culturales se derivan o se basan en la tradición y se identifican o asocian con un pueblo indígena o tradicional determinado y pueden practicarse de manera tradicional”.</w:t>
      </w:r>
      <w:r w:rsidRPr="000D5434">
        <w:rPr>
          <w:rStyle w:val="FootnoteReference"/>
          <w:szCs w:val="22"/>
          <w:lang w:val="es-ES"/>
        </w:rPr>
        <w:footnoteReference w:id="155"/>
      </w:r>
      <w:r w:rsidR="00B834A4" w:rsidRPr="000D5434">
        <w:rPr>
          <w:szCs w:val="22"/>
          <w:lang w:val="es-ES"/>
        </w:rPr>
        <w:t xml:space="preserve"> </w:t>
      </w:r>
      <w:r w:rsidRPr="000D5434">
        <w:rPr>
          <w:szCs w:val="22"/>
          <w:lang w:val="es-ES"/>
        </w:rPr>
        <w:t>El</w:t>
      </w:r>
      <w:r w:rsidR="00814353" w:rsidRPr="000D5434">
        <w:rPr>
          <w:szCs w:val="22"/>
          <w:lang w:val="es-ES"/>
        </w:rPr>
        <w:t> </w:t>
      </w:r>
      <w:r w:rsidRPr="000D5434">
        <w:rPr>
          <w:szCs w:val="22"/>
          <w:lang w:val="es-ES"/>
        </w:rPr>
        <w:t>“contexto tradicional” es “la forma de utilización de una expresión del folclore en su marco artístico propio, sobre la base del uso permanente por la comunidad”.</w:t>
      </w:r>
      <w:r w:rsidR="00B834A4" w:rsidRPr="000D5434">
        <w:rPr>
          <w:szCs w:val="22"/>
          <w:lang w:val="es-ES"/>
        </w:rPr>
        <w:t xml:space="preserve"> </w:t>
      </w:r>
      <w:r w:rsidRPr="000D5434">
        <w:rPr>
          <w:szCs w:val="22"/>
          <w:lang w:val="es-ES"/>
        </w:rPr>
        <w:t>Por ejemplo, “utilizar una danza ritual en su contexto tradicional significa ejecutarla en el marco propio del rito”.</w:t>
      </w:r>
      <w:r w:rsidRPr="000D5434">
        <w:rPr>
          <w:rStyle w:val="FootnoteReference"/>
          <w:szCs w:val="22"/>
          <w:lang w:val="es-ES"/>
        </w:rPr>
        <w:footnoteReference w:id="156"/>
      </w:r>
    </w:p>
    <w:p w:rsidR="00C0409B" w:rsidRPr="000D5434" w:rsidRDefault="00C0409B" w:rsidP="00103D66">
      <w:pPr>
        <w:pStyle w:val="ONUMFS"/>
        <w:numPr>
          <w:ilvl w:val="0"/>
          <w:numId w:val="0"/>
        </w:numPr>
        <w:rPr>
          <w:szCs w:val="22"/>
          <w:lang w:val="es-ES"/>
        </w:rPr>
      </w:pPr>
      <w:r w:rsidRPr="000D5434">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w:t>
      </w:r>
      <w:r w:rsidR="00B834A4" w:rsidRPr="000D5434">
        <w:rPr>
          <w:szCs w:val="22"/>
          <w:lang w:val="es-ES"/>
        </w:rPr>
        <w:t xml:space="preserve"> </w:t>
      </w:r>
      <w:r w:rsidRPr="000D5434">
        <w:rPr>
          <w:szCs w:val="22"/>
          <w:lang w:val="es-ES"/>
        </w:rPr>
        <w:t>De ahí que el término “tradicionales” no se relacione necesariamente con la naturaleza de los conocimientos, sino con la manera en que esos conocimientos se crean, se conservan y se difunden.</w:t>
      </w:r>
      <w:r w:rsidRPr="000D5434">
        <w:rPr>
          <w:rStyle w:val="FootnoteReference"/>
          <w:szCs w:val="22"/>
          <w:lang w:val="es-ES"/>
        </w:rPr>
        <w:footnoteReference w:id="157"/>
      </w:r>
    </w:p>
    <w:p w:rsidR="00C0409B" w:rsidRPr="000D5434" w:rsidRDefault="00C0409B" w:rsidP="00A758A0">
      <w:pPr>
        <w:pStyle w:val="Heading1"/>
        <w:rPr>
          <w:b w:val="0"/>
          <w:bCs w:val="0"/>
          <w:szCs w:val="22"/>
          <w:lang w:val="es-ES"/>
        </w:rPr>
      </w:pPr>
      <w:bookmarkStart w:id="111" w:name="_Toc535585038"/>
      <w:r w:rsidRPr="000D5434">
        <w:rPr>
          <w:szCs w:val="22"/>
          <w:lang w:val="es-ES"/>
        </w:rPr>
        <w:t>Expresiones culturales tradicionales</w:t>
      </w:r>
      <w:bookmarkEnd w:id="111"/>
    </w:p>
    <w:p w:rsidR="00C0409B" w:rsidRPr="000D5434" w:rsidRDefault="00C0409B" w:rsidP="00103D66">
      <w:pPr>
        <w:pStyle w:val="ONUMFS"/>
        <w:numPr>
          <w:ilvl w:val="0"/>
          <w:numId w:val="0"/>
        </w:numPr>
        <w:rPr>
          <w:szCs w:val="22"/>
          <w:lang w:val="es-ES"/>
        </w:rPr>
      </w:pPr>
      <w:r w:rsidRPr="000D5434">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w:t>
      </w:r>
      <w:r w:rsidR="00B834A4" w:rsidRPr="000D5434">
        <w:rPr>
          <w:szCs w:val="22"/>
          <w:lang w:val="es-ES"/>
        </w:rPr>
        <w:t xml:space="preserve"> </w:t>
      </w:r>
      <w:r w:rsidRPr="000D5434">
        <w:rPr>
          <w:szCs w:val="22"/>
          <w:lang w:val="es-ES"/>
        </w:rPr>
        <w:t>En estas disposiciones, los términos “expresiones culturales tradicionales” y “expresiones del folclore” se emplean como sinónimos intercambiables y se puede hacer referencia a ellos simplemente como “ECT/EF”.</w:t>
      </w:r>
      <w:r w:rsidR="00B834A4" w:rsidRPr="000D5434">
        <w:rPr>
          <w:szCs w:val="22"/>
          <w:lang w:val="es-ES"/>
        </w:rPr>
        <w:t xml:space="preserve"> </w:t>
      </w:r>
      <w:r w:rsidRPr="000D5434">
        <w:rPr>
          <w:szCs w:val="22"/>
          <w:lang w:val="es-ES"/>
        </w:rPr>
        <w:t>El uso de estos términos no tiene por objeto sugerir un consenso entre los Estados miembros de la OMPI en cuanto a la validez de estos u otros términos, y no afecta o limita el uso de otros términos en legislaciones regionales o nacionales.</w:t>
      </w:r>
    </w:p>
    <w:p w:rsidR="00C0409B" w:rsidRPr="000D5434" w:rsidRDefault="00C0409B" w:rsidP="00A758A0">
      <w:pPr>
        <w:pStyle w:val="Heading1"/>
        <w:rPr>
          <w:b w:val="0"/>
          <w:bCs w:val="0"/>
          <w:szCs w:val="22"/>
          <w:lang w:val="es-ES"/>
        </w:rPr>
      </w:pPr>
      <w:bookmarkStart w:id="112" w:name="_Toc535585039"/>
      <w:r w:rsidRPr="000D5434">
        <w:rPr>
          <w:szCs w:val="22"/>
          <w:lang w:val="es-ES"/>
        </w:rPr>
        <w:lastRenderedPageBreak/>
        <w:t>Culturas tradicionales</w:t>
      </w:r>
      <w:bookmarkEnd w:id="112"/>
    </w:p>
    <w:p w:rsidR="00C0409B" w:rsidRPr="000D5434" w:rsidRDefault="00C0409B" w:rsidP="00103D66">
      <w:pPr>
        <w:pStyle w:val="ONUMFS"/>
        <w:numPr>
          <w:ilvl w:val="0"/>
          <w:numId w:val="0"/>
        </w:numPr>
        <w:rPr>
          <w:szCs w:val="22"/>
          <w:lang w:val="es-ES"/>
        </w:rPr>
      </w:pPr>
      <w:r w:rsidRPr="000D5434">
        <w:rPr>
          <w:szCs w:val="22"/>
          <w:lang w:val="es-ES"/>
        </w:rPr>
        <w:t>Según el Diccionario de la lengua española de la Real Academia Española, la “tradición” es la “transmisión de noticias, composiciones literarias, doctrinas, ritos, costumbres, etc., hecha de generación en generación”.</w:t>
      </w:r>
      <w:r w:rsidR="00B834A4" w:rsidRPr="000D5434">
        <w:rPr>
          <w:szCs w:val="22"/>
          <w:lang w:val="es-ES"/>
        </w:rPr>
        <w:t xml:space="preserve"> </w:t>
      </w:r>
      <w:r w:rsidRPr="000D5434">
        <w:rPr>
          <w:szCs w:val="22"/>
          <w:lang w:val="es-ES"/>
        </w:rPr>
        <w:t>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0D5434">
        <w:rPr>
          <w:rStyle w:val="FootnoteReference"/>
          <w:szCs w:val="22"/>
          <w:lang w:val="es-ES"/>
        </w:rPr>
        <w:footnoteReference w:id="158"/>
      </w:r>
    </w:p>
    <w:p w:rsidR="00C0409B" w:rsidRPr="000D5434" w:rsidRDefault="00C0409B" w:rsidP="00A758A0">
      <w:pPr>
        <w:pStyle w:val="Heading1"/>
        <w:rPr>
          <w:b w:val="0"/>
          <w:bCs w:val="0"/>
          <w:szCs w:val="22"/>
          <w:lang w:val="es-ES"/>
        </w:rPr>
      </w:pPr>
      <w:bookmarkStart w:id="113" w:name="_Toc535585040"/>
      <w:r w:rsidRPr="000D5434">
        <w:rPr>
          <w:szCs w:val="22"/>
          <w:lang w:val="es-ES"/>
        </w:rPr>
        <w:t>Conocimientos ecológicos tradicionales/conocimientos medioambientales tradicionales</w:t>
      </w:r>
      <w:bookmarkEnd w:id="113"/>
    </w:p>
    <w:p w:rsidR="00C0409B" w:rsidRPr="000D5434" w:rsidRDefault="00C0409B" w:rsidP="00103D66">
      <w:pPr>
        <w:pStyle w:val="ONUMFS"/>
        <w:numPr>
          <w:ilvl w:val="0"/>
          <w:numId w:val="0"/>
        </w:numPr>
        <w:rPr>
          <w:szCs w:val="22"/>
          <w:lang w:val="es-ES"/>
        </w:rPr>
      </w:pPr>
      <w:r w:rsidRPr="000D5434">
        <w:rPr>
          <w:szCs w:val="22"/>
          <w:lang w:val="es-ES"/>
        </w:rPr>
        <w:t>El Instituto Cultural Dene define los “conocimientos medioambientales tradicionales” como “un conjunto de conocimientos y creencias transmitidos por medio de la tradición oral y obtenidos por observación directa.</w:t>
      </w:r>
      <w:r w:rsidR="00B834A4" w:rsidRPr="000D5434">
        <w:rPr>
          <w:szCs w:val="22"/>
          <w:lang w:val="es-ES"/>
        </w:rPr>
        <w:t xml:space="preserve"> </w:t>
      </w:r>
      <w:r w:rsidRPr="000D5434">
        <w:rPr>
          <w:szCs w:val="22"/>
          <w:lang w:val="es-ES"/>
        </w:rPr>
        <w:t>Este conjunto incluye un sistema de clasificación, un conjunto de observaciones empíricas acerca del medio ambiente local y un sistema de autogestión que rige la utilización de los recursos.</w:t>
      </w:r>
      <w:r w:rsidR="00B834A4" w:rsidRPr="000D5434">
        <w:rPr>
          <w:szCs w:val="22"/>
          <w:lang w:val="es-ES"/>
        </w:rPr>
        <w:t xml:space="preserve"> </w:t>
      </w:r>
      <w:r w:rsidRPr="000D5434">
        <w:rPr>
          <w:szCs w:val="22"/>
          <w:lang w:val="es-ES"/>
        </w:rPr>
        <w:t>Los aspectos ecológicos están íntimamente relacionados con los aspectos sociales y espirituales del sistema de conocimientos.</w:t>
      </w:r>
      <w:r w:rsidR="00B834A4" w:rsidRPr="000D5434">
        <w:rPr>
          <w:szCs w:val="22"/>
          <w:lang w:val="es-ES"/>
        </w:rPr>
        <w:t xml:space="preserve"> </w:t>
      </w:r>
      <w:r w:rsidRPr="000D5434">
        <w:rPr>
          <w:szCs w:val="22"/>
          <w:lang w:val="es-ES"/>
        </w:rPr>
        <w:t>La cantidad y calidad de los conocimientos ecológicos tradicionales varía entre los miembros de la comunidad, en función de su sexo, edad, condición social, capacidad intelectual y profesión (cazador, líder espiritual, curandero, etc.).</w:t>
      </w:r>
      <w:r w:rsidR="00B834A4" w:rsidRPr="000D5434">
        <w:rPr>
          <w:szCs w:val="22"/>
          <w:lang w:val="es-ES"/>
        </w:rPr>
        <w:t xml:space="preserve"> </w:t>
      </w:r>
      <w:r w:rsidRPr="000D5434">
        <w:rPr>
          <w:szCs w:val="22"/>
          <w:lang w:val="es-ES"/>
        </w:rPr>
        <w:t>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0D5434">
        <w:rPr>
          <w:rStyle w:val="FootnoteReference"/>
          <w:szCs w:val="22"/>
          <w:lang w:val="es-ES"/>
        </w:rPr>
        <w:footnoteReference w:id="159"/>
      </w:r>
      <w:r w:rsidR="00B834A4" w:rsidRPr="000D5434">
        <w:rPr>
          <w:szCs w:val="22"/>
          <w:lang w:val="es-ES"/>
        </w:rPr>
        <w:t xml:space="preserve"> </w:t>
      </w:r>
      <w:r w:rsidRPr="000D5434">
        <w:rPr>
          <w:szCs w:val="22"/>
          <w:lang w:val="es-ES"/>
        </w:rPr>
        <w:t>(Traducción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 xml:space="preserve">Los conocimientos ecológicos tradicionales también pueden definirse como </w:t>
      </w:r>
      <w:r w:rsidRPr="000D5434">
        <w:rPr>
          <w:iCs/>
          <w:szCs w:val="22"/>
          <w:lang w:val="es-ES"/>
        </w:rPr>
        <w:t>“un cuerpo acumulativo de conocimientos y creencias, transmitidos de generación en generación por transmisión cultural y que versan sobre las relaciones que establecen los seres humanos entre sí y con su entorno.</w:t>
      </w:r>
      <w:r w:rsidR="00B834A4" w:rsidRPr="000D5434">
        <w:rPr>
          <w:iCs/>
          <w:szCs w:val="22"/>
          <w:lang w:val="es-ES"/>
        </w:rPr>
        <w:t xml:space="preserve"> </w:t>
      </w:r>
      <w:r w:rsidRPr="000D5434">
        <w:rPr>
          <w:iCs/>
          <w:szCs w:val="22"/>
          <w:lang w:val="es-ES"/>
        </w:rPr>
        <w:t>Asimismo, los conocimientos ecológicos tradicionales son un atributo de las sociedades con continuidad histórica en las prácticas relativas al uso de los recursos;</w:t>
      </w:r>
      <w:r w:rsidR="00B834A4" w:rsidRPr="000D5434">
        <w:rPr>
          <w:iCs/>
          <w:szCs w:val="22"/>
          <w:lang w:val="es-ES"/>
        </w:rPr>
        <w:t xml:space="preserve"> </w:t>
      </w:r>
      <w:r w:rsidRPr="000D5434">
        <w:rPr>
          <w:iCs/>
          <w:szCs w:val="22"/>
          <w:lang w:val="es-ES"/>
        </w:rPr>
        <w:t>por lo general se trata de sociedades no industrializadas o tecnológicamente no muy avanzadas, la mayoría de ellas indígenas o tribales”</w:t>
      </w:r>
      <w:r w:rsidRPr="000D5434">
        <w:rPr>
          <w:i/>
          <w:iCs/>
          <w:szCs w:val="22"/>
          <w:lang w:val="es-ES"/>
        </w:rPr>
        <w:t>.</w:t>
      </w:r>
      <w:r w:rsidR="00B834A4" w:rsidRPr="000D5434">
        <w:rPr>
          <w:i/>
          <w:iCs/>
          <w:szCs w:val="22"/>
          <w:lang w:val="es-ES"/>
        </w:rPr>
        <w:t xml:space="preserve"> </w:t>
      </w:r>
      <w:r w:rsidRPr="000D5434">
        <w:rPr>
          <w:szCs w:val="22"/>
          <w:lang w:val="es-ES"/>
        </w:rPr>
        <w:t>(Traducción oficiosa de la Oficina Internacional).</w:t>
      </w:r>
      <w:r w:rsidRPr="000D5434">
        <w:rPr>
          <w:rStyle w:val="FootnoteReference"/>
          <w:szCs w:val="22"/>
          <w:lang w:val="es-ES"/>
        </w:rPr>
        <w:footnoteReference w:id="160"/>
      </w:r>
    </w:p>
    <w:p w:rsidR="00C0409B" w:rsidRPr="000D5434" w:rsidRDefault="00C0409B" w:rsidP="00A758A0">
      <w:pPr>
        <w:pStyle w:val="Heading1"/>
        <w:rPr>
          <w:b w:val="0"/>
          <w:bCs w:val="0"/>
          <w:szCs w:val="22"/>
          <w:lang w:val="es-ES"/>
        </w:rPr>
      </w:pPr>
      <w:bookmarkStart w:id="114" w:name="_Toc535585041"/>
      <w:r w:rsidRPr="000D5434">
        <w:rPr>
          <w:szCs w:val="22"/>
          <w:lang w:val="es-ES"/>
        </w:rPr>
        <w:t>Conocimientos tradicionales</w:t>
      </w:r>
      <w:bookmarkEnd w:id="114"/>
    </w:p>
    <w:p w:rsidR="00C0409B" w:rsidRPr="000D5434" w:rsidRDefault="00C0409B" w:rsidP="00103D66">
      <w:pPr>
        <w:pStyle w:val="ONUMFS"/>
        <w:numPr>
          <w:ilvl w:val="0"/>
          <w:numId w:val="0"/>
        </w:numPr>
        <w:rPr>
          <w:szCs w:val="22"/>
          <w:lang w:val="es-ES"/>
        </w:rPr>
      </w:pPr>
      <w:r w:rsidRPr="000D5434">
        <w:rPr>
          <w:szCs w:val="22"/>
          <w:lang w:val="es-ES"/>
        </w:rPr>
        <w:t>Hasta el momento no se ha aceptado una definición estándar de “conocimientos tradicionales” en el ámbito internacional.</w:t>
      </w:r>
    </w:p>
    <w:p w:rsidR="00C0409B" w:rsidRPr="000D5434" w:rsidRDefault="00C0409B" w:rsidP="00103D66">
      <w:pPr>
        <w:pStyle w:val="ONUMFS"/>
        <w:numPr>
          <w:ilvl w:val="0"/>
          <w:numId w:val="0"/>
        </w:numPr>
        <w:rPr>
          <w:szCs w:val="22"/>
          <w:lang w:val="es-ES"/>
        </w:rPr>
      </w:pPr>
      <w:r w:rsidRPr="000D5434">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w:t>
      </w:r>
      <w:r w:rsidR="00B834A4" w:rsidRPr="000D5434">
        <w:rPr>
          <w:szCs w:val="22"/>
          <w:lang w:val="es-ES"/>
        </w:rPr>
        <w:t xml:space="preserve"> </w:t>
      </w:r>
      <w:r w:rsidRPr="000D5434">
        <w:rPr>
          <w:szCs w:val="22"/>
          <w:lang w:val="es-ES"/>
        </w:rPr>
        <w:t>Dicho de otra forma, los conocimientos tradicionales en sentido general se refieren al contenido de los conocimientos propiamente dichos y a las expresiones culturales tradicionales, incluidos los signos y símbolos asociados a conocimientos tradicionales.</w:t>
      </w:r>
    </w:p>
    <w:p w:rsidR="00C0409B" w:rsidRPr="000D5434" w:rsidRDefault="00C0409B" w:rsidP="00103D66">
      <w:pPr>
        <w:pStyle w:val="ONUMFS"/>
        <w:numPr>
          <w:ilvl w:val="0"/>
          <w:numId w:val="0"/>
        </w:numPr>
        <w:rPr>
          <w:szCs w:val="22"/>
          <w:lang w:val="es-ES"/>
        </w:rPr>
      </w:pPr>
      <w:r w:rsidRPr="000D5434">
        <w:rPr>
          <w:szCs w:val="22"/>
          <w:lang w:val="es-ES"/>
        </w:rPr>
        <w:lastRenderedPageBreak/>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w:t>
      </w:r>
      <w:r w:rsidR="00B834A4" w:rsidRPr="000D5434">
        <w:rPr>
          <w:szCs w:val="22"/>
          <w:lang w:val="es-ES"/>
        </w:rPr>
        <w:t xml:space="preserve"> </w:t>
      </w:r>
      <w:r w:rsidRPr="000D5434">
        <w:rPr>
          <w:szCs w:val="22"/>
          <w:lang w:val="es-ES"/>
        </w:rPr>
        <w:t>Los conocimientos tradicionales pueden darse en una gran variedad de contextos, como por ejemplo:</w:t>
      </w:r>
      <w:r w:rsidR="00B834A4" w:rsidRPr="000D5434">
        <w:rPr>
          <w:szCs w:val="22"/>
          <w:lang w:val="es-ES"/>
        </w:rPr>
        <w:t xml:space="preserve"> </w:t>
      </w:r>
      <w:r w:rsidRPr="000D5434">
        <w:rPr>
          <w:szCs w:val="22"/>
          <w:lang w:val="es-ES"/>
        </w:rPr>
        <w:t>conocimientos agrícolas, científicos, técnicos, ecológicos, medicinales, incluidos los medicamentos y remedios medicinales, conocimientos relacionados con la biodiversidad, etcétera.</w:t>
      </w:r>
      <w:r w:rsidRPr="000D5434">
        <w:rPr>
          <w:rStyle w:val="FootnoteReference"/>
          <w:szCs w:val="22"/>
          <w:lang w:val="es-ES"/>
        </w:rPr>
        <w:footnoteReference w:id="161"/>
      </w:r>
    </w:p>
    <w:p w:rsidR="00C0409B" w:rsidRPr="000D5434" w:rsidRDefault="00C0409B" w:rsidP="00A758A0">
      <w:pPr>
        <w:pStyle w:val="Heading1"/>
        <w:rPr>
          <w:b w:val="0"/>
          <w:bCs w:val="0"/>
          <w:szCs w:val="22"/>
          <w:lang w:val="es-ES"/>
        </w:rPr>
      </w:pPr>
      <w:bookmarkStart w:id="115" w:name="_Toc535585042"/>
      <w:r w:rsidRPr="000D5434">
        <w:rPr>
          <w:szCs w:val="22"/>
          <w:lang w:val="es-ES"/>
        </w:rPr>
        <w:t>Biblioteca digital sobre Conocimientos Tradicionales</w:t>
      </w:r>
      <w:bookmarkEnd w:id="115"/>
    </w:p>
    <w:p w:rsidR="00C0409B" w:rsidRPr="000D5434" w:rsidRDefault="00C0409B" w:rsidP="00103D66">
      <w:pPr>
        <w:pStyle w:val="ONUMFS"/>
        <w:numPr>
          <w:ilvl w:val="0"/>
          <w:numId w:val="0"/>
        </w:numPr>
        <w:tabs>
          <w:tab w:val="left" w:pos="7230"/>
        </w:tabs>
        <w:rPr>
          <w:szCs w:val="22"/>
          <w:lang w:val="es-ES"/>
        </w:rPr>
      </w:pPr>
      <w:r w:rsidRPr="000D5434">
        <w:rPr>
          <w:szCs w:val="22"/>
          <w:lang w:val="es-ES"/>
        </w:rPr>
        <w:t>La Biblioteca digital sobre Conocimientos Tradicionales (TKDL) es un</w:t>
      </w:r>
      <w:r w:rsidR="005E60D3" w:rsidRPr="000D5434">
        <w:rPr>
          <w:szCs w:val="22"/>
          <w:lang w:val="es-ES"/>
        </w:rPr>
        <w:t>a iniciativa pionera de la India, destinada a impedir la apropiación indebida de los conocimientos médicos tradicionales del país</w:t>
      </w:r>
      <w:r w:rsidRPr="000D5434">
        <w:rPr>
          <w:szCs w:val="22"/>
          <w:lang w:val="es-ES"/>
        </w:rPr>
        <w:t>.</w:t>
      </w:r>
      <w:r w:rsidR="00B834A4" w:rsidRPr="000D5434">
        <w:rPr>
          <w:szCs w:val="22"/>
          <w:lang w:val="es-ES"/>
        </w:rPr>
        <w:t xml:space="preserve"> </w:t>
      </w:r>
      <w:r w:rsidRPr="000D5434">
        <w:rPr>
          <w:szCs w:val="22"/>
          <w:lang w:val="es-ES"/>
        </w:rPr>
        <w:t>Un equipo interdisciplinario de expertos en medicina tradicional (Ayurveda, Unani, Siddha y Yoga), examinadores de patentes, expertos en TI, científicos y funcionarios técnicos participaron en la creación de la biblioteca digital sobre los sistemas de medicina de la India.</w:t>
      </w:r>
      <w:r w:rsidR="00B834A4" w:rsidRPr="000D5434">
        <w:rPr>
          <w:szCs w:val="22"/>
          <w:lang w:val="es-ES"/>
        </w:rPr>
        <w:t xml:space="preserve"> </w:t>
      </w:r>
      <w:r w:rsidRPr="000D5434">
        <w:rPr>
          <w:szCs w:val="22"/>
          <w:lang w:val="es-ES"/>
        </w:rPr>
        <w:t>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w:t>
      </w:r>
      <w:r w:rsidR="00B834A4" w:rsidRPr="000D5434">
        <w:rPr>
          <w:szCs w:val="22"/>
          <w:lang w:val="es-ES"/>
        </w:rPr>
        <w:t xml:space="preserve"> </w:t>
      </w:r>
      <w:r w:rsidRPr="000D5434">
        <w:rPr>
          <w:szCs w:val="22"/>
          <w:lang w:val="es-ES"/>
        </w:rPr>
        <w:t>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0D5434">
        <w:rPr>
          <w:rStyle w:val="FootnoteReference"/>
          <w:szCs w:val="22"/>
          <w:lang w:val="es-ES"/>
        </w:rPr>
        <w:footnoteReference w:id="162"/>
      </w:r>
    </w:p>
    <w:p w:rsidR="00C0409B" w:rsidRPr="000D5434" w:rsidRDefault="00C0409B" w:rsidP="00103D66">
      <w:pPr>
        <w:pStyle w:val="ONUMFS"/>
        <w:numPr>
          <w:ilvl w:val="0"/>
          <w:numId w:val="0"/>
        </w:numPr>
        <w:rPr>
          <w:szCs w:val="22"/>
          <w:lang w:val="es-ES"/>
        </w:rPr>
      </w:pPr>
      <w:r w:rsidRPr="000D5434">
        <w:rPr>
          <w:szCs w:val="22"/>
          <w:lang w:val="es-ES"/>
        </w:rPr>
        <w:t>La Biblioteca digital tiene un doble objetivo.</w:t>
      </w:r>
      <w:r w:rsidR="00B834A4" w:rsidRPr="000D5434">
        <w:rPr>
          <w:szCs w:val="22"/>
          <w:lang w:val="es-ES"/>
        </w:rPr>
        <w:t xml:space="preserve"> </w:t>
      </w:r>
      <w:r w:rsidRPr="000D5434">
        <w:rPr>
          <w:szCs w:val="22"/>
          <w:lang w:val="es-ES"/>
        </w:rPr>
        <w:t>En primer lugar, persigue evitar la concesión de patentes por productos elaborados utilizando conocimientos tradicionales y que impliquen poca, o ninguna, actividad inventiva.</w:t>
      </w:r>
      <w:r w:rsidR="00B834A4" w:rsidRPr="000D5434">
        <w:rPr>
          <w:szCs w:val="22"/>
          <w:lang w:val="es-ES"/>
        </w:rPr>
        <w:t xml:space="preserve"> </w:t>
      </w:r>
      <w:r w:rsidRPr="000D5434">
        <w:rPr>
          <w:szCs w:val="22"/>
          <w:lang w:val="es-ES"/>
        </w:rPr>
        <w:t>En segundo lugar, persigue servir de enlace entre la ciencia moderna y los conocimientos tradicionales, y puede utilizarse como catalizador en la investigación avanzada basada en información sobre conocimientos tradicionales para la elaboración de nuevos fármacos.</w:t>
      </w:r>
      <w:r w:rsidR="00B834A4" w:rsidRPr="000D5434">
        <w:rPr>
          <w:szCs w:val="22"/>
          <w:lang w:val="es-ES"/>
        </w:rPr>
        <w:t xml:space="preserve"> </w:t>
      </w:r>
      <w:r w:rsidRPr="000D5434">
        <w:rPr>
          <w:szCs w:val="22"/>
          <w:lang w:val="es-ES"/>
        </w:rPr>
        <w:t>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w:t>
      </w:r>
      <w:r w:rsidR="00B834A4" w:rsidRPr="000D5434">
        <w:rPr>
          <w:szCs w:val="22"/>
          <w:lang w:val="es-ES"/>
        </w:rPr>
        <w:t xml:space="preserve"> </w:t>
      </w:r>
      <w:r w:rsidRPr="000D5434">
        <w:rPr>
          <w:szCs w:val="22"/>
          <w:lang w:val="es-ES"/>
        </w:rPr>
        <w:t>Así, se espera colmar la brecha de conocimientos sobre el estado de la técnica.</w:t>
      </w:r>
      <w:r w:rsidR="00B834A4" w:rsidRPr="000D5434">
        <w:rPr>
          <w:szCs w:val="22"/>
          <w:lang w:val="es-ES"/>
        </w:rPr>
        <w:t xml:space="preserve"> </w:t>
      </w:r>
      <w:r w:rsidRPr="000D5434">
        <w:rPr>
          <w:szCs w:val="22"/>
          <w:lang w:val="es-ES"/>
        </w:rPr>
        <w:t>La base de datos proporcionará suficientes detalles sobre las definiciones, principios y conceptos para minimizar la posibilidad de conceder patentes por “invenciones” relativas a modificaciones menores o insignificantes.</w:t>
      </w:r>
      <w:r w:rsidRPr="000D5434">
        <w:rPr>
          <w:rStyle w:val="FootnoteReference"/>
          <w:szCs w:val="22"/>
          <w:lang w:val="es-ES"/>
        </w:rPr>
        <w:footnoteReference w:id="163"/>
      </w:r>
    </w:p>
    <w:p w:rsidR="00C0409B" w:rsidRPr="000D5434" w:rsidRDefault="00C0409B" w:rsidP="00A758A0">
      <w:pPr>
        <w:pStyle w:val="Heading1"/>
        <w:rPr>
          <w:b w:val="0"/>
          <w:bCs w:val="0"/>
          <w:szCs w:val="22"/>
          <w:lang w:val="es-ES"/>
        </w:rPr>
      </w:pPr>
      <w:bookmarkStart w:id="116" w:name="_Toc535585043"/>
      <w:r w:rsidRPr="000D5434">
        <w:rPr>
          <w:szCs w:val="22"/>
          <w:lang w:val="es-ES"/>
        </w:rPr>
        <w:t>Clasificación de Recursos sobre Conocimientos Tradicionales</w:t>
      </w:r>
      <w:bookmarkEnd w:id="116"/>
    </w:p>
    <w:p w:rsidR="00C0409B" w:rsidRPr="000D5434" w:rsidRDefault="00C0409B" w:rsidP="00103D66">
      <w:pPr>
        <w:pStyle w:val="ONUMFS"/>
        <w:numPr>
          <w:ilvl w:val="0"/>
          <w:numId w:val="0"/>
        </w:numPr>
        <w:rPr>
          <w:szCs w:val="22"/>
          <w:lang w:val="es-ES"/>
        </w:rPr>
      </w:pPr>
      <w:r w:rsidRPr="000D5434">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0D5434">
        <w:rPr>
          <w:rStyle w:val="FootnoteReference"/>
          <w:szCs w:val="22"/>
          <w:lang w:val="es-ES"/>
        </w:rPr>
        <w:footnoteReference w:id="164"/>
      </w:r>
      <w:r w:rsidR="00B834A4" w:rsidRPr="000D5434">
        <w:rPr>
          <w:szCs w:val="22"/>
          <w:lang w:val="es-ES"/>
        </w:rPr>
        <w:t xml:space="preserve"> </w:t>
      </w:r>
      <w:r w:rsidRPr="000D5434">
        <w:rPr>
          <w:szCs w:val="22"/>
          <w:lang w:val="es-ES"/>
        </w:rPr>
        <w:t>Esta clasificación, cuya aplicación está destinada a los sistemas de la medicina de la India (Ayurveda, Unani, Siddha y Yoga), goza ahora de renombre internacional y está asociada a la CIP.</w:t>
      </w:r>
      <w:r w:rsidR="00B834A4" w:rsidRPr="000D5434">
        <w:rPr>
          <w:szCs w:val="22"/>
          <w:lang w:val="es-ES"/>
        </w:rPr>
        <w:t xml:space="preserve"> </w:t>
      </w:r>
      <w:r w:rsidRPr="000D5434">
        <w:rPr>
          <w:szCs w:val="22"/>
          <w:lang w:val="es-ES"/>
        </w:rPr>
        <w:t xml:space="preserve">La utilización de sistemas modernos de divulgación, a saber, las tecnologías de la información, en particular, las tecnologías relativas a Internet y a la Web permitirán </w:t>
      </w:r>
      <w:r w:rsidRPr="000D5434">
        <w:rPr>
          <w:szCs w:val="22"/>
          <w:lang w:val="es-ES"/>
        </w:rPr>
        <w:lastRenderedPageBreak/>
        <w:t>incrementar el reconocimiento general de la importancia de los sistemas de conocimientos tradicionales.</w:t>
      </w:r>
      <w:r w:rsidR="00B834A4" w:rsidRPr="000D5434">
        <w:rPr>
          <w:szCs w:val="22"/>
          <w:lang w:val="es-ES"/>
        </w:rPr>
        <w:t xml:space="preserve"> </w:t>
      </w:r>
      <w:r w:rsidRPr="000D5434">
        <w:rPr>
          <w:szCs w:val="22"/>
          <w:lang w:val="es-ES"/>
        </w:rPr>
        <w:t>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0D5434">
        <w:rPr>
          <w:rStyle w:val="FootnoteReference"/>
          <w:szCs w:val="22"/>
          <w:lang w:val="es-ES"/>
        </w:rPr>
        <w:footnoteReference w:id="165"/>
      </w:r>
    </w:p>
    <w:p w:rsidR="00C0409B" w:rsidRPr="000D5434" w:rsidRDefault="00C0409B" w:rsidP="00A758A0">
      <w:pPr>
        <w:pStyle w:val="Heading1"/>
        <w:rPr>
          <w:b w:val="0"/>
          <w:bCs w:val="0"/>
          <w:szCs w:val="22"/>
          <w:lang w:val="es-ES"/>
        </w:rPr>
      </w:pPr>
      <w:bookmarkStart w:id="117" w:name="_Toc535585044"/>
      <w:r w:rsidRPr="000D5434">
        <w:rPr>
          <w:szCs w:val="22"/>
          <w:lang w:val="es-ES"/>
        </w:rPr>
        <w:t>Medicina tradicional</w:t>
      </w:r>
      <w:bookmarkEnd w:id="117"/>
    </w:p>
    <w:p w:rsidR="00C0409B" w:rsidRPr="000D5434" w:rsidRDefault="00C0409B" w:rsidP="00103D66">
      <w:pPr>
        <w:pStyle w:val="ONUMFS"/>
        <w:numPr>
          <w:ilvl w:val="0"/>
          <w:numId w:val="0"/>
        </w:numPr>
        <w:rPr>
          <w:szCs w:val="22"/>
          <w:lang w:val="es-ES"/>
        </w:rPr>
      </w:pPr>
      <w:r w:rsidRPr="000D5434">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0D5434">
        <w:rPr>
          <w:rStyle w:val="FootnoteReference"/>
          <w:szCs w:val="22"/>
          <w:lang w:val="es-ES"/>
        </w:rPr>
        <w:footnoteReference w:id="166"/>
      </w:r>
      <w:r w:rsidR="00B834A4" w:rsidRPr="000D5434">
        <w:rPr>
          <w:szCs w:val="22"/>
          <w:lang w:val="es-ES"/>
        </w:rPr>
        <w:t xml:space="preserve"> </w:t>
      </w:r>
      <w:r w:rsidRPr="000D5434">
        <w:rPr>
          <w:szCs w:val="22"/>
          <w:lang w:val="es-ES"/>
        </w:rPr>
        <w:t>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0D5434">
        <w:rPr>
          <w:rStyle w:val="FootnoteReference"/>
          <w:szCs w:val="22"/>
          <w:lang w:val="es-ES"/>
        </w:rPr>
        <w:footnoteReference w:id="167"/>
      </w:r>
    </w:p>
    <w:p w:rsidR="00C0409B" w:rsidRPr="000D5434" w:rsidRDefault="00C0409B" w:rsidP="00A758A0">
      <w:pPr>
        <w:pStyle w:val="Heading1"/>
        <w:rPr>
          <w:b w:val="0"/>
          <w:bCs w:val="0"/>
          <w:szCs w:val="22"/>
          <w:lang w:val="es-ES"/>
        </w:rPr>
      </w:pPr>
      <w:bookmarkStart w:id="118" w:name="_Toc535585045"/>
      <w:r w:rsidRPr="000D5434">
        <w:rPr>
          <w:szCs w:val="22"/>
          <w:lang w:val="es-ES"/>
        </w:rPr>
        <w:t>Innovaciones y creaciones basadas en la tradición</w:t>
      </w:r>
      <w:bookmarkEnd w:id="118"/>
    </w:p>
    <w:p w:rsidR="00C0409B" w:rsidRPr="000D5434" w:rsidRDefault="00C0409B" w:rsidP="00103D66">
      <w:pPr>
        <w:pStyle w:val="ONUMFS"/>
        <w:numPr>
          <w:ilvl w:val="0"/>
          <w:numId w:val="0"/>
        </w:numPr>
        <w:rPr>
          <w:szCs w:val="22"/>
          <w:lang w:val="es-ES"/>
        </w:rPr>
      </w:pPr>
      <w:r w:rsidRPr="000D5434">
        <w:rPr>
          <w:szCs w:val="22"/>
          <w:lang w:val="es-ES"/>
        </w:rPr>
        <w:t>Las tradiciones constituyen un conjunto de ideas y prácticas culturales que pertenecen al pasado y a las cuales se les atribuye determinada categoría.</w:t>
      </w:r>
      <w:r w:rsidR="00B834A4" w:rsidRPr="000D5434">
        <w:rPr>
          <w:szCs w:val="22"/>
          <w:lang w:val="es-ES"/>
        </w:rPr>
        <w:t xml:space="preserve"> </w:t>
      </w:r>
      <w:r w:rsidRPr="000D5434">
        <w:rPr>
          <w:szCs w:val="22"/>
          <w:lang w:val="es-ES"/>
        </w:rPr>
        <w:t>La expresión “creaciones o innovaciones basadas en la tradición” hace referencia a las innovaciones y las creaciones basadas en “CC.TT. como tales”, es decir que han sido objeto de elaboración e innovación más allá de un “contexto tradicional”.</w:t>
      </w:r>
      <w:r w:rsidRPr="000D5434">
        <w:rPr>
          <w:rStyle w:val="FootnoteReference"/>
          <w:szCs w:val="22"/>
          <w:lang w:val="es-ES"/>
        </w:rPr>
        <w:footnoteReference w:id="168"/>
      </w:r>
      <w:r w:rsidR="00B834A4" w:rsidRPr="000D5434">
        <w:rPr>
          <w:szCs w:val="22"/>
          <w:lang w:val="es-ES"/>
        </w:rPr>
        <w:t xml:space="preserve"> </w:t>
      </w:r>
      <w:r w:rsidRPr="000D5434">
        <w:rPr>
          <w:szCs w:val="22"/>
          <w:lang w:val="es-ES"/>
        </w:rPr>
        <w:t>Mediante la expresión “conocimientos tradicionales como tales” se hace referencia a “los sistemas de conocimientos, las creaciones, innovaciones y expresiones culturales que se han transmitido generalmente de generación en generación;</w:t>
      </w:r>
      <w:r w:rsidR="00B834A4" w:rsidRPr="000D5434">
        <w:rPr>
          <w:szCs w:val="22"/>
          <w:lang w:val="es-ES"/>
        </w:rPr>
        <w:t xml:space="preserve"> </w:t>
      </w:r>
      <w:r w:rsidRPr="000D5434">
        <w:rPr>
          <w:szCs w:val="22"/>
          <w:lang w:val="es-ES"/>
        </w:rPr>
        <w:t>se considera generalmente que pertenecen a un pueblo en particular o a su territorio y evolucionan constantemente en respuesta a los cambios que se producen en su entorno.”</w:t>
      </w:r>
      <w:r w:rsidRPr="000D5434">
        <w:rPr>
          <w:rStyle w:val="FootnoteReference"/>
          <w:szCs w:val="22"/>
          <w:lang w:val="es-ES"/>
        </w:rPr>
        <w:footnoteReference w:id="169"/>
      </w:r>
      <w:r w:rsidR="00B834A4" w:rsidRPr="000D5434">
        <w:rPr>
          <w:szCs w:val="22"/>
          <w:lang w:val="es-ES"/>
        </w:rPr>
        <w:t xml:space="preserve"> </w:t>
      </w:r>
      <w:r w:rsidRPr="000D5434">
        <w:rPr>
          <w:szCs w:val="22"/>
          <w:lang w:val="es-ES"/>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0D5434">
        <w:rPr>
          <w:szCs w:val="22"/>
          <w:vertAlign w:val="superscript"/>
          <w:lang w:val="es-ES"/>
        </w:rPr>
        <w:footnoteReference w:id="170"/>
      </w:r>
      <w:r w:rsidR="00B834A4" w:rsidRPr="000D5434">
        <w:rPr>
          <w:szCs w:val="22"/>
          <w:lang w:val="es-ES"/>
        </w:rPr>
        <w:t xml:space="preserve"> </w:t>
      </w:r>
      <w:r w:rsidRPr="000D5434">
        <w:rPr>
          <w:szCs w:val="22"/>
          <w:lang w:val="es-ES"/>
        </w:rPr>
        <w:t>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0D5434">
        <w:rPr>
          <w:color w:val="000000"/>
          <w:szCs w:val="22"/>
          <w:lang w:val="es-ES"/>
        </w:rPr>
        <w:t>.</w:t>
      </w:r>
      <w:r w:rsidRPr="000D5434">
        <w:rPr>
          <w:rStyle w:val="FootnoteReference"/>
          <w:color w:val="000000"/>
          <w:szCs w:val="22"/>
          <w:lang w:val="es-ES"/>
        </w:rPr>
        <w:footnoteReference w:id="171"/>
      </w:r>
    </w:p>
    <w:p w:rsidR="00C0409B" w:rsidRPr="000D5434" w:rsidRDefault="00C0409B" w:rsidP="00A758A0">
      <w:pPr>
        <w:pStyle w:val="Heading1"/>
        <w:rPr>
          <w:b w:val="0"/>
          <w:bCs w:val="0"/>
          <w:szCs w:val="22"/>
          <w:lang w:val="es-ES"/>
        </w:rPr>
      </w:pPr>
      <w:bookmarkStart w:id="119" w:name="_Toc535585046"/>
      <w:r w:rsidRPr="000D5434">
        <w:rPr>
          <w:szCs w:val="22"/>
          <w:lang w:val="es-ES"/>
        </w:rPr>
        <w:t>Convención de la UNESCO sobre las medidas que deben adoptarse para prohibir e impedir la importación, la exportación y la transferencia de propiedad ilícitas de bienes culturales</w:t>
      </w:r>
      <w:bookmarkEnd w:id="119"/>
    </w:p>
    <w:p w:rsidR="00C0409B" w:rsidRPr="000D5434" w:rsidRDefault="00C0409B" w:rsidP="00103D66">
      <w:pPr>
        <w:pStyle w:val="ONUMFS"/>
        <w:numPr>
          <w:ilvl w:val="0"/>
          <w:numId w:val="0"/>
        </w:numPr>
        <w:rPr>
          <w:szCs w:val="22"/>
          <w:lang w:val="es-ES"/>
        </w:rPr>
      </w:pPr>
      <w:r w:rsidRPr="000D5434">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w:t>
      </w:r>
      <w:r w:rsidR="00B834A4" w:rsidRPr="000D5434">
        <w:rPr>
          <w:szCs w:val="22"/>
          <w:lang w:val="es-ES"/>
        </w:rPr>
        <w:t xml:space="preserve"> </w:t>
      </w:r>
      <w:r w:rsidRPr="000D5434">
        <w:rPr>
          <w:szCs w:val="22"/>
          <w:lang w:val="es-ES"/>
        </w:rPr>
        <w:t>Entró en vigor en 1972.</w:t>
      </w:r>
    </w:p>
    <w:p w:rsidR="00C0409B" w:rsidRPr="000D5434" w:rsidRDefault="00C0409B" w:rsidP="00D87BB6">
      <w:pPr>
        <w:pStyle w:val="ONUMFS"/>
        <w:keepNext/>
        <w:keepLines/>
        <w:numPr>
          <w:ilvl w:val="0"/>
          <w:numId w:val="0"/>
        </w:numPr>
        <w:rPr>
          <w:szCs w:val="22"/>
          <w:lang w:val="es-ES"/>
        </w:rPr>
      </w:pPr>
      <w:r w:rsidRPr="000D5434">
        <w:rPr>
          <w:szCs w:val="22"/>
          <w:lang w:val="es-ES"/>
        </w:rPr>
        <w:lastRenderedPageBreak/>
        <w:t>“La Convención solicita a sus Estados Partes actuar esencialmente en los siguientes aspectos:</w:t>
      </w:r>
    </w:p>
    <w:p w:rsidR="00C0409B" w:rsidRPr="000D5434" w:rsidRDefault="00C0409B" w:rsidP="00D87BB6">
      <w:pPr>
        <w:pStyle w:val="ONUMFS"/>
        <w:keepNext/>
        <w:keepLines/>
        <w:numPr>
          <w:ilvl w:val="0"/>
          <w:numId w:val="0"/>
        </w:numPr>
        <w:ind w:left="567"/>
        <w:rPr>
          <w:szCs w:val="22"/>
          <w:lang w:val="es-ES"/>
        </w:rPr>
      </w:pPr>
      <w:r w:rsidRPr="000D5434">
        <w:rPr>
          <w:szCs w:val="22"/>
          <w:lang w:val="es-ES"/>
        </w:rPr>
        <w:t>1 - Medidas preventivas:</w:t>
      </w:r>
      <w:r w:rsidR="00B834A4" w:rsidRPr="000D5434">
        <w:rPr>
          <w:szCs w:val="22"/>
          <w:lang w:val="es-ES"/>
        </w:rPr>
        <w:t xml:space="preserve"> </w:t>
      </w:r>
      <w:r w:rsidRPr="000D5434">
        <w:rPr>
          <w:szCs w:val="22"/>
          <w:lang w:val="es-ES"/>
        </w:rPr>
        <w:t>inventarios, certificados de exportación, medidas de control y aprobación de los negociantes de bienes culturales, aplicación de sanciones penales o administrativas, campañas de información, etcétera.</w:t>
      </w:r>
    </w:p>
    <w:p w:rsidR="00C0409B" w:rsidRPr="000D5434" w:rsidRDefault="00C0409B" w:rsidP="00103D66">
      <w:pPr>
        <w:pStyle w:val="ONUMFS"/>
        <w:numPr>
          <w:ilvl w:val="0"/>
          <w:numId w:val="0"/>
        </w:numPr>
        <w:ind w:left="567"/>
        <w:rPr>
          <w:szCs w:val="22"/>
          <w:lang w:val="es-ES"/>
        </w:rPr>
      </w:pPr>
      <w:r w:rsidRPr="000D5434">
        <w:rPr>
          <w:szCs w:val="22"/>
          <w:lang w:val="es-ES"/>
        </w:rPr>
        <w:t>2 - Disposiciones en materia de restitución:</w:t>
      </w:r>
      <w:r w:rsidR="00B834A4" w:rsidRPr="000D5434">
        <w:rPr>
          <w:szCs w:val="22"/>
          <w:lang w:val="es-ES"/>
        </w:rPr>
        <w:t xml:space="preserve"> </w:t>
      </w:r>
      <w:r w:rsidRPr="000D5434">
        <w:rPr>
          <w:szCs w:val="22"/>
          <w:lang w:val="es-ES"/>
        </w:rPr>
        <w:t>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w:t>
      </w:r>
      <w:r w:rsidR="00B834A4" w:rsidRPr="000D5434">
        <w:rPr>
          <w:szCs w:val="22"/>
          <w:lang w:val="es-ES"/>
        </w:rPr>
        <w:t xml:space="preserve"> </w:t>
      </w:r>
      <w:r w:rsidRPr="000D5434">
        <w:rPr>
          <w:szCs w:val="22"/>
          <w:lang w:val="es-ES"/>
        </w:rPr>
        <w:t>De manera más indirecta y bajo reserva del derecho nacional, el artículo 13 prevé de igual forma disposiciones en materia de restitución y cooperación.</w:t>
      </w:r>
    </w:p>
    <w:p w:rsidR="00C0409B" w:rsidRPr="000D5434" w:rsidRDefault="00C0409B" w:rsidP="00103D66">
      <w:pPr>
        <w:pStyle w:val="ONUMFS"/>
        <w:numPr>
          <w:ilvl w:val="0"/>
          <w:numId w:val="0"/>
        </w:numPr>
        <w:ind w:left="567"/>
        <w:rPr>
          <w:szCs w:val="22"/>
          <w:lang w:val="es-ES"/>
        </w:rPr>
      </w:pPr>
      <w:r w:rsidRPr="000D5434">
        <w:rPr>
          <w:szCs w:val="22"/>
          <w:lang w:val="es-ES"/>
        </w:rPr>
        <w:t>3 - Cooperación internacional:</w:t>
      </w:r>
      <w:r w:rsidR="00B834A4" w:rsidRPr="000D5434">
        <w:rPr>
          <w:szCs w:val="22"/>
          <w:lang w:val="es-ES"/>
        </w:rPr>
        <w:t xml:space="preserve"> </w:t>
      </w:r>
      <w:r w:rsidRPr="000D5434">
        <w:rPr>
          <w:szCs w:val="22"/>
          <w:lang w:val="es-ES"/>
        </w:rPr>
        <w:t>la idea del fortalecimiento de la cooperación entre los Estados Partes está presente en toda la Convención.</w:t>
      </w:r>
      <w:r w:rsidR="00B834A4" w:rsidRPr="000D5434">
        <w:rPr>
          <w:szCs w:val="22"/>
          <w:lang w:val="es-ES"/>
        </w:rPr>
        <w:t xml:space="preserve"> </w:t>
      </w:r>
      <w:r w:rsidRPr="000D5434">
        <w:rPr>
          <w:szCs w:val="22"/>
          <w:lang w:val="es-ES"/>
        </w:rPr>
        <w:t>En caso de que se ponga en peligro el patrimonio cultural mediante actos de saqueo, el artículo 9 prevé incluso la posibilidad de acciones más específicas, tales como el control de las exportaciones e importaciones.”</w:t>
      </w:r>
    </w:p>
    <w:p w:rsidR="00C0409B" w:rsidRPr="000D5434" w:rsidRDefault="00C0409B" w:rsidP="00A758A0">
      <w:pPr>
        <w:pStyle w:val="Heading1"/>
        <w:rPr>
          <w:b w:val="0"/>
          <w:bCs w:val="0"/>
          <w:szCs w:val="22"/>
          <w:lang w:val="es-ES"/>
        </w:rPr>
      </w:pPr>
      <w:bookmarkStart w:id="120" w:name="_Toc535585047"/>
      <w:r w:rsidRPr="000D5434">
        <w:rPr>
          <w:szCs w:val="22"/>
          <w:lang w:val="es-ES"/>
        </w:rPr>
        <w:t>Convención de la UNESCO sobre la protección y la promoción de la diversidad de las expresiones culturales</w:t>
      </w:r>
      <w:bookmarkEnd w:id="120"/>
    </w:p>
    <w:p w:rsidR="00C0409B" w:rsidRPr="000D5434" w:rsidRDefault="00C0409B" w:rsidP="00103D66">
      <w:pPr>
        <w:pStyle w:val="ONUMFS"/>
        <w:numPr>
          <w:ilvl w:val="0"/>
          <w:numId w:val="0"/>
        </w:numPr>
        <w:rPr>
          <w:szCs w:val="22"/>
          <w:lang w:val="es-ES"/>
        </w:rPr>
      </w:pPr>
      <w:r w:rsidRPr="000D5434">
        <w:rPr>
          <w:szCs w:val="22"/>
          <w:lang w:val="es-ES"/>
        </w:rPr>
        <w:t>La Convención sobre la protección y la promoción de la diversidad de las expresiones culturales es una convención internacional que fue adoptada por la UNESCO en 2005.</w:t>
      </w:r>
      <w:r w:rsidR="00B834A4" w:rsidRPr="000D5434">
        <w:rPr>
          <w:szCs w:val="22"/>
          <w:lang w:val="es-ES"/>
        </w:rPr>
        <w:t xml:space="preserve"> </w:t>
      </w:r>
      <w:r w:rsidRPr="000D5434">
        <w:rPr>
          <w:szCs w:val="22"/>
          <w:lang w:val="es-ES"/>
        </w:rPr>
        <w:t>Entró en vigor el 18 de marzo de 2007.</w:t>
      </w:r>
    </w:p>
    <w:p w:rsidR="00C0409B" w:rsidRPr="000D5434" w:rsidRDefault="00C0409B" w:rsidP="00103D66">
      <w:pPr>
        <w:pStyle w:val="ONUMFS"/>
        <w:numPr>
          <w:ilvl w:val="0"/>
          <w:numId w:val="0"/>
        </w:numPr>
        <w:rPr>
          <w:szCs w:val="22"/>
          <w:lang w:val="es-ES"/>
        </w:rPr>
      </w:pPr>
      <w:r w:rsidRPr="000D5434">
        <w:rPr>
          <w:szCs w:val="22"/>
          <w:lang w:val="es-ES"/>
        </w:rPr>
        <w:t>Los objetivos de la Convención se enuncian en el artículo 1:</w:t>
      </w:r>
      <w:r w:rsidR="00B834A4" w:rsidRPr="000D5434">
        <w:rPr>
          <w:szCs w:val="22"/>
          <w:lang w:val="es-ES"/>
        </w:rPr>
        <w:t xml:space="preserve"> </w:t>
      </w:r>
      <w:r w:rsidRPr="000D5434">
        <w:rPr>
          <w:szCs w:val="22"/>
          <w:lang w:val="es-ES"/>
        </w:rPr>
        <w:t>“a) proteger y promover la diversidad de las expresiones culturales;</w:t>
      </w:r>
      <w:r w:rsidR="00B834A4" w:rsidRPr="000D5434">
        <w:rPr>
          <w:szCs w:val="22"/>
          <w:lang w:val="es-ES"/>
        </w:rPr>
        <w:t xml:space="preserve"> </w:t>
      </w:r>
      <w:r w:rsidRPr="000D5434">
        <w:rPr>
          <w:szCs w:val="22"/>
          <w:lang w:val="es-ES"/>
        </w:rPr>
        <w:t>b) crear las condiciones para que las culturas puedan prosperar y mantener interacciones libremente de forma mutuamente provechosa;</w:t>
      </w:r>
      <w:r w:rsidR="00B834A4" w:rsidRPr="000D5434">
        <w:rPr>
          <w:szCs w:val="22"/>
          <w:lang w:val="es-ES"/>
        </w:rPr>
        <w:t xml:space="preserve"> </w:t>
      </w:r>
      <w:r w:rsidRPr="000D5434">
        <w:rPr>
          <w:szCs w:val="22"/>
          <w:lang w:val="es-ES"/>
        </w:rPr>
        <w:t>c) fomentar el diálogo entre culturas a fin de garantizar intercambios culturales más amplios y equilibrados en el mundo en pro del respeto intercultural y una cultura de paz;</w:t>
      </w:r>
      <w:r w:rsidR="00B834A4" w:rsidRPr="000D5434">
        <w:rPr>
          <w:szCs w:val="22"/>
          <w:lang w:val="es-ES"/>
        </w:rPr>
        <w:t xml:space="preserve"> </w:t>
      </w:r>
      <w:r w:rsidRPr="000D5434">
        <w:rPr>
          <w:szCs w:val="22"/>
          <w:lang w:val="es-ES"/>
        </w:rPr>
        <w:t>d) fomentar la interculturalidad con el fin de desarrollar la interacción cultural, con el espíritu de construir puentes entre los pueblos;</w:t>
      </w:r>
      <w:r w:rsidR="00B834A4" w:rsidRPr="000D5434">
        <w:rPr>
          <w:szCs w:val="22"/>
          <w:lang w:val="es-ES"/>
        </w:rPr>
        <w:t xml:space="preserve"> </w:t>
      </w:r>
      <w:r w:rsidRPr="000D5434">
        <w:rPr>
          <w:szCs w:val="22"/>
          <w:lang w:val="es-ES"/>
        </w:rPr>
        <w:t>e) promover el respeto de la diversidad de las expresiones culturales y hacer cobrar conciencia de su valor en el plano local, nacional e internacional;</w:t>
      </w:r>
      <w:r w:rsidR="00B834A4" w:rsidRPr="000D5434">
        <w:rPr>
          <w:szCs w:val="22"/>
          <w:lang w:val="es-ES"/>
        </w:rPr>
        <w:t xml:space="preserve"> </w:t>
      </w:r>
      <w:r w:rsidRPr="000D5434">
        <w:rPr>
          <w:szCs w:val="22"/>
          <w:lang w:val="es-ES"/>
        </w:rPr>
        <w:t>f) reafirmar la importancia del vínculo existente entre la cultura y el desarrollo para todos los países, en especial los países en desarrollo, y apoyar las actividades realizadas en el plano nacional e internacional para que se reconozca el auténtico valor de ese vínculo;</w:t>
      </w:r>
      <w:r w:rsidR="00B834A4" w:rsidRPr="000D5434">
        <w:rPr>
          <w:szCs w:val="22"/>
          <w:lang w:val="es-ES"/>
        </w:rPr>
        <w:t xml:space="preserve"> </w:t>
      </w:r>
      <w:r w:rsidRPr="000D5434">
        <w:rPr>
          <w:szCs w:val="22"/>
          <w:lang w:val="es-ES"/>
        </w:rPr>
        <w:t>g) reconocer la índole específica de las actividades y los bienes y servicios culturales en su calidad de portadores de identidad, valores y significado;</w:t>
      </w:r>
      <w:r w:rsidR="00B834A4" w:rsidRPr="000D5434">
        <w:rPr>
          <w:szCs w:val="22"/>
          <w:lang w:val="es-ES"/>
        </w:rPr>
        <w:t xml:space="preserve"> </w:t>
      </w:r>
      <w:r w:rsidRPr="000D5434">
        <w:rPr>
          <w:szCs w:val="22"/>
          <w:lang w:val="es-ES"/>
        </w:rPr>
        <w:t>h) reiterar los derechos soberanos de los Estados a conservar, adoptar y aplicar las políticas y medidas que estimen necesarias para proteger y promover la diversidad de las expresiones culturales en sus respectivos territorios;</w:t>
      </w:r>
      <w:r w:rsidR="00B834A4" w:rsidRPr="000D5434">
        <w:rPr>
          <w:szCs w:val="22"/>
          <w:lang w:val="es-ES"/>
        </w:rPr>
        <w:t xml:space="preserve"> </w:t>
      </w:r>
      <w:r w:rsidRPr="000D5434">
        <w:rPr>
          <w:szCs w:val="22"/>
          <w:lang w:val="es-ES"/>
        </w:rPr>
        <w:t>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0D5434" w:rsidRDefault="00C0409B" w:rsidP="00A758A0">
      <w:pPr>
        <w:pStyle w:val="Heading1"/>
        <w:rPr>
          <w:b w:val="0"/>
          <w:bCs w:val="0"/>
          <w:szCs w:val="22"/>
          <w:lang w:val="es-ES"/>
        </w:rPr>
      </w:pPr>
      <w:bookmarkStart w:id="121" w:name="_Toc535585048"/>
      <w:r w:rsidRPr="000D5434">
        <w:rPr>
          <w:szCs w:val="22"/>
          <w:lang w:val="es-ES"/>
        </w:rPr>
        <w:t>Convención de la UNESCO para la salvaguardia del patrimonio cultural inmaterial</w:t>
      </w:r>
      <w:bookmarkEnd w:id="121"/>
    </w:p>
    <w:p w:rsidR="00C0409B" w:rsidRPr="000D5434" w:rsidRDefault="00C0409B" w:rsidP="00103D66">
      <w:pPr>
        <w:pStyle w:val="ONUMFS"/>
        <w:numPr>
          <w:ilvl w:val="0"/>
          <w:numId w:val="0"/>
        </w:numPr>
        <w:rPr>
          <w:szCs w:val="22"/>
          <w:lang w:val="es-ES"/>
        </w:rPr>
      </w:pPr>
      <w:r w:rsidRPr="000D5434">
        <w:rPr>
          <w:szCs w:val="22"/>
          <w:lang w:val="es-ES"/>
        </w:rPr>
        <w:t>La Convención fue aprobada por la UNESCO en 2003 y entró en vigor el 20 de abril de 2006.</w:t>
      </w:r>
      <w:r w:rsidR="00B834A4" w:rsidRPr="000D5434">
        <w:rPr>
          <w:szCs w:val="22"/>
          <w:lang w:val="es-ES"/>
        </w:rPr>
        <w:t xml:space="preserve"> </w:t>
      </w:r>
      <w:r w:rsidRPr="000D5434">
        <w:rPr>
          <w:szCs w:val="22"/>
          <w:lang w:val="es-ES"/>
        </w:rPr>
        <w:t>Tiene las siguientes finalidades:</w:t>
      </w:r>
      <w:r w:rsidR="00B834A4" w:rsidRPr="000D5434">
        <w:rPr>
          <w:szCs w:val="22"/>
          <w:lang w:val="es-ES"/>
        </w:rPr>
        <w:t xml:space="preserve"> </w:t>
      </w:r>
      <w:r w:rsidRPr="000D5434">
        <w:rPr>
          <w:szCs w:val="22"/>
          <w:lang w:val="es-ES"/>
        </w:rPr>
        <w:t>la salvaguardia del patrimonio cultural inmaterial;</w:t>
      </w:r>
      <w:r w:rsidR="00B834A4" w:rsidRPr="000D5434">
        <w:rPr>
          <w:szCs w:val="22"/>
          <w:lang w:val="es-ES"/>
        </w:rPr>
        <w:t xml:space="preserve"> </w:t>
      </w:r>
      <w:r w:rsidRPr="000D5434">
        <w:rPr>
          <w:szCs w:val="22"/>
          <w:lang w:val="es-ES"/>
        </w:rPr>
        <w:t>el respeto del patrimonio cultural inmaterial de las comunidades, grupos e individuos de que se trate;</w:t>
      </w:r>
      <w:r w:rsidR="00B834A4" w:rsidRPr="000D5434">
        <w:rPr>
          <w:szCs w:val="22"/>
          <w:lang w:val="es-ES"/>
        </w:rPr>
        <w:t xml:space="preserve"> </w:t>
      </w:r>
      <w:r w:rsidRPr="000D5434">
        <w:rPr>
          <w:szCs w:val="22"/>
          <w:lang w:val="es-ES"/>
        </w:rPr>
        <w:t xml:space="preserve">la sensibilización en el plano local, nacional e internacional a la importancia del </w:t>
      </w:r>
      <w:r w:rsidRPr="000D5434">
        <w:rPr>
          <w:szCs w:val="22"/>
          <w:lang w:val="es-ES"/>
        </w:rPr>
        <w:lastRenderedPageBreak/>
        <w:t>patrimonio cultural inmaterial y de su reconocimiento recíproco;</w:t>
      </w:r>
      <w:r w:rsidR="00B834A4" w:rsidRPr="000D5434">
        <w:rPr>
          <w:szCs w:val="22"/>
          <w:lang w:val="es-ES"/>
        </w:rPr>
        <w:t xml:space="preserve"> </w:t>
      </w:r>
      <w:r w:rsidRPr="000D5434">
        <w:rPr>
          <w:szCs w:val="22"/>
          <w:lang w:val="es-ES"/>
        </w:rPr>
        <w:t>y la cooperación y asistencia internacionales.</w:t>
      </w:r>
    </w:p>
    <w:p w:rsidR="00C0409B" w:rsidRPr="000D5434" w:rsidRDefault="00C0409B" w:rsidP="00A758A0">
      <w:pPr>
        <w:pStyle w:val="Heading1"/>
        <w:rPr>
          <w:b w:val="0"/>
          <w:bCs w:val="0"/>
          <w:szCs w:val="22"/>
          <w:lang w:val="es-ES"/>
        </w:rPr>
      </w:pPr>
      <w:bookmarkStart w:id="122" w:name="sdfootnote13anc"/>
      <w:bookmarkStart w:id="123" w:name="_Toc535585049"/>
      <w:r w:rsidRPr="000D5434">
        <w:rPr>
          <w:szCs w:val="22"/>
          <w:lang w:val="es-ES"/>
        </w:rPr>
        <w:t>Competencia desleal</w:t>
      </w:r>
      <w:bookmarkEnd w:id="123"/>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Cs/>
          <w:szCs w:val="22"/>
          <w:lang w:val="es-ES"/>
        </w:rPr>
        <w:t>Diccionario de Derecho</w:t>
      </w:r>
      <w:r w:rsidRPr="000D5434">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w:t>
      </w:r>
      <w:r w:rsidR="00B834A4" w:rsidRPr="000D5434">
        <w:rPr>
          <w:szCs w:val="22"/>
          <w:lang w:val="es-ES"/>
        </w:rPr>
        <w:t xml:space="preserve"> </w:t>
      </w:r>
      <w:r w:rsidRPr="000D5434">
        <w:rPr>
          <w:szCs w:val="22"/>
          <w:lang w:val="es-ES"/>
        </w:rPr>
        <w:t>Entre otros actos, se consideran de competencia desleal los capaces de crear confusión por cualquier medio respecto del establecimiento, los productos o la actividad económica de un competidor”.</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“unfair competition”</w:t>
      </w:r>
      <w:r w:rsidRPr="000D5434">
        <w:rPr>
          <w:szCs w:val="22"/>
          <w:lang w:val="es-ES"/>
        </w:rPr>
        <w:t xml:space="preserve"> se define como una práctica deshonesta o fraudulenta en el comercio;</w:t>
      </w:r>
      <w:r w:rsidR="00B834A4" w:rsidRPr="000D5434">
        <w:rPr>
          <w:szCs w:val="22"/>
          <w:lang w:val="es-ES"/>
        </w:rPr>
        <w:t xml:space="preserve"> </w:t>
      </w:r>
      <w:r w:rsidRPr="000D5434">
        <w:rPr>
          <w:szCs w:val="22"/>
          <w:lang w:val="es-ES"/>
        </w:rPr>
        <w:t>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C0409B" w:rsidRPr="000D5434" w:rsidRDefault="00C0409B" w:rsidP="00103D66">
      <w:pPr>
        <w:pStyle w:val="ONUMFS"/>
        <w:numPr>
          <w:ilvl w:val="0"/>
          <w:numId w:val="0"/>
        </w:numPr>
        <w:rPr>
          <w:szCs w:val="22"/>
          <w:lang w:val="es-ES"/>
        </w:rPr>
      </w:pPr>
      <w:r w:rsidRPr="000D5434">
        <w:rPr>
          <w:szCs w:val="22"/>
          <w:lang w:val="es-ES"/>
        </w:rPr>
        <w:t>En el párrafo 2 del artículo 10</w:t>
      </w:r>
      <w:r w:rsidRPr="000D5434">
        <w:rPr>
          <w:i/>
          <w:iCs/>
          <w:szCs w:val="22"/>
          <w:lang w:val="es-ES"/>
        </w:rPr>
        <w:t>bis</w:t>
      </w:r>
      <w:r w:rsidRPr="000D5434">
        <w:rPr>
          <w:szCs w:val="22"/>
          <w:lang w:val="es-ES"/>
        </w:rPr>
        <w:t xml:space="preserve"> del </w:t>
      </w:r>
      <w:r w:rsidRPr="000D5434">
        <w:rPr>
          <w:i/>
          <w:szCs w:val="22"/>
          <w:lang w:val="es-ES"/>
        </w:rPr>
        <w:t>Convenio de París para la Protección de la Propiedad Industrial</w:t>
      </w:r>
      <w:r w:rsidRPr="000D5434">
        <w:rPr>
          <w:szCs w:val="22"/>
          <w:lang w:val="es-ES"/>
        </w:rPr>
        <w:t xml:space="preserve"> </w:t>
      </w:r>
      <w:r w:rsidR="00BE2812" w:rsidRPr="000D5434">
        <w:rPr>
          <w:szCs w:val="22"/>
          <w:lang w:val="es-ES"/>
        </w:rPr>
        <w:t xml:space="preserve">(1883) </w:t>
      </w:r>
      <w:r w:rsidRPr="000D5434">
        <w:rPr>
          <w:szCs w:val="22"/>
          <w:lang w:val="es-ES"/>
        </w:rPr>
        <w:t>se estipula que “[c]onstituye acto de competencia desleal todo acto de competencia contrario a los usos honestos en materia industrial o comercial”.</w:t>
      </w:r>
      <w:r w:rsidR="00B834A4" w:rsidRPr="000D5434">
        <w:rPr>
          <w:szCs w:val="22"/>
          <w:lang w:val="es-ES"/>
        </w:rPr>
        <w:t xml:space="preserve"> </w:t>
      </w:r>
      <w:r w:rsidRPr="000D5434">
        <w:rPr>
          <w:szCs w:val="22"/>
          <w:lang w:val="es-ES"/>
        </w:rPr>
        <w:t>En el párrafo 3 del artículo 10</w:t>
      </w:r>
      <w:r w:rsidRPr="000D5434">
        <w:rPr>
          <w:i/>
          <w:iCs/>
          <w:szCs w:val="22"/>
          <w:lang w:val="es-ES"/>
        </w:rPr>
        <w:t>bis</w:t>
      </w:r>
      <w:r w:rsidRPr="000D5434">
        <w:rPr>
          <w:szCs w:val="22"/>
          <w:lang w:val="es-ES"/>
        </w:rPr>
        <w:t xml:space="preserve"> se estipula además que “[e]n particular deberán prohibirse:</w:t>
      </w:r>
      <w:r w:rsidR="00B834A4" w:rsidRPr="000D5434">
        <w:rPr>
          <w:szCs w:val="22"/>
          <w:lang w:val="es-ES"/>
        </w:rPr>
        <w:t xml:space="preserve"> </w:t>
      </w:r>
      <w:r w:rsidRPr="000D5434">
        <w:rPr>
          <w:szCs w:val="22"/>
          <w:lang w:val="es-ES"/>
        </w:rPr>
        <w:t>i) cualquier acto capaz de crear confusión, por cualquier medio que sea, respecto del establecimiento, los productos o la actividad industrial o comercial de un competidor;</w:t>
      </w:r>
      <w:r w:rsidR="00B834A4" w:rsidRPr="000D5434">
        <w:rPr>
          <w:szCs w:val="22"/>
          <w:lang w:val="es-ES"/>
        </w:rPr>
        <w:t xml:space="preserve"> </w:t>
      </w:r>
      <w:r w:rsidRPr="000D5434">
        <w:rPr>
          <w:szCs w:val="22"/>
          <w:lang w:val="es-ES"/>
        </w:rPr>
        <w:t>ii) las aseveraciones falsas, en el ejercicio del comercio, capaces de desacreditar el establecimiento, los productos o la actividad industrial o comercial de un competidor;</w:t>
      </w:r>
      <w:r w:rsidR="00B834A4" w:rsidRPr="000D5434">
        <w:rPr>
          <w:szCs w:val="22"/>
          <w:lang w:val="es-ES"/>
        </w:rPr>
        <w:t xml:space="preserve"> </w:t>
      </w:r>
      <w:r w:rsidRPr="000D5434">
        <w:rPr>
          <w:szCs w:val="22"/>
          <w:lang w:val="es-ES"/>
        </w:rPr>
        <w:t>iii) las indicaciones o aseveraciones cuyo empleo, en el ejercicio del comercio, pudieren inducir al público a error sobre la naturaleza, el modo de fabricación, las características, la aptitud en el empleo o la cantidad de los productos.”</w:t>
      </w:r>
    </w:p>
    <w:p w:rsidR="00C0409B" w:rsidRPr="000D5434" w:rsidRDefault="00C0409B" w:rsidP="00A758A0">
      <w:pPr>
        <w:pStyle w:val="Heading1"/>
        <w:rPr>
          <w:b w:val="0"/>
          <w:szCs w:val="22"/>
          <w:lang w:val="es-ES"/>
        </w:rPr>
      </w:pPr>
      <w:bookmarkStart w:id="124" w:name="_Toc535585050"/>
      <w:bookmarkEnd w:id="122"/>
      <w:r w:rsidRPr="000D5434">
        <w:rPr>
          <w:szCs w:val="22"/>
          <w:lang w:val="es-ES"/>
        </w:rPr>
        <w:t>Declaración de las Naciones Unidas sobre los Derechos de los Pueblos Indígenas</w:t>
      </w:r>
      <w:bookmarkEnd w:id="124"/>
    </w:p>
    <w:p w:rsidR="00C0409B" w:rsidRPr="000D5434" w:rsidRDefault="00C0409B" w:rsidP="00103D66">
      <w:pPr>
        <w:pStyle w:val="ONUMFS"/>
        <w:numPr>
          <w:ilvl w:val="0"/>
          <w:numId w:val="0"/>
        </w:numPr>
        <w:rPr>
          <w:szCs w:val="22"/>
          <w:lang w:val="es-ES"/>
        </w:rPr>
      </w:pPr>
      <w:r w:rsidRPr="000D5434">
        <w:rPr>
          <w:szCs w:val="22"/>
          <w:lang w:val="es-ES"/>
        </w:rPr>
        <w:t xml:space="preserve">La Asamblea General de las Naciones Unidas adoptó la </w:t>
      </w:r>
      <w:r w:rsidRPr="000D5434">
        <w:rPr>
          <w:i/>
          <w:szCs w:val="22"/>
          <w:lang w:val="es-ES"/>
        </w:rPr>
        <w:t>Declaración de las Naciones Unidas sobre los Derechos de los Pueblos Indígenas</w:t>
      </w:r>
      <w:r w:rsidRPr="000D5434">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Pr="000D5434" w:rsidRDefault="00C0409B" w:rsidP="00103D66">
      <w:pPr>
        <w:pStyle w:val="ONUMFS"/>
        <w:numPr>
          <w:ilvl w:val="0"/>
          <w:numId w:val="0"/>
        </w:numPr>
        <w:rPr>
          <w:szCs w:val="22"/>
          <w:lang w:val="es-ES"/>
        </w:rPr>
      </w:pPr>
      <w:r w:rsidRPr="000D5434">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00B834A4" w:rsidRPr="000D5434">
        <w:rPr>
          <w:szCs w:val="22"/>
          <w:lang w:val="es-ES"/>
        </w:rPr>
        <w:t xml:space="preserve"> </w:t>
      </w:r>
      <w:r w:rsidRPr="000D5434">
        <w:rPr>
          <w:szCs w:val="22"/>
          <w:lang w:val="es-ES"/>
        </w:rPr>
        <w:t>También tienen derecho a mantener, controlar, proteger y desarrollar su propiedad intelectual de dicho patrimonio cultural, sus conocimientos tradicionales y sus expresiones culturales tradicionales.”</w:t>
      </w:r>
      <w:r w:rsidR="00B834A4" w:rsidRPr="000D5434">
        <w:rPr>
          <w:szCs w:val="22"/>
          <w:lang w:val="es-ES"/>
        </w:rPr>
        <w:t xml:space="preserve"> </w:t>
      </w:r>
      <w:r w:rsidRPr="000D5434">
        <w:rPr>
          <w:szCs w:val="22"/>
          <w:lang w:val="es-ES"/>
        </w:rPr>
        <w:t>En el párrafo 2 del artículo 31 se establece además que “Conjuntamente con los pueblos indígenas, los Estados adoptarán medidas eficaces para reconocer y proteger el ejercicio de estos derechos”.</w:t>
      </w:r>
      <w:r w:rsidR="00B834A4" w:rsidRPr="000D5434">
        <w:rPr>
          <w:szCs w:val="22"/>
          <w:lang w:val="es-ES"/>
        </w:rPr>
        <w:t xml:space="preserve"> </w:t>
      </w:r>
      <w:r w:rsidRPr="000D5434">
        <w:rPr>
          <w:szCs w:val="22"/>
          <w:lang w:val="es-ES"/>
        </w:rPr>
        <w:t>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9336EB" w:rsidRPr="000D5434" w:rsidRDefault="009336EB" w:rsidP="00A758A0">
      <w:pPr>
        <w:pStyle w:val="Heading1"/>
        <w:rPr>
          <w:b w:val="0"/>
          <w:szCs w:val="22"/>
          <w:lang w:val="es-ES"/>
        </w:rPr>
      </w:pPr>
      <w:bookmarkStart w:id="125" w:name="_Toc535585051"/>
      <w:r w:rsidRPr="000D5434">
        <w:rPr>
          <w:szCs w:val="22"/>
          <w:lang w:val="es-ES"/>
        </w:rPr>
        <w:lastRenderedPageBreak/>
        <w:t>Declaración Universal de Derechos Humanos</w:t>
      </w:r>
      <w:bookmarkEnd w:id="125"/>
    </w:p>
    <w:p w:rsidR="00C71577" w:rsidRPr="000D5434" w:rsidRDefault="009336EB" w:rsidP="00D87BB6">
      <w:pPr>
        <w:pStyle w:val="ONUMFS"/>
        <w:keepNext/>
        <w:keepLines/>
        <w:numPr>
          <w:ilvl w:val="0"/>
          <w:numId w:val="0"/>
        </w:numPr>
        <w:rPr>
          <w:szCs w:val="22"/>
          <w:lang w:val="es-ES"/>
        </w:rPr>
      </w:pPr>
      <w:r w:rsidRPr="000D5434">
        <w:rPr>
          <w:szCs w:val="22"/>
          <w:lang w:val="es-ES"/>
        </w:rPr>
        <w:t>La Declaración Universal de Derechos Humanos es un documento que marca un hito en la historia de los derechos humanos.</w:t>
      </w:r>
      <w:r w:rsidR="00B834A4" w:rsidRPr="000D5434">
        <w:rPr>
          <w:szCs w:val="22"/>
          <w:lang w:val="es-ES"/>
        </w:rPr>
        <w:t xml:space="preserve"> </w:t>
      </w:r>
      <w:r w:rsidRPr="000D5434">
        <w:rPr>
          <w:szCs w:val="22"/>
          <w:lang w:val="es-ES"/>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w:t>
      </w:r>
      <w:r w:rsidR="00B834A4" w:rsidRPr="000D5434">
        <w:rPr>
          <w:szCs w:val="22"/>
          <w:lang w:val="es-ES"/>
        </w:rPr>
        <w:t xml:space="preserve"> </w:t>
      </w:r>
      <w:r w:rsidRPr="000D5434">
        <w:rPr>
          <w:szCs w:val="22"/>
          <w:lang w:val="es-ES"/>
        </w:rPr>
        <w:t>La Declaración establece, por primera vez, los derechos humanos fundamentales que deben protegerse en el mundo entero</w:t>
      </w:r>
      <w:r w:rsidRPr="000D5434">
        <w:rPr>
          <w:color w:val="333333"/>
          <w:szCs w:val="22"/>
          <w:lang w:val="es-ES"/>
        </w:rPr>
        <w:t>.</w:t>
      </w:r>
      <w:r w:rsidRPr="000D5434">
        <w:rPr>
          <w:rStyle w:val="FootnoteReference"/>
          <w:color w:val="333333"/>
          <w:szCs w:val="22"/>
          <w:lang w:val="es-ES"/>
        </w:rPr>
        <w:footnoteReference w:id="172"/>
      </w:r>
    </w:p>
    <w:p w:rsidR="00C0409B" w:rsidRPr="000D5434" w:rsidRDefault="00C0409B" w:rsidP="00A758A0">
      <w:pPr>
        <w:pStyle w:val="Heading1"/>
        <w:rPr>
          <w:b w:val="0"/>
          <w:bCs w:val="0"/>
          <w:szCs w:val="22"/>
          <w:lang w:val="es-ES"/>
        </w:rPr>
      </w:pPr>
      <w:bookmarkStart w:id="126" w:name="_Toc535585052"/>
      <w:r w:rsidRPr="000D5434">
        <w:rPr>
          <w:szCs w:val="22"/>
          <w:lang w:val="es-ES"/>
        </w:rPr>
        <w:t>Uso de las expresiones culturales tradicionales</w:t>
      </w:r>
      <w:bookmarkEnd w:id="126"/>
    </w:p>
    <w:p w:rsidR="00C0409B" w:rsidRPr="000D5434" w:rsidRDefault="00C0409B" w:rsidP="00103D66">
      <w:pPr>
        <w:pStyle w:val="ONUMFS"/>
        <w:numPr>
          <w:ilvl w:val="0"/>
          <w:numId w:val="0"/>
        </w:numPr>
        <w:rPr>
          <w:szCs w:val="22"/>
          <w:lang w:val="es-ES"/>
        </w:rPr>
      </w:pPr>
      <w:r w:rsidRPr="000D5434">
        <w:rPr>
          <w:szCs w:val="22"/>
          <w:lang w:val="es-ES"/>
        </w:rPr>
        <w:t>Las expresiones culturales tradicionales pueden utilizarse con distintos fines.</w:t>
      </w:r>
      <w:r w:rsidR="00B834A4" w:rsidRPr="000D5434">
        <w:rPr>
          <w:szCs w:val="22"/>
          <w:lang w:val="es-ES"/>
        </w:rPr>
        <w:t xml:space="preserve"> </w:t>
      </w:r>
      <w:r w:rsidRPr="000D5434">
        <w:rPr>
          <w:szCs w:val="22"/>
          <w:lang w:val="es-ES"/>
        </w:rPr>
        <w:t>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0D5434" w:rsidRDefault="00C0409B" w:rsidP="00103D66">
      <w:pPr>
        <w:pStyle w:val="ONUMFS"/>
        <w:numPr>
          <w:ilvl w:val="0"/>
          <w:numId w:val="0"/>
        </w:numPr>
        <w:rPr>
          <w:szCs w:val="22"/>
          <w:lang w:val="es-ES"/>
        </w:rPr>
      </w:pPr>
      <w:r w:rsidRPr="000D5434">
        <w:rPr>
          <w:i/>
          <w:iCs/>
          <w:szCs w:val="22"/>
          <w:u w:val="single"/>
          <w:lang w:val="es-ES"/>
        </w:rPr>
        <w:t>Uso comercial</w:t>
      </w:r>
    </w:p>
    <w:p w:rsidR="00C0409B" w:rsidRPr="000D5434" w:rsidRDefault="00C0409B" w:rsidP="00103D66">
      <w:pPr>
        <w:pStyle w:val="ONUMFS"/>
        <w:numPr>
          <w:ilvl w:val="0"/>
          <w:numId w:val="0"/>
        </w:numPr>
        <w:rPr>
          <w:szCs w:val="22"/>
          <w:lang w:val="es-ES"/>
        </w:rPr>
      </w:pPr>
      <w:r w:rsidRPr="000D5434">
        <w:rPr>
          <w:szCs w:val="22"/>
          <w:lang w:val="es-ES"/>
        </w:rPr>
        <w:t>Se entiende por “uso comercial” todo uso con fines de comercio.</w:t>
      </w:r>
      <w:r w:rsidR="00B834A4" w:rsidRPr="000D5434">
        <w:rPr>
          <w:szCs w:val="22"/>
          <w:lang w:val="es-ES"/>
        </w:rPr>
        <w:t xml:space="preserve"> </w:t>
      </w:r>
      <w:r w:rsidRPr="000D5434">
        <w:rPr>
          <w:szCs w:val="22"/>
          <w:lang w:val="es-ES"/>
        </w:rPr>
        <w:t xml:space="preserve">En el </w:t>
      </w:r>
      <w:r w:rsidRPr="000D5434">
        <w:rPr>
          <w:iCs/>
          <w:szCs w:val="22"/>
          <w:lang w:val="es-ES"/>
        </w:rPr>
        <w:t>Diccionario Enciclopédico de Derecho Usual</w:t>
      </w:r>
      <w:r w:rsidRPr="000D5434">
        <w:rPr>
          <w:szCs w:val="22"/>
          <w:lang w:val="es-ES"/>
        </w:rPr>
        <w:t xml:space="preserve"> de Guillermo Cabanellas se define “comercio” como “negociación que busca la obtención de ganancia o lucro en la venta, permuta o compra de mercaderías”.</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“commercial use”</w:t>
      </w:r>
      <w:r w:rsidRPr="000D5434">
        <w:rPr>
          <w:szCs w:val="22"/>
          <w:lang w:val="es-ES"/>
        </w:rPr>
        <w:t xml:space="preserve"> se define como todo uso relacionado con una actividad permanente con fines de lucro o que promueve dicha actividad;</w:t>
      </w:r>
      <w:r w:rsidR="00B834A4" w:rsidRPr="000D5434">
        <w:rPr>
          <w:szCs w:val="22"/>
          <w:lang w:val="es-ES"/>
        </w:rPr>
        <w:t xml:space="preserve"> </w:t>
      </w:r>
      <w:r w:rsidRPr="000D5434">
        <w:rPr>
          <w:szCs w:val="22"/>
          <w:lang w:val="es-ES"/>
        </w:rPr>
        <w:t xml:space="preserve">por otra parte, </w:t>
      </w:r>
      <w:r w:rsidRPr="000D5434">
        <w:rPr>
          <w:i/>
          <w:iCs/>
          <w:szCs w:val="22"/>
          <w:lang w:val="es-ES"/>
        </w:rPr>
        <w:t>“non-commercial use”</w:t>
      </w:r>
      <w:r w:rsidRPr="000D5434">
        <w:rPr>
          <w:szCs w:val="22"/>
          <w:lang w:val="es-ES"/>
        </w:rPr>
        <w:t xml:space="preserve"> se define como todo uso con fines privados o de negocios que no implica la generación de ingresos o el derecho a un reconocimiento u otro tipo de compensación.</w:t>
      </w:r>
    </w:p>
    <w:p w:rsidR="00C0409B" w:rsidRPr="000D5434" w:rsidRDefault="00C0409B" w:rsidP="00103D66">
      <w:pPr>
        <w:pStyle w:val="ONUMFS"/>
        <w:numPr>
          <w:ilvl w:val="0"/>
          <w:numId w:val="0"/>
        </w:numPr>
        <w:rPr>
          <w:szCs w:val="22"/>
          <w:lang w:val="es-ES"/>
        </w:rPr>
      </w:pPr>
      <w:r w:rsidRPr="000D5434">
        <w:rPr>
          <w:i/>
          <w:iCs/>
          <w:szCs w:val="22"/>
          <w:u w:val="single"/>
          <w:lang w:val="es-ES"/>
        </w:rPr>
        <w:t>Uso consuetudinario</w:t>
      </w:r>
    </w:p>
    <w:p w:rsidR="00C0409B" w:rsidRPr="000D5434" w:rsidRDefault="00C0409B" w:rsidP="00103D66">
      <w:pPr>
        <w:pStyle w:val="ONUMFS"/>
        <w:numPr>
          <w:ilvl w:val="0"/>
          <w:numId w:val="0"/>
        </w:numPr>
        <w:rPr>
          <w:szCs w:val="22"/>
          <w:lang w:val="es-ES"/>
        </w:rPr>
      </w:pPr>
      <w:r w:rsidRPr="000D5434">
        <w:rPr>
          <w:szCs w:val="22"/>
          <w:lang w:val="es-ES"/>
        </w:rPr>
        <w:t xml:space="preserve">En el </w:t>
      </w:r>
      <w:r w:rsidRPr="000D5434">
        <w:rPr>
          <w:i/>
          <w:szCs w:val="22"/>
          <w:lang w:val="es-ES"/>
        </w:rPr>
        <w:t>Marco Regional del Pacífico</w:t>
      </w:r>
      <w:r w:rsidRPr="000D5434">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0D5434" w:rsidRDefault="00C0409B" w:rsidP="00103D66">
      <w:pPr>
        <w:pStyle w:val="ONUMFS"/>
        <w:numPr>
          <w:ilvl w:val="0"/>
          <w:numId w:val="0"/>
        </w:numPr>
        <w:rPr>
          <w:szCs w:val="22"/>
          <w:lang w:val="es-ES"/>
        </w:rPr>
      </w:pPr>
      <w:r w:rsidRPr="000D5434">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0D5434" w:rsidRDefault="00C0409B" w:rsidP="00103D66">
      <w:pPr>
        <w:pStyle w:val="ONUMFS"/>
        <w:numPr>
          <w:ilvl w:val="0"/>
          <w:numId w:val="0"/>
        </w:numPr>
        <w:rPr>
          <w:szCs w:val="22"/>
          <w:lang w:val="es-ES"/>
        </w:rPr>
      </w:pPr>
      <w:r w:rsidRPr="000D5434">
        <w:rPr>
          <w:i/>
          <w:iCs/>
          <w:szCs w:val="22"/>
          <w:u w:val="single"/>
          <w:lang w:val="es-ES"/>
        </w:rPr>
        <w:t>Uso leal</w:t>
      </w:r>
    </w:p>
    <w:p w:rsidR="00C0409B" w:rsidRPr="000D5434" w:rsidRDefault="00C0409B" w:rsidP="00103D66">
      <w:pPr>
        <w:pStyle w:val="ONUMFS"/>
        <w:numPr>
          <w:ilvl w:val="0"/>
          <w:numId w:val="0"/>
        </w:numPr>
        <w:rPr>
          <w:szCs w:val="22"/>
          <w:lang w:val="es-ES"/>
        </w:rPr>
      </w:pPr>
      <w:r w:rsidRPr="000D5434">
        <w:rPr>
          <w:szCs w:val="22"/>
          <w:lang w:val="es-ES"/>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w:t>
      </w:r>
      <w:r w:rsidR="00B834A4" w:rsidRPr="000D5434">
        <w:rPr>
          <w:szCs w:val="22"/>
          <w:lang w:val="es-ES"/>
        </w:rPr>
        <w:t xml:space="preserve"> </w:t>
      </w:r>
      <w:r w:rsidRPr="000D5434">
        <w:rPr>
          <w:szCs w:val="22"/>
          <w:lang w:val="es-ES"/>
        </w:rPr>
        <w:t xml:space="preserve">Para la referencia del término en inglés se utilizó el diccionario jurídico de Black, en el que </w:t>
      </w:r>
      <w:r w:rsidRPr="000D5434">
        <w:rPr>
          <w:i/>
          <w:iCs/>
          <w:szCs w:val="22"/>
          <w:lang w:val="es-ES"/>
        </w:rPr>
        <w:t>“fair use”</w:t>
      </w:r>
      <w:r w:rsidRPr="000D5434">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w:t>
      </w:r>
      <w:r w:rsidR="00B834A4" w:rsidRPr="000D5434">
        <w:rPr>
          <w:szCs w:val="22"/>
          <w:lang w:val="es-ES"/>
        </w:rPr>
        <w:t xml:space="preserve"> </w:t>
      </w:r>
      <w:r w:rsidRPr="000D5434">
        <w:rPr>
          <w:szCs w:val="22"/>
          <w:lang w:val="es-ES"/>
        </w:rPr>
        <w:t>El uso leal es un eximente en caso demanda por violación de derechos, supeditado a los siguientes factores reglamentarios:</w:t>
      </w:r>
      <w:r w:rsidR="00B834A4" w:rsidRPr="000D5434">
        <w:rPr>
          <w:szCs w:val="22"/>
          <w:lang w:val="es-ES"/>
        </w:rPr>
        <w:t xml:space="preserve"> </w:t>
      </w:r>
      <w:r w:rsidRPr="000D5434">
        <w:rPr>
          <w:szCs w:val="22"/>
          <w:lang w:val="es-ES"/>
        </w:rPr>
        <w:t>1) el propósito y el carácter del uso, 2) la naturaleza de la obra protegida por derecho de autor, 3) la cantidad de la obra que se ha utilizado, y (4) los efectos económicos del uso”.</w:t>
      </w:r>
    </w:p>
    <w:p w:rsidR="00C0409B" w:rsidRPr="000D5434" w:rsidRDefault="00C0409B" w:rsidP="00D87BB6">
      <w:pPr>
        <w:pStyle w:val="ONUMFS"/>
        <w:keepNext/>
        <w:keepLines/>
        <w:numPr>
          <w:ilvl w:val="0"/>
          <w:numId w:val="0"/>
        </w:numPr>
        <w:rPr>
          <w:szCs w:val="22"/>
          <w:lang w:val="es-ES"/>
        </w:rPr>
      </w:pPr>
      <w:r w:rsidRPr="000D5434">
        <w:rPr>
          <w:i/>
          <w:iCs/>
          <w:szCs w:val="22"/>
          <w:u w:val="single"/>
          <w:lang w:val="es-ES"/>
        </w:rPr>
        <w:lastRenderedPageBreak/>
        <w:t>Uso doméstico / uso con fines de salud pública</w:t>
      </w:r>
    </w:p>
    <w:p w:rsidR="00C0409B" w:rsidRPr="000D5434" w:rsidRDefault="00C0409B" w:rsidP="00D87BB6">
      <w:pPr>
        <w:pStyle w:val="ONUMFS"/>
        <w:keepNext/>
        <w:keepLines/>
        <w:numPr>
          <w:ilvl w:val="0"/>
          <w:numId w:val="0"/>
        </w:numPr>
        <w:rPr>
          <w:szCs w:val="22"/>
          <w:lang w:val="es-ES"/>
        </w:rPr>
      </w:pPr>
      <w:r w:rsidRPr="000D5434">
        <w:rPr>
          <w:szCs w:val="22"/>
          <w:lang w:val="es-ES"/>
        </w:rPr>
        <w:t xml:space="preserve">Por “uso doméstico” se entiende todo uso </w:t>
      </w:r>
      <w:r w:rsidRPr="000D5434">
        <w:rPr>
          <w:iCs/>
          <w:szCs w:val="22"/>
          <w:lang w:val="es-ES"/>
        </w:rPr>
        <w:t xml:space="preserve">“[p]erteneciente o relativo a la casa u hogar” </w:t>
      </w:r>
      <w:r w:rsidRPr="000D5434">
        <w:rPr>
          <w:szCs w:val="22"/>
          <w:lang w:val="es-ES"/>
        </w:rPr>
        <w:t>según define el término “doméstico” en el Diccionario de la lengua española de la Real Academia Española</w:t>
      </w:r>
      <w:r w:rsidRPr="000D5434">
        <w:rPr>
          <w:i/>
          <w:iCs/>
          <w:szCs w:val="22"/>
          <w:lang w:val="es-ES"/>
        </w:rPr>
        <w:t>.</w:t>
      </w:r>
      <w:r w:rsidR="00B834A4" w:rsidRPr="000D5434">
        <w:rPr>
          <w:i/>
          <w:iCs/>
          <w:szCs w:val="22"/>
          <w:lang w:val="es-ES"/>
        </w:rPr>
        <w:t xml:space="preserve"> </w:t>
      </w:r>
      <w:r w:rsidRPr="000D5434">
        <w:rPr>
          <w:szCs w:val="22"/>
          <w:lang w:val="es-ES"/>
        </w:rPr>
        <w:t>Para la referencia del término en inglés se utilizó el diccionario jurídico de Black</w:t>
      </w:r>
      <w:r w:rsidRPr="000D5434">
        <w:rPr>
          <w:i/>
          <w:iCs/>
          <w:szCs w:val="22"/>
          <w:lang w:val="es-ES"/>
        </w:rPr>
        <w:t xml:space="preserve">, </w:t>
      </w:r>
      <w:r w:rsidRPr="000D5434">
        <w:rPr>
          <w:szCs w:val="22"/>
          <w:lang w:val="es-ES"/>
        </w:rPr>
        <w:t>en el que</w:t>
      </w:r>
      <w:r w:rsidRPr="000D5434">
        <w:rPr>
          <w:i/>
          <w:iCs/>
          <w:szCs w:val="22"/>
          <w:lang w:val="es-ES"/>
        </w:rPr>
        <w:t xml:space="preserve"> “household” </w:t>
      </w:r>
      <w:r w:rsidRPr="000D5434">
        <w:rPr>
          <w:szCs w:val="22"/>
          <w:lang w:val="es-ES"/>
        </w:rPr>
        <w:t>se define como perteneciente a la casa o la familia, o doméstico.</w:t>
      </w:r>
    </w:p>
    <w:p w:rsidR="00C0409B" w:rsidRPr="000D5434" w:rsidRDefault="00C0409B" w:rsidP="00103D66">
      <w:pPr>
        <w:pStyle w:val="ONUMFS"/>
        <w:numPr>
          <w:ilvl w:val="0"/>
          <w:numId w:val="0"/>
        </w:numPr>
        <w:rPr>
          <w:szCs w:val="22"/>
          <w:lang w:val="es-ES"/>
        </w:rPr>
      </w:pPr>
      <w:r w:rsidRPr="000D5434">
        <w:rPr>
          <w:szCs w:val="22"/>
          <w:lang w:val="es-ES"/>
        </w:rPr>
        <w:t xml:space="preserve">En cuanto al término “uso con fines de salud pública”, en el párrafo 1 de la Declaración de Doha relativa al </w:t>
      </w:r>
      <w:r w:rsidR="00BE2812" w:rsidRPr="000D5434">
        <w:rPr>
          <w:szCs w:val="22"/>
          <w:lang w:val="es-ES"/>
        </w:rPr>
        <w:t xml:space="preserve">Acuerdo </w:t>
      </w:r>
      <w:r w:rsidRPr="000D5434">
        <w:rPr>
          <w:szCs w:val="22"/>
          <w:lang w:val="es-ES"/>
        </w:rPr>
        <w:t>sobre los ADPIC y la salud pública se reconoce “</w:t>
      </w:r>
      <w:r w:rsidRPr="000D5434">
        <w:rPr>
          <w:iCs/>
          <w:szCs w:val="22"/>
          <w:lang w:val="es-ES"/>
        </w:rPr>
        <w:t>la gravedad de los problemas de salud pública que afligen a muchos países en desarrollo y menos adelantados, especialmente los resultantes del VIH/SIDA, la tuberculosis, el paludismo y otras epidemias</w:t>
      </w:r>
      <w:r w:rsidRPr="000D5434">
        <w:rPr>
          <w:szCs w:val="22"/>
          <w:lang w:val="es-ES"/>
        </w:rPr>
        <w:t>”.</w:t>
      </w:r>
      <w:r w:rsidR="00B834A4" w:rsidRPr="000D5434">
        <w:rPr>
          <w:szCs w:val="22"/>
          <w:lang w:val="es-ES"/>
        </w:rPr>
        <w:t xml:space="preserve"> </w:t>
      </w:r>
      <w:r w:rsidRPr="000D5434">
        <w:rPr>
          <w:szCs w:val="22"/>
          <w:lang w:val="es-ES"/>
        </w:rPr>
        <w:t>En el párrafo 5.c) se estipula además que “</w:t>
      </w:r>
      <w:r w:rsidRPr="000D5434">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0D5434" w:rsidRDefault="00C0409B" w:rsidP="00103D66">
      <w:pPr>
        <w:pStyle w:val="ONUMFS"/>
        <w:numPr>
          <w:ilvl w:val="0"/>
          <w:numId w:val="0"/>
        </w:numPr>
        <w:rPr>
          <w:szCs w:val="22"/>
          <w:lang w:val="es-ES"/>
        </w:rPr>
      </w:pPr>
      <w:r w:rsidRPr="000D5434">
        <w:rPr>
          <w:i/>
          <w:iCs/>
          <w:szCs w:val="22"/>
          <w:u w:val="single"/>
          <w:lang w:val="es-ES"/>
        </w:rPr>
        <w:t>Uso con fines de investigación / uso educativo</w:t>
      </w:r>
    </w:p>
    <w:p w:rsidR="00C0409B" w:rsidRPr="000D5434" w:rsidRDefault="00C0409B" w:rsidP="00103D66">
      <w:pPr>
        <w:pStyle w:val="ONUMFS"/>
        <w:numPr>
          <w:ilvl w:val="0"/>
          <w:numId w:val="0"/>
        </w:numPr>
        <w:rPr>
          <w:szCs w:val="22"/>
          <w:lang w:val="es-ES"/>
        </w:rPr>
      </w:pPr>
      <w:r w:rsidRPr="000D5434">
        <w:rPr>
          <w:szCs w:val="22"/>
          <w:lang w:val="es-ES"/>
        </w:rPr>
        <w:t xml:space="preserve">En el Diccionario de la lengua española de la Real Academia Española se define “investigación” como </w:t>
      </w:r>
      <w:r w:rsidRPr="000D5434">
        <w:rPr>
          <w:iCs/>
          <w:szCs w:val="22"/>
          <w:lang w:val="es-ES"/>
        </w:rPr>
        <w:t>“[a]cción y efecto de investigar</w:t>
      </w:r>
      <w:r w:rsidRPr="000D5434">
        <w:rPr>
          <w:szCs w:val="22"/>
          <w:lang w:val="es-ES"/>
        </w:rPr>
        <w:t>”;</w:t>
      </w:r>
      <w:r w:rsidR="00B834A4" w:rsidRPr="000D5434">
        <w:rPr>
          <w:szCs w:val="22"/>
          <w:lang w:val="es-ES"/>
        </w:rPr>
        <w:t xml:space="preserve"> </w:t>
      </w:r>
      <w:r w:rsidRPr="000D5434">
        <w:rPr>
          <w:szCs w:val="22"/>
          <w:lang w:val="es-ES"/>
        </w:rPr>
        <w:t xml:space="preserve">a su vez “investigar” como </w:t>
      </w:r>
      <w:r w:rsidRPr="000D5434">
        <w:rPr>
          <w:iCs/>
          <w:szCs w:val="22"/>
          <w:lang w:val="es-ES"/>
        </w:rPr>
        <w:t>“[r]ealizar actividades intelectuales y experimentales de modo sistemático con el propósito de aumentar los conocimientos sobre una determinada materia</w:t>
      </w:r>
      <w:r w:rsidRPr="000D5434">
        <w:rPr>
          <w:szCs w:val="22"/>
          <w:lang w:val="es-ES"/>
        </w:rPr>
        <w:t xml:space="preserve">” y “experimentar” como </w:t>
      </w:r>
      <w:r w:rsidRPr="000D5434">
        <w:rPr>
          <w:iCs/>
          <w:szCs w:val="22"/>
          <w:lang w:val="es-ES"/>
        </w:rPr>
        <w:t>“[p]robar y examinar prácticamente la virtud y propiedades de algo</w:t>
      </w:r>
      <w:r w:rsidRPr="000D5434">
        <w:rPr>
          <w:szCs w:val="22"/>
          <w:lang w:val="es-ES"/>
        </w:rPr>
        <w:t>”.</w:t>
      </w:r>
      <w:r w:rsidR="00B834A4" w:rsidRPr="000D5434">
        <w:rPr>
          <w:szCs w:val="22"/>
          <w:lang w:val="es-ES"/>
        </w:rPr>
        <w:t xml:space="preserve"> </w:t>
      </w:r>
      <w:r w:rsidRPr="000D5434">
        <w:rPr>
          <w:szCs w:val="22"/>
          <w:lang w:val="es-ES"/>
        </w:rPr>
        <w:t>Para la referencia del término en inglés se utilizó el diccionario jurídico de Black</w:t>
      </w:r>
      <w:r w:rsidRPr="000D5434">
        <w:rPr>
          <w:iCs/>
          <w:szCs w:val="22"/>
          <w:lang w:val="es-ES"/>
        </w:rPr>
        <w:t>,</w:t>
      </w:r>
      <w:r w:rsidRPr="000D5434">
        <w:rPr>
          <w:szCs w:val="22"/>
          <w:lang w:val="es-ES"/>
        </w:rPr>
        <w:t xml:space="preserve"> en el que la expresión “</w:t>
      </w:r>
      <w:r w:rsidRPr="000D5434">
        <w:rPr>
          <w:iCs/>
          <w:szCs w:val="22"/>
          <w:lang w:val="es-ES"/>
        </w:rPr>
        <w:t>experimental-use defense”</w:t>
      </w:r>
      <w:r w:rsidRPr="000D5434">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w:t>
      </w:r>
      <w:r w:rsidR="00B834A4" w:rsidRPr="000D5434">
        <w:rPr>
          <w:szCs w:val="22"/>
          <w:lang w:val="es-ES"/>
        </w:rPr>
        <w:t xml:space="preserve"> </w:t>
      </w:r>
      <w:r w:rsidRPr="000D5434">
        <w:rPr>
          <w:szCs w:val="22"/>
          <w:lang w:val="es-ES"/>
        </w:rPr>
        <w:t>Si bien aún se admite este eximente, debe interpretarse de manera restrictiva y en la actualidad se aplicaría únicamente a la investigación a los fines de comprobar las reivindicaciones del inventor.</w:t>
      </w:r>
    </w:p>
    <w:p w:rsidR="00C0409B" w:rsidRPr="000D5434" w:rsidRDefault="00C0409B" w:rsidP="00103D66">
      <w:pPr>
        <w:pStyle w:val="ONUMFS"/>
        <w:numPr>
          <w:ilvl w:val="0"/>
          <w:numId w:val="0"/>
        </w:numPr>
        <w:rPr>
          <w:szCs w:val="22"/>
          <w:lang w:val="es-ES"/>
        </w:rPr>
      </w:pPr>
      <w:r w:rsidRPr="000D5434">
        <w:rPr>
          <w:szCs w:val="22"/>
          <w:lang w:val="es-ES"/>
        </w:rPr>
        <w:t>Cabe señalar que, pese a que los derechos de propiedad intelectual son exclusivos, se prevén ciertas excepciones y limitaciones a esos derechos exclusivos.</w:t>
      </w:r>
      <w:r w:rsidR="00B834A4" w:rsidRPr="000D5434">
        <w:rPr>
          <w:szCs w:val="22"/>
          <w:lang w:val="es-ES"/>
        </w:rPr>
        <w:t xml:space="preserve"> </w:t>
      </w:r>
      <w:r w:rsidRPr="000D5434">
        <w:rPr>
          <w:szCs w:val="22"/>
          <w:lang w:val="es-ES"/>
        </w:rPr>
        <w:t>Por ejemplo, en el ámbito de las patentes, algunos países prevén en sus legislaciones nacionales excepciones y limitaciones a los derechos exclusivos, entre otras, en los casos siguientes:</w:t>
      </w:r>
    </w:p>
    <w:p w:rsidR="00C0409B" w:rsidRPr="000D5434" w:rsidRDefault="00C0409B" w:rsidP="00103D66">
      <w:pPr>
        <w:pStyle w:val="ONUMFS"/>
        <w:numPr>
          <w:ilvl w:val="0"/>
          <w:numId w:val="0"/>
        </w:numPr>
        <w:spacing w:after="0"/>
        <w:ind w:left="550"/>
        <w:rPr>
          <w:szCs w:val="22"/>
          <w:lang w:val="es-ES"/>
        </w:rPr>
      </w:pPr>
      <w:r w:rsidRPr="000D5434">
        <w:rPr>
          <w:szCs w:val="22"/>
          <w:lang w:val="es-ES"/>
        </w:rPr>
        <w:t>a)</w:t>
      </w:r>
      <w:r w:rsidRPr="000D5434">
        <w:rPr>
          <w:szCs w:val="22"/>
          <w:lang w:val="es-ES"/>
        </w:rPr>
        <w:tab/>
        <w:t>actos efectuados con fines privados o no comerciales;</w:t>
      </w:r>
    </w:p>
    <w:p w:rsidR="00C0409B" w:rsidRPr="000D5434" w:rsidRDefault="00C0409B" w:rsidP="00103D66">
      <w:pPr>
        <w:pStyle w:val="ONUMFS"/>
        <w:numPr>
          <w:ilvl w:val="0"/>
          <w:numId w:val="0"/>
        </w:numPr>
        <w:rPr>
          <w:szCs w:val="22"/>
          <w:lang w:val="es-ES"/>
        </w:rPr>
      </w:pPr>
      <w:r w:rsidRPr="000D5434">
        <w:rPr>
          <w:szCs w:val="22"/>
          <w:lang w:val="es-ES"/>
        </w:rPr>
        <w:tab/>
        <w:t>b)</w:t>
      </w:r>
      <w:r w:rsidRPr="000D5434">
        <w:rPr>
          <w:szCs w:val="22"/>
          <w:lang w:val="es-ES"/>
        </w:rPr>
        <w:tab/>
        <w:t>actos efectuados con fines experimentales o de investigación.</w:t>
      </w:r>
    </w:p>
    <w:p w:rsidR="00C0409B" w:rsidRPr="000D5434" w:rsidRDefault="00C0409B" w:rsidP="00A758A0">
      <w:pPr>
        <w:pStyle w:val="Heading1"/>
        <w:rPr>
          <w:b w:val="0"/>
          <w:bCs w:val="0"/>
          <w:szCs w:val="22"/>
          <w:lang w:val="es-ES"/>
        </w:rPr>
      </w:pPr>
      <w:bookmarkStart w:id="127" w:name="_Toc535585053"/>
      <w:r w:rsidRPr="000D5434">
        <w:rPr>
          <w:szCs w:val="22"/>
          <w:lang w:val="es-ES"/>
        </w:rPr>
        <w:t>Utilización</w:t>
      </w:r>
      <w:bookmarkEnd w:id="127"/>
    </w:p>
    <w:p w:rsidR="00C0409B" w:rsidRPr="000D5434" w:rsidRDefault="00C0409B" w:rsidP="00103D66">
      <w:pPr>
        <w:pStyle w:val="ONUMFS"/>
        <w:numPr>
          <w:ilvl w:val="0"/>
          <w:numId w:val="0"/>
        </w:numPr>
        <w:rPr>
          <w:szCs w:val="22"/>
          <w:lang w:val="es-ES"/>
        </w:rPr>
      </w:pPr>
      <w:r w:rsidRPr="000D5434">
        <w:rPr>
          <w:szCs w:val="22"/>
          <w:lang w:val="es-ES"/>
        </w:rPr>
        <w:t xml:space="preserve">En el artículo 2.c) del </w:t>
      </w:r>
      <w:r w:rsidRPr="000D5434">
        <w:rPr>
          <w:i/>
          <w:szCs w:val="22"/>
          <w:lang w:val="es-ES"/>
        </w:rPr>
        <w:t>Protocolo de Nagoya sobre Acceso a los Recursos Genéticos y Participación Justa y Equitativa de los Beneficios que se Deriven de su Utilización al Convenio sobre la Diversidad Biológica</w:t>
      </w:r>
      <w:r w:rsidRPr="000D5434">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0D5434" w:rsidRDefault="00C0409B" w:rsidP="00A758A0">
      <w:pPr>
        <w:pStyle w:val="Heading1"/>
        <w:rPr>
          <w:b w:val="0"/>
          <w:bCs w:val="0"/>
          <w:szCs w:val="22"/>
          <w:lang w:val="es-ES"/>
        </w:rPr>
      </w:pPr>
      <w:bookmarkStart w:id="128" w:name="_Toc535585054"/>
      <w:r w:rsidRPr="000D5434">
        <w:rPr>
          <w:szCs w:val="22"/>
          <w:lang w:val="es-ES"/>
        </w:rPr>
        <w:t>Guía de la OMPI para la catalogación de conocimientos tradicionales</w:t>
      </w:r>
      <w:r w:rsidR="009260D2" w:rsidRPr="000D5434">
        <w:rPr>
          <w:szCs w:val="22"/>
          <w:lang w:val="es-ES"/>
        </w:rPr>
        <w:t xml:space="preserve"> (Guía de catalogación de los conocimientos tradicionales)</w:t>
      </w:r>
      <w:bookmarkEnd w:id="128"/>
    </w:p>
    <w:p w:rsidR="00C0409B" w:rsidRPr="000D5434" w:rsidRDefault="00C0409B" w:rsidP="00103D66">
      <w:pPr>
        <w:pStyle w:val="ONUMFS"/>
        <w:numPr>
          <w:ilvl w:val="0"/>
          <w:numId w:val="0"/>
        </w:numPr>
        <w:rPr>
          <w:szCs w:val="22"/>
          <w:lang w:val="es-ES"/>
        </w:rPr>
      </w:pPr>
      <w:r w:rsidRPr="000D5434">
        <w:rPr>
          <w:szCs w:val="22"/>
          <w:lang w:val="es-ES"/>
        </w:rPr>
        <w:t>Los programas de catalogación pueden plantear a los poseedores de conocimientos tradicionales cuestiones que dilucidar con respecto a la propiedad intelectual.</w:t>
      </w:r>
      <w:r w:rsidR="00B834A4" w:rsidRPr="000D5434">
        <w:rPr>
          <w:szCs w:val="22"/>
          <w:lang w:val="es-ES"/>
        </w:rPr>
        <w:t xml:space="preserve"> </w:t>
      </w:r>
      <w:r w:rsidRPr="000D5434">
        <w:rPr>
          <w:szCs w:val="22"/>
          <w:lang w:val="es-ES"/>
        </w:rPr>
        <w:t xml:space="preserve">Durante el proceso de catalogación es especialmente importante examinar con detenimiento sus </w:t>
      </w:r>
      <w:r w:rsidRPr="000D5434">
        <w:rPr>
          <w:szCs w:val="22"/>
          <w:lang w:val="es-ES"/>
        </w:rPr>
        <w:lastRenderedPageBreak/>
        <w:t>consecuencias desde el punto de vista de la propiedad intelectual.</w:t>
      </w:r>
      <w:r w:rsidR="00B834A4" w:rsidRPr="000D5434">
        <w:rPr>
          <w:szCs w:val="22"/>
          <w:lang w:val="es-ES"/>
        </w:rPr>
        <w:t xml:space="preserve"> </w:t>
      </w:r>
      <w:r w:rsidR="00E65B9C" w:rsidRPr="000D5434">
        <w:rPr>
          <w:szCs w:val="22"/>
          <w:lang w:val="es-ES"/>
        </w:rPr>
        <w:t>L</w:t>
      </w:r>
      <w:r w:rsidRPr="000D5434">
        <w:rPr>
          <w:szCs w:val="22"/>
          <w:lang w:val="es-ES"/>
        </w:rPr>
        <w:t xml:space="preserve">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w:t>
      </w:r>
      <w:r w:rsidR="00E65B9C" w:rsidRPr="000D5434">
        <w:rPr>
          <w:szCs w:val="22"/>
          <w:lang w:val="es-ES"/>
        </w:rPr>
        <w:t>e intelectual de la comunidad</w:t>
      </w:r>
      <w:r w:rsidRPr="000D5434">
        <w:rPr>
          <w:szCs w:val="22"/>
          <w:lang w:val="es-ES"/>
        </w:rPr>
        <w:t>.</w:t>
      </w:r>
      <w:r w:rsidRPr="000D5434">
        <w:rPr>
          <w:rStyle w:val="FootnoteReference"/>
          <w:szCs w:val="22"/>
          <w:lang w:val="es-ES"/>
        </w:rPr>
        <w:footnoteReference w:id="173"/>
      </w:r>
    </w:p>
    <w:p w:rsidR="00C0409B" w:rsidRPr="000D5434" w:rsidRDefault="00E65B9C" w:rsidP="00103D66">
      <w:pPr>
        <w:pStyle w:val="ONUMFS"/>
        <w:numPr>
          <w:ilvl w:val="0"/>
          <w:numId w:val="0"/>
        </w:numPr>
        <w:rPr>
          <w:szCs w:val="22"/>
          <w:lang w:val="es-ES"/>
        </w:rPr>
      </w:pPr>
      <w:r w:rsidRPr="000D5434">
        <w:rPr>
          <w:szCs w:val="22"/>
          <w:lang w:val="es-ES"/>
        </w:rPr>
        <w:t>L</w:t>
      </w:r>
      <w:r w:rsidR="00C0409B" w:rsidRPr="000D5434">
        <w:rPr>
          <w:szCs w:val="22"/>
          <w:lang w:val="es-ES"/>
        </w:rPr>
        <w:t>a guía de la OMPI para la catalogación de conocimientos tradicionales está especialmente concebid</w:t>
      </w:r>
      <w:r w:rsidR="00F20457" w:rsidRPr="000D5434">
        <w:rPr>
          <w:szCs w:val="22"/>
          <w:lang w:val="es-ES"/>
        </w:rPr>
        <w:t>a</w:t>
      </w:r>
      <w:r w:rsidR="00C0409B" w:rsidRPr="000D5434">
        <w:rPr>
          <w:szCs w:val="22"/>
          <w:lang w:val="es-ES"/>
        </w:rPr>
        <w:t xml:space="preserve"> para su consulta por las comunidades locales e indígenas.</w:t>
      </w:r>
      <w:r w:rsidR="00B834A4" w:rsidRPr="000D5434">
        <w:rPr>
          <w:szCs w:val="22"/>
          <w:lang w:val="es-ES"/>
        </w:rPr>
        <w:t xml:space="preserve"> </w:t>
      </w:r>
      <w:r w:rsidR="00C0409B" w:rsidRPr="000D5434">
        <w:rPr>
          <w:szCs w:val="22"/>
          <w:lang w:val="es-ES"/>
        </w:rPr>
        <w:t>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0D5434" w:rsidRDefault="00C0409B" w:rsidP="00103D66">
      <w:pPr>
        <w:pStyle w:val="ONUMFS"/>
        <w:numPr>
          <w:ilvl w:val="0"/>
          <w:numId w:val="0"/>
        </w:numPr>
        <w:rPr>
          <w:szCs w:val="22"/>
          <w:lang w:val="es-ES"/>
        </w:rPr>
      </w:pPr>
      <w:r w:rsidRPr="000D5434">
        <w:rPr>
          <w:szCs w:val="22"/>
          <w:lang w:val="es-ES"/>
        </w:rPr>
        <w:t>Durante el proceso de catalogación es posible proteger los conocimientos mediante derechos de propiedad intelectual y otros instrumentos jurídicos, pero únicamente si se toman las medidas adecuadas.</w:t>
      </w:r>
      <w:r w:rsidR="00B834A4" w:rsidRPr="000D5434">
        <w:rPr>
          <w:szCs w:val="22"/>
          <w:lang w:val="es-ES"/>
        </w:rPr>
        <w:t xml:space="preserve"> </w:t>
      </w:r>
      <w:r w:rsidR="00D0713E" w:rsidRPr="000D5434">
        <w:rPr>
          <w:szCs w:val="22"/>
          <w:lang w:val="es-ES"/>
        </w:rPr>
        <w:t>L</w:t>
      </w:r>
      <w:r w:rsidRPr="000D5434">
        <w:rPr>
          <w:szCs w:val="22"/>
          <w:lang w:val="es-ES"/>
        </w:rPr>
        <w:t>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0D5434" w:rsidRDefault="00C0409B" w:rsidP="00A758A0">
      <w:pPr>
        <w:pStyle w:val="Heading1"/>
        <w:rPr>
          <w:b w:val="0"/>
          <w:bCs w:val="0"/>
          <w:szCs w:val="22"/>
          <w:lang w:val="es-ES"/>
        </w:rPr>
      </w:pPr>
      <w:bookmarkStart w:id="129" w:name="_Toc535585055"/>
      <w:r w:rsidRPr="000D5434">
        <w:rPr>
          <w:szCs w:val="22"/>
          <w:lang w:val="es-ES"/>
        </w:rPr>
        <w:t>Disposiciones Tipo OMPI-UNESCO para leyes nacionales sobre la protección de las expresiones del folclore contra la explotación ilícita y otras acciones lesivas</w:t>
      </w:r>
      <w:bookmarkEnd w:id="129"/>
    </w:p>
    <w:p w:rsidR="00C0409B" w:rsidRPr="000D5434" w:rsidRDefault="00C0409B" w:rsidP="00103D66">
      <w:pPr>
        <w:pStyle w:val="ONUMFS"/>
        <w:numPr>
          <w:ilvl w:val="0"/>
          <w:numId w:val="0"/>
        </w:numPr>
        <w:rPr>
          <w:szCs w:val="22"/>
          <w:lang w:val="es-ES"/>
        </w:rPr>
      </w:pPr>
      <w:r w:rsidRPr="000D5434">
        <w:rPr>
          <w:szCs w:val="22"/>
          <w:lang w:val="es-ES"/>
        </w:rPr>
        <w:t xml:space="preserve">Las </w:t>
      </w:r>
      <w:r w:rsidRPr="000D5434">
        <w:rPr>
          <w:i/>
          <w:szCs w:val="22"/>
          <w:lang w:val="es-ES"/>
        </w:rPr>
        <w:t>Disposiciones Tipo</w:t>
      </w:r>
      <w:r w:rsidRPr="000D5434">
        <w:rPr>
          <w:szCs w:val="22"/>
          <w:lang w:val="es-ES"/>
        </w:rPr>
        <w:t xml:space="preserve"> fueron aprobadas en 1982 por un Comité de Expertos Gubernamentales nombrado por la OMPI y la UNESCO.</w:t>
      </w:r>
      <w:r w:rsidR="00B834A4" w:rsidRPr="000D5434">
        <w:rPr>
          <w:szCs w:val="22"/>
          <w:lang w:val="es-ES"/>
        </w:rPr>
        <w:t xml:space="preserve"> </w:t>
      </w:r>
      <w:r w:rsidRPr="000D5434">
        <w:rPr>
          <w:szCs w:val="22"/>
          <w:lang w:val="es-ES"/>
        </w:rPr>
        <w:t xml:space="preserve">En ellas se establece un modelo </w:t>
      </w:r>
      <w:r w:rsidRPr="000D5434">
        <w:rPr>
          <w:iCs/>
          <w:szCs w:val="22"/>
          <w:lang w:val="es-ES"/>
        </w:rPr>
        <w:t>sui géneris</w:t>
      </w:r>
      <w:r w:rsidRPr="000D5434">
        <w:rPr>
          <w:i/>
          <w:iCs/>
          <w:szCs w:val="22"/>
          <w:lang w:val="es-ES"/>
        </w:rPr>
        <w:t xml:space="preserve"> </w:t>
      </w:r>
      <w:r w:rsidRPr="000D5434">
        <w:rPr>
          <w:szCs w:val="22"/>
          <w:lang w:val="es-ES"/>
        </w:rPr>
        <w:t>de protección de las expresiones culturales tradicionales/expresiones del folclore que presenta características semejantes al régimen de protección que brinda la propiedad intelectual;</w:t>
      </w:r>
      <w:r w:rsidR="00B834A4" w:rsidRPr="000D5434">
        <w:rPr>
          <w:szCs w:val="22"/>
          <w:lang w:val="es-ES"/>
        </w:rPr>
        <w:t xml:space="preserve"> </w:t>
      </w:r>
      <w:r w:rsidRPr="000D5434">
        <w:rPr>
          <w:szCs w:val="22"/>
          <w:lang w:val="es-ES"/>
        </w:rPr>
        <w:t>dicho modelo ha sido aplicado de forma extensa por los Estados miembros de la OMPI.</w:t>
      </w:r>
    </w:p>
    <w:p w:rsidR="00C0409B" w:rsidRPr="000D5434" w:rsidRDefault="00C0409B" w:rsidP="00103D66">
      <w:pPr>
        <w:pStyle w:val="ONUMFS"/>
        <w:numPr>
          <w:ilvl w:val="0"/>
          <w:numId w:val="0"/>
        </w:numPr>
        <w:rPr>
          <w:szCs w:val="22"/>
          <w:lang w:val="es-ES"/>
        </w:rPr>
      </w:pPr>
      <w:r w:rsidRPr="000D5434">
        <w:rPr>
          <w:szCs w:val="22"/>
          <w:lang w:val="es-ES"/>
        </w:rPr>
        <w:t xml:space="preserve">Con las </w:t>
      </w:r>
      <w:r w:rsidRPr="000D5434">
        <w:rPr>
          <w:i/>
          <w:szCs w:val="22"/>
          <w:lang w:val="es-ES"/>
        </w:rPr>
        <w:t>Disposiciones Tipo</w:t>
      </w:r>
      <w:r w:rsidRPr="000D5434">
        <w:rPr>
          <w:szCs w:val="22"/>
          <w:lang w:val="es-ES"/>
        </w:rPr>
        <w:t xml:space="preserve"> se pretende mantener el equilibrio adecuado entre la protección contra los abusos del folclore, por un lado, y la libertad que permita fomentar y divulgar más el folclore, por el otro.</w:t>
      </w:r>
      <w:r w:rsidR="00B834A4" w:rsidRPr="000D5434">
        <w:rPr>
          <w:szCs w:val="22"/>
          <w:lang w:val="es-ES"/>
        </w:rPr>
        <w:t xml:space="preserve"> </w:t>
      </w:r>
      <w:r w:rsidRPr="000D5434">
        <w:rPr>
          <w:szCs w:val="22"/>
          <w:lang w:val="es-ES"/>
        </w:rPr>
        <w:t>Se da por supuesto que las expresiones del folclore constituyen un elemento vivo de la cultura de la humanidad y que una protección excesiva podría asfixiarlas.</w:t>
      </w:r>
    </w:p>
    <w:p w:rsidR="00C0409B" w:rsidRPr="000D5434" w:rsidRDefault="00C0409B" w:rsidP="00B16297">
      <w:pPr>
        <w:pStyle w:val="ONUMFS"/>
        <w:numPr>
          <w:ilvl w:val="0"/>
          <w:numId w:val="0"/>
        </w:numPr>
        <w:rPr>
          <w:szCs w:val="22"/>
          <w:lang w:val="es-ES"/>
        </w:rPr>
      </w:pPr>
      <w:r w:rsidRPr="000D5434">
        <w:rPr>
          <w:szCs w:val="22"/>
          <w:lang w:val="es-ES"/>
        </w:rPr>
        <w:t>Las expresiones culturales tradicionales/expresiones del folclore están protegidas contra “la explotación ilícita y otras acciones lesivas”.</w:t>
      </w:r>
      <w:r w:rsidR="00B834A4" w:rsidRPr="000D5434">
        <w:rPr>
          <w:szCs w:val="22"/>
          <w:lang w:val="es-ES"/>
        </w:rPr>
        <w:t xml:space="preserve"> </w:t>
      </w:r>
      <w:r w:rsidRPr="000D5434">
        <w:rPr>
          <w:szCs w:val="22"/>
          <w:lang w:val="es-ES"/>
        </w:rPr>
        <w:t>En 2000 y 2001, la OMPI procedió a realizar un estudio con el fin de conocer las experiencias de los Estados miembros en lo que respecta a la aplicación de las Disposiciones Tipo.</w:t>
      </w:r>
      <w:r w:rsidR="00B834A4" w:rsidRPr="000D5434">
        <w:rPr>
          <w:szCs w:val="22"/>
          <w:lang w:val="es-ES"/>
        </w:rPr>
        <w:t xml:space="preserve"> </w:t>
      </w:r>
      <w:r w:rsidRPr="000D5434">
        <w:rPr>
          <w:szCs w:val="22"/>
          <w:lang w:val="es-ES"/>
        </w:rPr>
        <w:t>El informe correspondiente se recoge en el documento WIPO/GRTKF/IC/3/10.</w:t>
      </w:r>
    </w:p>
    <w:p w:rsidR="00C0409B" w:rsidRPr="000D5434" w:rsidRDefault="00C0409B" w:rsidP="00103D66">
      <w:pPr>
        <w:pStyle w:val="Endofdocument-Annex"/>
        <w:ind w:left="0"/>
        <w:rPr>
          <w:szCs w:val="22"/>
          <w:lang w:val="es-ES"/>
        </w:rPr>
      </w:pPr>
    </w:p>
    <w:p w:rsidR="00C0409B" w:rsidRPr="000D5434" w:rsidRDefault="00C0409B" w:rsidP="00103D66">
      <w:pPr>
        <w:pStyle w:val="Endofdocument-Annex"/>
        <w:ind w:left="0"/>
        <w:rPr>
          <w:szCs w:val="22"/>
          <w:lang w:val="es-ES"/>
        </w:rPr>
      </w:pPr>
    </w:p>
    <w:p w:rsidR="008C41FD" w:rsidRPr="000D5434" w:rsidRDefault="00C0409B" w:rsidP="008C41FD">
      <w:pPr>
        <w:pStyle w:val="Endofdocument-Annex"/>
        <w:rPr>
          <w:szCs w:val="22"/>
          <w:lang w:val="es-ES"/>
        </w:rPr>
      </w:pPr>
      <w:r w:rsidRPr="000D5434">
        <w:rPr>
          <w:szCs w:val="22"/>
          <w:lang w:val="es-ES"/>
        </w:rPr>
        <w:t>[Fin del Anexo y del documento]</w:t>
      </w:r>
    </w:p>
    <w:sectPr w:rsidR="008C41FD" w:rsidRPr="000D5434" w:rsidSect="00E1039C">
      <w:headerReference w:type="default" r:id="rId10"/>
      <w:headerReference w:type="first" r:id="rId11"/>
      <w:footnotePr>
        <w:numRestart w:val="eachSect"/>
      </w:footnotePr>
      <w:endnotePr>
        <w:numFmt w:val="decimal"/>
      </w:endnotePr>
      <w:pgSz w:w="11907" w:h="16840" w:code="9"/>
      <w:pgMar w:top="567"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FE" w:rsidRDefault="004338FE">
      <w:r>
        <w:separator/>
      </w:r>
    </w:p>
  </w:endnote>
  <w:endnote w:type="continuationSeparator" w:id="0">
    <w:p w:rsidR="004338FE" w:rsidRDefault="004338FE" w:rsidP="003B38C1">
      <w:r>
        <w:separator/>
      </w:r>
    </w:p>
    <w:p w:rsidR="004338FE" w:rsidRPr="003B38C1" w:rsidRDefault="004338FE" w:rsidP="003B38C1">
      <w:pPr>
        <w:spacing w:after="60"/>
        <w:rPr>
          <w:sz w:val="17"/>
        </w:rPr>
      </w:pPr>
      <w:r>
        <w:rPr>
          <w:sz w:val="17"/>
        </w:rPr>
        <w:t>[Endnote continued from previous page]</w:t>
      </w:r>
    </w:p>
  </w:endnote>
  <w:endnote w:type="continuationNotice" w:id="1">
    <w:p w:rsidR="004338FE" w:rsidRPr="003B38C1" w:rsidRDefault="004338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ngsana New">
    <w:altName w:val="Leelawadee UI"/>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FE" w:rsidRDefault="004338FE">
      <w:r>
        <w:separator/>
      </w:r>
    </w:p>
  </w:footnote>
  <w:footnote w:type="continuationSeparator" w:id="0">
    <w:p w:rsidR="004338FE" w:rsidRDefault="004338FE" w:rsidP="008B60B2">
      <w:r>
        <w:separator/>
      </w:r>
    </w:p>
  </w:footnote>
  <w:footnote w:type="continuationNotice" w:id="1">
    <w:p w:rsidR="004338FE" w:rsidRPr="00E1039C" w:rsidRDefault="004338FE" w:rsidP="008B60B2">
      <w:pPr>
        <w:spacing w:before="60"/>
        <w:jc w:val="right"/>
        <w:rPr>
          <w:sz w:val="17"/>
          <w:szCs w:val="17"/>
          <w:lang w:val="es-ES"/>
        </w:rPr>
      </w:pPr>
      <w:r w:rsidRPr="00E1039C">
        <w:rPr>
          <w:sz w:val="17"/>
          <w:szCs w:val="17"/>
          <w:lang w:val="es-ES"/>
        </w:rPr>
        <w:t>[Contin</w:t>
      </w:r>
      <w:r>
        <w:rPr>
          <w:sz w:val="17"/>
          <w:szCs w:val="17"/>
          <w:lang w:val="es-ES"/>
        </w:rPr>
        <w:t>ú</w:t>
      </w:r>
      <w:r w:rsidRPr="00E1039C">
        <w:rPr>
          <w:sz w:val="17"/>
          <w:szCs w:val="17"/>
          <w:lang w:val="es-ES"/>
        </w:rPr>
        <w:t>a la nota en la página siguiente]</w:t>
      </w:r>
    </w:p>
  </w:footnote>
  <w:footnote w:id="2">
    <w:p w:rsidR="007B0297" w:rsidRPr="008C41FD" w:rsidRDefault="007B0297" w:rsidP="00C0409B">
      <w:pPr>
        <w:pStyle w:val="FootnoteText"/>
        <w:ind w:left="550" w:hanging="550"/>
        <w:rPr>
          <w:lang w:val="es-ES"/>
        </w:rPr>
      </w:pPr>
      <w:r w:rsidRPr="008C41FD">
        <w:rPr>
          <w:rStyle w:val="FootnoteReference"/>
          <w:lang w:val="es-ES"/>
        </w:rPr>
        <w:footnoteRef/>
      </w:r>
      <w:r w:rsidRPr="008C41FD">
        <w:rPr>
          <w:lang w:val="es-ES"/>
        </w:rPr>
        <w:t xml:space="preserve"> </w:t>
      </w:r>
      <w:r w:rsidRPr="008C41FD">
        <w:rPr>
          <w:lang w:val="es-ES"/>
        </w:rPr>
        <w:tab/>
        <w:t>Informe de la decimosexta sesión del Comité (WIPO/GRTKF/IC/16/8) y de la decimoséptima sesión del Comité (WIPO/GRTKF/IC/17/12).</w:t>
      </w:r>
    </w:p>
  </w:footnote>
  <w:footnote w:id="3">
    <w:p w:rsidR="007B0297" w:rsidRPr="008C41FD" w:rsidRDefault="007B0297" w:rsidP="00C0409B">
      <w:pPr>
        <w:pStyle w:val="FootnoteText"/>
        <w:rPr>
          <w:lang w:val="es-ES"/>
        </w:rPr>
      </w:pPr>
      <w:r w:rsidRPr="008C41FD">
        <w:rPr>
          <w:rStyle w:val="FootnoteReference"/>
          <w:lang w:val="es-ES"/>
        </w:rPr>
        <w:footnoteRef/>
      </w:r>
      <w:r w:rsidRPr="008C41FD">
        <w:rPr>
          <w:lang w:val="es-ES"/>
        </w:rPr>
        <w:t xml:space="preserve"> </w:t>
      </w:r>
      <w:r w:rsidRPr="008C41FD">
        <w:rPr>
          <w:lang w:val="es-ES"/>
        </w:rPr>
        <w:tab/>
        <w:t>Informe de la decimonovena sesión del Comité (WIPO/GRTKF/IC/19/12).</w:t>
      </w:r>
    </w:p>
  </w:footnote>
  <w:footnote w:id="4">
    <w:p w:rsidR="007B0297" w:rsidRPr="008C41FD" w:rsidRDefault="007B0297" w:rsidP="00C0409B">
      <w:pPr>
        <w:pStyle w:val="FootnoteText"/>
        <w:rPr>
          <w:lang w:val="es-ES"/>
        </w:rPr>
      </w:pPr>
      <w:r w:rsidRPr="008C41FD">
        <w:rPr>
          <w:rStyle w:val="FootnoteReference"/>
          <w:lang w:val="es-ES"/>
        </w:rPr>
        <w:t>*</w:t>
      </w:r>
      <w:r w:rsidRPr="008C41FD">
        <w:rPr>
          <w:lang w:val="es-ES"/>
        </w:rPr>
        <w:t xml:space="preserve"> </w:t>
      </w:r>
      <w:r w:rsidRPr="008C41FD">
        <w:rPr>
          <w:lang w:val="es-ES"/>
        </w:rPr>
        <w:tab/>
        <w:t>Los términos aparecen en el orden alfabético de la versión en inglés.</w:t>
      </w:r>
    </w:p>
  </w:footnote>
  <w:footnote w:id="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Directrices de Bonn sobre Acceso a los Recursos Genéticos y Distribución Justa y Equitativa de los Beneficios Provenientes de su Utilización, párr. 23.</w:t>
      </w:r>
    </w:p>
  </w:footnote>
  <w:footnote w:id="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Guía sobre los tratados de derecho de autor y derechos conexos administrados por la OMPI</w:t>
      </w:r>
      <w:r w:rsidRPr="008C41FD">
        <w:rPr>
          <w:szCs w:val="18"/>
          <w:lang w:val="es-ES"/>
        </w:rPr>
        <w:t xml:space="preserve"> y Glosario de términos y expresiones sobre derecho de autor y derechos conexos, pág. 273, OMPI.</w:t>
      </w:r>
    </w:p>
  </w:footnote>
  <w:footnote w:id="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La edición consultada del </w:t>
      </w:r>
      <w:r w:rsidRPr="008C41FD">
        <w:rPr>
          <w:i/>
          <w:iCs/>
          <w:szCs w:val="18"/>
          <w:lang w:val="es-ES"/>
        </w:rPr>
        <w:t>Black’s Law Dictionary</w:t>
      </w:r>
      <w:r w:rsidRPr="008C41FD">
        <w:rPr>
          <w:szCs w:val="18"/>
          <w:lang w:val="es-ES"/>
        </w:rPr>
        <w:t xml:space="preserve"> es la 8ª, a cargo de Bryan A. Garner.</w:t>
      </w:r>
    </w:p>
  </w:footnote>
  <w:footnote w:id="9">
    <w:p w:rsidR="007B0297" w:rsidRPr="008C41FD" w:rsidRDefault="007B0297" w:rsidP="006F56A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1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 xml:space="preserve">Recommendations </w:t>
      </w:r>
      <w:r w:rsidRPr="007B0297">
        <w:rPr>
          <w:i/>
          <w:iCs/>
          <w:szCs w:val="18"/>
        </w:rPr>
        <w:t>for</w:t>
      </w:r>
      <w:r w:rsidRPr="007B0297">
        <w:rPr>
          <w:i/>
          <w:szCs w:val="18"/>
        </w:rPr>
        <w:t xml:space="preserve"> African Negotiators from the 2nd Preparatory Meeting of African Indigenous Peoples and Local Communities</w:t>
      </w:r>
      <w:r w:rsidRPr="007B0297">
        <w:rPr>
          <w:szCs w:val="18"/>
        </w:rPr>
        <w:t xml:space="preserve"> (UNEP/CBD/COP/10/INF/37) 14 de octubre de 2010.</w:t>
      </w:r>
    </w:p>
  </w:footnote>
  <w:footnote w:id="1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w:t>
      </w:r>
    </w:p>
  </w:footnote>
  <w:footnote w:id="1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Directiva 98/44/CE del Parlamento Europeo y del Consejo de 6 de julio de 1998 relativa a la protección jurídica de las invenciones biotecnológicas, art. 3.1.</w:t>
      </w:r>
    </w:p>
  </w:footnote>
  <w:footnote w:id="1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WIPO/GRTKF/IC/1/3, párr.16.</w:t>
      </w:r>
    </w:p>
  </w:footnote>
  <w:footnote w:id="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Declaración de la FAO sobre biotecnología, disponible en:</w:t>
      </w:r>
      <w:r w:rsidR="004B6959">
        <w:rPr>
          <w:szCs w:val="18"/>
          <w:lang w:val="es-ES"/>
        </w:rPr>
        <w:t xml:space="preserve"> </w:t>
      </w:r>
      <w:hyperlink r:id="rId1" w:history="1">
        <w:r w:rsidRPr="008C41FD">
          <w:rPr>
            <w:rStyle w:val="Hyperlink"/>
            <w:szCs w:val="18"/>
            <w:lang w:val="es-ES"/>
          </w:rPr>
          <w:t>http://www.fao.org/biotech/fao-statement-on-biotechnology/es/</w:t>
        </w:r>
      </w:hyperlink>
    </w:p>
  </w:footnote>
  <w:footnote w:id="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la definición y la definición basada en la lista completa en:</w:t>
      </w:r>
      <w:r w:rsidR="004B6959">
        <w:rPr>
          <w:szCs w:val="18"/>
          <w:lang w:val="es-ES"/>
        </w:rPr>
        <w:t xml:space="preserve"> </w:t>
      </w:r>
      <w:hyperlink r:id="rId2" w:history="1">
        <w:r w:rsidRPr="008C41FD">
          <w:rPr>
            <w:rStyle w:val="Hyperlink"/>
            <w:szCs w:val="18"/>
            <w:lang w:val="es-ES"/>
          </w:rPr>
          <w:t>http://www.oecd.org/sti/biotechnologypolicies/statisticaldefinitionofbiotechnology.htm</w:t>
        </w:r>
      </w:hyperlink>
      <w:r w:rsidRPr="008C41FD">
        <w:rPr>
          <w:szCs w:val="18"/>
          <w:lang w:val="es-ES"/>
        </w:rPr>
        <w:t>.</w:t>
      </w:r>
    </w:p>
  </w:footnote>
  <w:footnote w:id="1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1, 7.a) y 17 a 21.</w:t>
      </w:r>
    </w:p>
  </w:footnote>
  <w:footnote w:id="1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24 a 50, Apéndice II.</w:t>
      </w:r>
    </w:p>
  </w:footnote>
  <w:footnote w:id="18">
    <w:p w:rsidR="007B0297" w:rsidRPr="008C41FD" w:rsidRDefault="007B0297" w:rsidP="00886929">
      <w:pPr>
        <w:pStyle w:val="FootnoteText"/>
        <w:ind w:left="600" w:hanging="60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página 22 del </w:t>
      </w:r>
      <w:r w:rsidRPr="008C41FD">
        <w:rPr>
          <w:i/>
          <w:szCs w:val="18"/>
          <w:lang w:val="es-ES"/>
        </w:rPr>
        <w:t>Glossary of Terms for Negotiators of Multilateral Environmental Agreements</w:t>
      </w:r>
      <w:r w:rsidRPr="008C41FD">
        <w:rPr>
          <w:szCs w:val="18"/>
          <w:lang w:val="es-ES"/>
        </w:rPr>
        <w:t xml:space="preserve">, del PNUMA, que puede consultarse en </w:t>
      </w:r>
      <w:hyperlink r:id="rId3" w:history="1">
        <w:r w:rsidRPr="008C41FD">
          <w:rPr>
            <w:rStyle w:val="Hyperlink"/>
            <w:color w:val="auto"/>
            <w:szCs w:val="18"/>
            <w:lang w:val="es-ES"/>
          </w:rPr>
          <w:t>https://www.unenvironment.org/resources/report/glossary-terms-negotiators-multilateral-environmental-agreements</w:t>
        </w:r>
      </w:hyperlink>
      <w:r w:rsidRPr="008C41FD">
        <w:rPr>
          <w:szCs w:val="18"/>
          <w:lang w:val="es-ES"/>
        </w:rPr>
        <w:t xml:space="preserve">. </w:t>
      </w:r>
    </w:p>
  </w:footnote>
  <w:footnote w:id="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“Lista y breve descripción técnica de las diferentes formas que pueden presentar los conocimientos tradicionales” (WIPO/GRTKF/IC/17/INF/9), párr. 16 del Anexo.</w:t>
      </w:r>
    </w:p>
  </w:footnote>
  <w:footnote w:id="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C41FD">
        <w:rPr>
          <w:i/>
          <w:iCs/>
          <w:szCs w:val="18"/>
          <w:lang w:val="es-ES"/>
        </w:rPr>
        <w:t>Rigveda</w:t>
      </w:r>
      <w:r w:rsidRPr="008C41FD">
        <w:rPr>
          <w:szCs w:val="18"/>
          <w:lang w:val="es-ES"/>
        </w:rPr>
        <w:t xml:space="preserve"> y el </w:t>
      </w:r>
      <w:r w:rsidRPr="008C41FD">
        <w:rPr>
          <w:i/>
          <w:iCs/>
          <w:szCs w:val="18"/>
          <w:lang w:val="es-ES"/>
        </w:rPr>
        <w:t>Atharvaveda.</w:t>
      </w:r>
    </w:p>
  </w:footnote>
  <w:footnote w:id="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tradicional china fue codificada y se divulgó inicialmente por escrito en el </w:t>
      </w:r>
      <w:r w:rsidRPr="008C41FD">
        <w:rPr>
          <w:i/>
          <w:iCs/>
          <w:szCs w:val="18"/>
          <w:lang w:val="es-ES"/>
        </w:rPr>
        <w:t>Canon de Medicina Interna del Emperador Amarillo</w:t>
      </w:r>
      <w:r w:rsidRPr="008C41FD">
        <w:rPr>
          <w:szCs w:val="18"/>
          <w:lang w:val="es-ES"/>
        </w:rPr>
        <w:t>, primer clásico monumental que estableció la medicina tradicional china.</w:t>
      </w:r>
      <w:r w:rsidR="004B6959">
        <w:rPr>
          <w:szCs w:val="18"/>
          <w:lang w:val="es-ES"/>
        </w:rPr>
        <w:t xml:space="preserve"> </w:t>
      </w:r>
      <w:r w:rsidRPr="008C41FD">
        <w:rPr>
          <w:szCs w:val="18"/>
          <w:lang w:val="es-ES"/>
        </w:rPr>
        <w:t>El Canon se compiló durante varios cientos de años y apareció entre los años 300 y 100 A.C.</w:t>
      </w:r>
    </w:p>
  </w:footnote>
  <w:footnote w:id="2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En la India, la primera lista de la Ley de Fármacos y Cosméticos, Nº 23 de 1940, modificada por la Ley de Fármacos y Cosméticos (enmienda) Nº 71 de 1986, especifica los libros autorizados de los sistemas Ayurvédico, Siddha y Unani Tibb.</w:t>
      </w:r>
      <w:r w:rsidR="004B6959">
        <w:rPr>
          <w:szCs w:val="18"/>
          <w:lang w:val="es-ES"/>
        </w:rPr>
        <w:t xml:space="preserve"> </w:t>
      </w:r>
      <w:r w:rsidRPr="008C41FD">
        <w:rPr>
          <w:szCs w:val="18"/>
          <w:lang w:val="es-ES"/>
        </w:rPr>
        <w:t>Véase el Inventario de bases de datos en línea de catalogación de conocimientos tradicionales” (WIPO/GRTKF/IC/3/6), párr. </w:t>
      </w:r>
      <w:r w:rsidRPr="007B0297">
        <w:rPr>
          <w:szCs w:val="18"/>
        </w:rPr>
        <w:t>8.</w:t>
      </w:r>
      <w:r w:rsidR="004B6959">
        <w:rPr>
          <w:szCs w:val="18"/>
        </w:rPr>
        <w:t xml:space="preserve"> </w:t>
      </w:r>
      <w:r w:rsidRPr="007B0297">
        <w:rPr>
          <w:szCs w:val="18"/>
        </w:rPr>
        <w:t>Véase también, Karin Timmermans y Togi Hutadjulu:</w:t>
      </w:r>
      <w:r w:rsidR="004B6959">
        <w:rPr>
          <w:szCs w:val="18"/>
        </w:rPr>
        <w:t xml:space="preserve"> </w:t>
      </w:r>
      <w:r w:rsidRPr="007B0297">
        <w:rPr>
          <w:szCs w:val="18"/>
        </w:rPr>
        <w:t>“The TRIPs Agreement and Pharmaceuticals:</w:t>
      </w:r>
      <w:r w:rsidR="004B6959">
        <w:rPr>
          <w:szCs w:val="18"/>
        </w:rPr>
        <w:t xml:space="preserve"> </w:t>
      </w:r>
      <w:r w:rsidRPr="007B0297">
        <w:rPr>
          <w:szCs w:val="18"/>
        </w:rPr>
        <w:t>Report of an ASEAN Workshop on the TRIPs Agreement and its Impact on Pharmaceuticals”, pág. 45.</w:t>
      </w:r>
    </w:p>
  </w:footnote>
  <w:footnote w:id="2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Intervención de la Delegación del Canadá.</w:t>
      </w:r>
      <w:r w:rsidR="004B6959">
        <w:rPr>
          <w:szCs w:val="18"/>
          <w:lang w:val="es-ES"/>
        </w:rPr>
        <w:t xml:space="preserve"> </w:t>
      </w:r>
      <w:r w:rsidRPr="008C41FD">
        <w:rPr>
          <w:szCs w:val="18"/>
          <w:lang w:val="es-ES"/>
        </w:rPr>
        <w:t>Véase el informe de la segunda sesión (OMPI/GRTKF/IC/2/16), párr. </w:t>
      </w:r>
      <w:r w:rsidRPr="007B0297">
        <w:rPr>
          <w:szCs w:val="18"/>
        </w:rPr>
        <w:t>131.</w:t>
      </w:r>
    </w:p>
  </w:footnote>
  <w:footnote w:id="24">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Terri Janke, </w:t>
      </w:r>
      <w:r w:rsidRPr="007B0297">
        <w:rPr>
          <w:i/>
          <w:iCs/>
          <w:szCs w:val="18"/>
        </w:rPr>
        <w:t>Pathways &amp; Protocols – A Filmaker’s guide to Working with Indigenous People, Culture and Concepts</w:t>
      </w:r>
      <w:r w:rsidRPr="007B0297">
        <w:rPr>
          <w:iCs/>
          <w:szCs w:val="18"/>
        </w:rPr>
        <w:t>, pág. 51.</w:t>
      </w:r>
    </w:p>
  </w:footnote>
  <w:footnote w:id="2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Proyecto de glosario encargado por la Comisión Nacional de los Países Bajos ante la UNESCO a un grupo de expertos de dicho país (TER/CH/2002/WD/4) 2002.</w:t>
      </w:r>
      <w:r w:rsidR="004B6959">
        <w:rPr>
          <w:szCs w:val="18"/>
          <w:lang w:val="es-ES"/>
        </w:rPr>
        <w:t xml:space="preserve"> </w:t>
      </w:r>
      <w:r w:rsidRPr="008C41FD">
        <w:rPr>
          <w:szCs w:val="18"/>
          <w:lang w:val="es-ES"/>
        </w:rPr>
        <w:t>(Traducción oficiosa de la Oficina Internacional).</w:t>
      </w:r>
    </w:p>
  </w:footnote>
  <w:footnote w:id="2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4.1.</w:t>
      </w:r>
    </w:p>
  </w:footnote>
  <w:footnote w:id="2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4.3).</w:t>
      </w:r>
    </w:p>
  </w:footnote>
  <w:footnote w:id="2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 xml:space="preserve">Tesauro de la UNESCO, </w:t>
      </w:r>
      <w:hyperlink r:id="rId4" w:history="1">
        <w:r w:rsidRPr="008C41FD">
          <w:rPr>
            <w:rStyle w:val="Hyperlink"/>
            <w:szCs w:val="18"/>
            <w:lang w:val="es-ES"/>
          </w:rPr>
          <w:t>http://www.vocabularyserver.com/unesco/en/index.php?tema=2526&amp;/cultural-identity</w:t>
        </w:r>
      </w:hyperlink>
      <w:r w:rsidRPr="008C41FD">
        <w:rPr>
          <w:szCs w:val="18"/>
          <w:lang w:val="es-ES"/>
        </w:rPr>
        <w:t>.</w:t>
      </w:r>
      <w:r w:rsidR="004B6959">
        <w:rPr>
          <w:szCs w:val="18"/>
          <w:lang w:val="es-ES"/>
        </w:rPr>
        <w:t xml:space="preserve"> </w:t>
      </w:r>
      <w:r w:rsidRPr="008C41FD">
        <w:rPr>
          <w:szCs w:val="18"/>
          <w:lang w:val="es-ES"/>
        </w:rPr>
        <w:t>(Traducción oficiosa de la Oficina Internacional).</w:t>
      </w:r>
    </w:p>
  </w:footnote>
  <w:footnote w:id="2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Convenio Nº 169 de la OIT sobre pueblos indígenas y tribales en países independientes, 1989, art. 2.2)b).</w:t>
      </w:r>
    </w:p>
  </w:footnote>
  <w:footnote w:id="3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Disposiciones Tipo para leyes nacionales sobre la protección de las expresiones del folclore contra la explotación ilícita y otras acciones lesivas (1982), Parte III, párr. 42.</w:t>
      </w:r>
    </w:p>
  </w:footnote>
  <w:footnote w:id="3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Proteger los derechos de la comunidad sobre los conocimientos tradicionales:</w:t>
      </w:r>
      <w:r w:rsidR="004B6959">
        <w:rPr>
          <w:szCs w:val="18"/>
          <w:lang w:val="es-ES"/>
        </w:rPr>
        <w:t xml:space="preserve"> </w:t>
      </w:r>
      <w:r w:rsidRPr="008C41FD">
        <w:rPr>
          <w:szCs w:val="18"/>
          <w:lang w:val="es-ES"/>
        </w:rPr>
        <w:t>repercusiones de las leyes y prácticas consuetudinarias.</w:t>
      </w:r>
      <w:r w:rsidR="004B6959">
        <w:rPr>
          <w:szCs w:val="18"/>
          <w:lang w:val="es-ES"/>
        </w:rPr>
        <w:t xml:space="preserve"> </w:t>
      </w:r>
      <w:r w:rsidRPr="008C41FD">
        <w:rPr>
          <w:szCs w:val="18"/>
          <w:lang w:val="es-ES"/>
        </w:rPr>
        <w:t>Seminario de planificación de la investigación, Cuzco (Perú), 20 a 25 de mayo de 2005.</w:t>
      </w:r>
    </w:p>
  </w:footnote>
  <w:footnote w:id="3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w:t>
      </w:r>
      <w:r w:rsidR="004B6959">
        <w:rPr>
          <w:i/>
          <w:szCs w:val="18"/>
        </w:rPr>
        <w:t xml:space="preserve"> </w:t>
      </w:r>
      <w:r w:rsidRPr="007B0297">
        <w:rPr>
          <w:i/>
          <w:szCs w:val="18"/>
        </w:rPr>
        <w:t>An Outline of the Issues</w:t>
      </w:r>
      <w:r w:rsidRPr="007B0297">
        <w:rPr>
          <w:szCs w:val="18"/>
        </w:rPr>
        <w:t xml:space="preserve"> (2013):</w:t>
      </w:r>
      <w:r w:rsidR="004B6959">
        <w:rPr>
          <w:szCs w:val="18"/>
        </w:rPr>
        <w:t xml:space="preserve"> </w:t>
      </w:r>
      <w:hyperlink r:id="rId5" w:history="1">
        <w:r w:rsidRPr="007B0297">
          <w:rPr>
            <w:rStyle w:val="Hyperlink"/>
            <w:szCs w:val="18"/>
          </w:rPr>
          <w:t>http://www.wipo.int/export/sites/www/tk/en/resources/pdf/overview_customary_law.pdf</w:t>
        </w:r>
      </w:hyperlink>
    </w:p>
  </w:footnote>
  <w:footnote w:id="3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Paul Kuruk, “El derecho consuetudinario en África y la protección del folclore”, en </w:t>
      </w:r>
      <w:r w:rsidRPr="008C41FD">
        <w:rPr>
          <w:i/>
          <w:iCs/>
          <w:szCs w:val="18"/>
          <w:lang w:val="es-ES"/>
        </w:rPr>
        <w:t>Boletín de Derecho de Autor,</w:t>
      </w:r>
      <w:r w:rsidRPr="008C41FD">
        <w:rPr>
          <w:szCs w:val="18"/>
          <w:lang w:val="es-ES"/>
        </w:rPr>
        <w:t xml:space="preserve"> XXXVI, No.2, 2002, pág. 6 (</w:t>
      </w:r>
      <w:hyperlink r:id="rId6" w:history="1">
        <w:r w:rsidRPr="008C41FD">
          <w:rPr>
            <w:rStyle w:val="Hyperlink"/>
            <w:szCs w:val="18"/>
            <w:lang w:val="es-ES"/>
          </w:rPr>
          <w:t>http://unesdoc.unesco.org/images/0012/001277/127784s.pdf</w:t>
        </w:r>
      </w:hyperlink>
      <w:r w:rsidRPr="008C41FD">
        <w:rPr>
          <w:szCs w:val="18"/>
          <w:lang w:val="es-ES"/>
        </w:rPr>
        <w:t xml:space="preserve">), extraído </w:t>
      </w:r>
      <w:r w:rsidRPr="008C41FD">
        <w:rPr>
          <w:iCs/>
          <w:szCs w:val="18"/>
          <w:lang w:val="es-ES"/>
        </w:rPr>
        <w:t xml:space="preserve">en parte, París, 15 de junio de 1982, </w:t>
      </w:r>
      <w:r w:rsidRPr="008C41FD">
        <w:rPr>
          <w:i/>
          <w:iCs/>
          <w:szCs w:val="18"/>
          <w:lang w:val="es-ES"/>
        </w:rPr>
        <w:t>Gazette du Palais</w:t>
      </w:r>
      <w:r w:rsidRPr="008C41FD">
        <w:rPr>
          <w:iCs/>
          <w:szCs w:val="18"/>
          <w:lang w:val="es-ES"/>
        </w:rPr>
        <w:t xml:space="preserve">, 1982.2, Resumen, pág. 378, o París, 25 de abril de 1978, </w:t>
      </w:r>
      <w:r w:rsidRPr="008C41FD">
        <w:rPr>
          <w:i/>
          <w:iCs/>
          <w:szCs w:val="18"/>
          <w:lang w:val="es-ES"/>
        </w:rPr>
        <w:t>Gazette du Palais</w:t>
      </w:r>
      <w:r w:rsidRPr="008C41FD">
        <w:rPr>
          <w:iCs/>
          <w:szCs w:val="18"/>
          <w:lang w:val="es-ES"/>
        </w:rPr>
        <w:t>,</w:t>
      </w:r>
      <w:r w:rsidRPr="008C41FD">
        <w:rPr>
          <w:szCs w:val="18"/>
          <w:lang w:val="es-ES"/>
        </w:rPr>
        <w:t xml:space="preserve"> 1978,2, pág. 448.</w:t>
      </w:r>
    </w:p>
  </w:footnote>
  <w:footnote w:id="34">
    <w:p w:rsidR="007B0297" w:rsidRPr="007B0297" w:rsidRDefault="007B0297" w:rsidP="00C0409B">
      <w:pPr>
        <w:pStyle w:val="FootnoteText"/>
        <w:tabs>
          <w:tab w:val="left" w:pos="550"/>
        </w:tabs>
        <w:ind w:left="550" w:hanging="550"/>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w:t>
      </w:r>
      <w:r w:rsidR="004B6959">
        <w:rPr>
          <w:i/>
          <w:szCs w:val="18"/>
        </w:rPr>
        <w:t xml:space="preserve"> </w:t>
      </w:r>
      <w:r w:rsidRPr="007B0297">
        <w:rPr>
          <w:i/>
          <w:szCs w:val="18"/>
        </w:rPr>
        <w:t>An Outline of the Issues</w:t>
      </w:r>
      <w:r w:rsidRPr="007B0297">
        <w:rPr>
          <w:szCs w:val="18"/>
        </w:rPr>
        <w:t xml:space="preserve"> (2013):</w:t>
      </w:r>
      <w:r w:rsidR="004B6959">
        <w:rPr>
          <w:szCs w:val="18"/>
        </w:rPr>
        <w:t xml:space="preserve"> </w:t>
      </w:r>
      <w:hyperlink r:id="rId7" w:history="1">
        <w:r w:rsidRPr="007B0297">
          <w:rPr>
            <w:rStyle w:val="Hyperlink"/>
            <w:szCs w:val="18"/>
          </w:rPr>
          <w:t>http://www.wipo.int/export/sites/www/tk/en/resources/pdf/overview_customary_law.pdf</w:t>
        </w:r>
      </w:hyperlink>
      <w:r w:rsidRPr="007B0297">
        <w:t>.</w:t>
      </w:r>
    </w:p>
  </w:footnote>
  <w:footnote w:id="3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WIPO/GRTKF/IC/2/3, párr. 2;</w:t>
      </w:r>
      <w:r w:rsidR="004B6959">
        <w:rPr>
          <w:szCs w:val="18"/>
          <w:lang w:val="es-ES"/>
        </w:rPr>
        <w:t xml:space="preserve"> </w:t>
      </w:r>
      <w:r w:rsidRPr="008C41FD">
        <w:rPr>
          <w:szCs w:val="18"/>
          <w:lang w:val="es-ES"/>
        </w:rPr>
        <w:t>la base de datos de Internet está disponible en:</w:t>
      </w:r>
      <w:r w:rsidR="004B6959">
        <w:rPr>
          <w:szCs w:val="18"/>
          <w:lang w:val="es-ES"/>
        </w:rPr>
        <w:t xml:space="preserve"> </w:t>
      </w:r>
      <w:hyperlink r:id="rId8" w:history="1">
        <w:r w:rsidRPr="008C41FD">
          <w:rPr>
            <w:rStyle w:val="Hyperlink"/>
            <w:szCs w:val="18"/>
            <w:lang w:val="es-ES"/>
          </w:rPr>
          <w:t>http://www.wipo.int/tk/es/databases/contracts/index.html</w:t>
        </w:r>
      </w:hyperlink>
      <w:r w:rsidRPr="008C41FD">
        <w:rPr>
          <w:szCs w:val="18"/>
          <w:lang w:val="es-ES"/>
        </w:rPr>
        <w:t xml:space="preserve">. </w:t>
      </w:r>
    </w:p>
  </w:footnote>
  <w:footnote w:id="3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WIPO/GRTKF/IC/17/INF/11.</w:t>
      </w:r>
    </w:p>
  </w:footnote>
  <w:footnote w:id="3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2.3):</w:t>
      </w:r>
      <w:r w:rsidR="004B6959">
        <w:rPr>
          <w:szCs w:val="18"/>
          <w:lang w:val="es-ES"/>
        </w:rPr>
        <w:t xml:space="preserve"> </w:t>
      </w:r>
      <w:r w:rsidRPr="008C41FD">
        <w:rPr>
          <w:szCs w:val="18"/>
          <w:lang w:val="es-ES"/>
        </w:rPr>
        <w:t>“Estarán protegidas como obras originales, sin perjuicio de los derechos del autor de la obra original, las traducciones, adaptaciones, arreglos musicales y demás transformaciones de una obra literaria o artística”.</w:t>
      </w:r>
    </w:p>
  </w:footnote>
  <w:footnote w:id="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 xml:space="preserve">Guía de la OMPI sobre los tratados de derecho de autor y </w:t>
      </w:r>
      <w:r w:rsidRPr="008C41FD">
        <w:rPr>
          <w:iCs/>
          <w:snapToGrid w:val="0"/>
          <w:szCs w:val="18"/>
          <w:lang w:val="es-ES"/>
        </w:rPr>
        <w:t>derechos conexos</w:t>
      </w:r>
      <w:r w:rsidRPr="008C41FD">
        <w:rPr>
          <w:iCs/>
          <w:szCs w:val="18"/>
          <w:lang w:val="es-ES"/>
        </w:rPr>
        <w:t xml:space="preserve"> administrados por la OMPI (Capítulo 7:</w:t>
      </w:r>
      <w:r w:rsidR="004B6959">
        <w:rPr>
          <w:iCs/>
          <w:szCs w:val="18"/>
          <w:lang w:val="es-ES"/>
        </w:rPr>
        <w:t xml:space="preserve"> </w:t>
      </w:r>
      <w:r w:rsidRPr="008C41FD">
        <w:rPr>
          <w:iCs/>
          <w:szCs w:val="18"/>
          <w:lang w:val="es-ES"/>
        </w:rPr>
        <w:t xml:space="preserve">“Glosario de términos y expresiones sobre derecho de autor y </w:t>
      </w:r>
      <w:r w:rsidRPr="008C41FD">
        <w:rPr>
          <w:iCs/>
          <w:snapToGrid w:val="0"/>
          <w:szCs w:val="18"/>
          <w:lang w:val="es-ES"/>
        </w:rPr>
        <w:t>derechos conexos</w:t>
      </w:r>
      <w:r w:rsidRPr="008C41FD">
        <w:rPr>
          <w:i/>
          <w:iCs/>
          <w:szCs w:val="18"/>
          <w:lang w:val="es-ES"/>
        </w:rPr>
        <w:t>”</w:t>
      </w:r>
      <w:r w:rsidRPr="008C41FD">
        <w:rPr>
          <w:iCs/>
          <w:szCs w:val="18"/>
          <w:lang w:val="es-ES"/>
        </w:rPr>
        <w:t>), OMPI.</w:t>
      </w:r>
    </w:p>
  </w:footnote>
  <w:footnote w:id="3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2.5), Acuerdo sobre los ADPIC, art. 10.2) y Tratado de la OMPI sobre Derecho de Autor, art. 6</w:t>
      </w:r>
    </w:p>
  </w:footnote>
  <w:footnote w:id="4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Sam Ricketson y Jane C. Ginsburg, </w:t>
      </w:r>
      <w:r w:rsidRPr="007B0297">
        <w:rPr>
          <w:i/>
          <w:iCs/>
          <w:szCs w:val="18"/>
        </w:rPr>
        <w:t xml:space="preserve">International Copyright and Neighboring Rights—The Berne Convention and Beyond, </w:t>
      </w:r>
      <w:r w:rsidRPr="007B0297">
        <w:rPr>
          <w:szCs w:val="18"/>
        </w:rPr>
        <w:t>Oxford, Vol. I., pág. 485.</w:t>
      </w:r>
    </w:p>
  </w:footnote>
  <w:footnote w:id="4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r w:rsidR="004B6959">
        <w:rPr>
          <w:szCs w:val="18"/>
          <w:lang w:val="es-ES"/>
        </w:rPr>
        <w:t xml:space="preserve"> </w:t>
      </w:r>
      <w:r w:rsidRPr="008C41FD">
        <w:rPr>
          <w:szCs w:val="18"/>
          <w:lang w:val="es-ES"/>
        </w:rPr>
        <w:t>(Traducción oficiosa de la Oficina Internacional).</w:t>
      </w:r>
    </w:p>
  </w:footnote>
  <w:footnote w:id="4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Sam Ricketson y Jane C. Ginsburg, </w:t>
      </w:r>
      <w:r w:rsidRPr="008C41FD">
        <w:rPr>
          <w:i/>
          <w:iCs/>
          <w:szCs w:val="18"/>
          <w:lang w:val="es-ES"/>
        </w:rPr>
        <w:t>op. cit.</w:t>
      </w:r>
      <w:r w:rsidRPr="008C41FD">
        <w:rPr>
          <w:szCs w:val="18"/>
          <w:lang w:val="es-ES"/>
        </w:rPr>
        <w:t xml:space="preserve"> en la nota 46, pág. 603.</w:t>
      </w:r>
    </w:p>
  </w:footnote>
  <w:footnote w:id="4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“Lista y breve descripción técnica de las diferentes formas que pueden presentar los conocimientos tradicionales” (WIPO/GRTKF/IC/17/INF/9), párr. 4 del Anexo.</w:t>
      </w:r>
    </w:p>
  </w:footnote>
  <w:footnote w:id="4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i/>
          <w:iCs/>
          <w:szCs w:val="18"/>
          <w:lang w:val="es-ES"/>
        </w:rPr>
        <w:t>,</w:t>
      </w:r>
      <w:r w:rsidRPr="008C41FD">
        <w:rPr>
          <w:szCs w:val="18"/>
          <w:lang w:val="es-ES"/>
        </w:rPr>
        <w:t xml:space="preserve"> </w:t>
      </w:r>
      <w:r w:rsidRPr="008C41FD">
        <w:rPr>
          <w:i/>
          <w:iCs/>
          <w:szCs w:val="18"/>
          <w:lang w:val="es-ES"/>
        </w:rPr>
        <w:t>op. cit.</w:t>
      </w:r>
      <w:r w:rsidRPr="008C41FD">
        <w:rPr>
          <w:szCs w:val="18"/>
          <w:lang w:val="es-ES"/>
        </w:rPr>
        <w:t xml:space="preserve"> en la nota 44, pág. 291.</w:t>
      </w:r>
    </w:p>
  </w:footnote>
  <w:footnote w:id="4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ab/>
        <w:t>Art. 10</w:t>
      </w:r>
      <w:r w:rsidRPr="008C41FD">
        <w:rPr>
          <w:i/>
          <w:iCs/>
          <w:szCs w:val="18"/>
          <w:lang w:val="es-ES"/>
        </w:rPr>
        <w:t>bis</w:t>
      </w:r>
      <w:r w:rsidRPr="008C41FD">
        <w:rPr>
          <w:szCs w:val="18"/>
          <w:lang w:val="es-ES"/>
        </w:rPr>
        <w:t xml:space="preserve"> y 11.</w:t>
      </w:r>
      <w:r w:rsidR="004B6959">
        <w:rPr>
          <w:szCs w:val="18"/>
          <w:lang w:val="es-ES"/>
        </w:rPr>
        <w:t xml:space="preserve"> </w:t>
      </w:r>
      <w:r w:rsidRPr="008C41FD">
        <w:rPr>
          <w:szCs w:val="18"/>
          <w:lang w:val="es-ES"/>
        </w:rPr>
        <w:t xml:space="preserve">Véase asimismo Sam Ricketson y Jane C. Ginsburg, </w:t>
      </w:r>
      <w:r w:rsidRPr="008C41FD">
        <w:rPr>
          <w:i/>
          <w:iCs/>
          <w:szCs w:val="18"/>
          <w:lang w:val="es-ES"/>
        </w:rPr>
        <w:t>op. cit.</w:t>
      </w:r>
      <w:r w:rsidRPr="008C41FD">
        <w:rPr>
          <w:szCs w:val="18"/>
          <w:lang w:val="es-ES"/>
        </w:rPr>
        <w:t xml:space="preserve"> en la nota 46, pág. 614.</w:t>
      </w:r>
    </w:p>
  </w:footnote>
  <w:footnote w:id="4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WO/GA/32/8, párr. 75 del Anexo.</w:t>
      </w:r>
    </w:p>
  </w:footnote>
  <w:footnote w:id="4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Para más información, véanse las págs. 7 a 11 del Anexo I del documento WIPO/GRTKF/IC/16/6.</w:t>
      </w:r>
    </w:p>
  </w:footnote>
  <w:footnote w:id="4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Publicación Nº 786 de la OMPI, </w:t>
      </w:r>
      <w:r w:rsidRPr="007B0297">
        <w:rPr>
          <w:i/>
          <w:szCs w:val="18"/>
        </w:rPr>
        <w:t>WIPO Technical Study on Patent Disclosure Requirements related to Genetic Resources and Traditional Knowledge</w:t>
      </w:r>
      <w:r w:rsidRPr="007B0297">
        <w:rPr>
          <w:szCs w:val="18"/>
        </w:rPr>
        <w:t>, pág. 65.</w:t>
      </w:r>
      <w:r w:rsidR="004B6959">
        <w:rPr>
          <w:szCs w:val="18"/>
        </w:rPr>
        <w:t xml:space="preserve"> </w:t>
      </w:r>
      <w:r w:rsidRPr="008C41FD">
        <w:rPr>
          <w:szCs w:val="18"/>
          <w:lang w:val="es-ES"/>
        </w:rPr>
        <w:t>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WIPO/GRTKF/IC/9/13 (propuesta alternativa).</w:t>
      </w:r>
    </w:p>
  </w:footnote>
  <w:footnote w:id="5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TN/C/W/52.</w:t>
      </w:r>
    </w:p>
  </w:footnote>
  <w:footnote w:id="5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“Informe sobre la Guía para la gestión de la propiedad intelectual en la catalogación de conocimientos tradicionales y recursos genéticos” (WIPO/GRTKF/IC/5/5), pág. 4 del Anexo.</w:t>
      </w:r>
    </w:p>
  </w:footnote>
  <w:footnote w:id="5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w:t>
      </w:r>
    </w:p>
  </w:footnote>
  <w:footnote w:id="5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Excepciones y limitaciones al derecho de autor y los derechos conexos</w:t>
      </w:r>
      <w:r w:rsidRPr="008C41FD">
        <w:rPr>
          <w:szCs w:val="18"/>
          <w:lang w:val="es-ES"/>
        </w:rPr>
        <w:t>, estudio preparado por Pierre Sirinelli (WCT-WPPT/IMP/1), 1999, pág. 2.</w:t>
      </w:r>
    </w:p>
  </w:footnote>
  <w:footnote w:id="5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5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párr. 37.</w:t>
      </w:r>
    </w:p>
  </w:footnote>
  <w:footnote w:id="5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Ibíd.</w:t>
      </w:r>
      <w:r w:rsidRPr="008C41FD">
        <w:rPr>
          <w:szCs w:val="18"/>
          <w:lang w:val="es-ES"/>
        </w:rPr>
        <w:t xml:space="preserve"> </w:t>
      </w:r>
    </w:p>
  </w:footnote>
  <w:footnote w:id="5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art. 2.</w:t>
      </w:r>
    </w:p>
  </w:footnote>
  <w:footnote w:id="5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289.</w:t>
      </w:r>
    </w:p>
  </w:footnote>
  <w:footnote w:id="5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294.</w:t>
      </w:r>
    </w:p>
  </w:footnote>
  <w:footnote w:id="6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2.2) del Convenio de Berna.</w:t>
      </w:r>
    </w:p>
  </w:footnote>
  <w:footnote w:id="6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Terri Janke, “</w:t>
      </w:r>
      <w:r w:rsidRPr="007B0297">
        <w:rPr>
          <w:i/>
          <w:szCs w:val="18"/>
        </w:rPr>
        <w:t>Unauthorized Reproduction of Rock Art</w:t>
      </w:r>
      <w:r w:rsidRPr="007B0297">
        <w:rPr>
          <w:szCs w:val="18"/>
        </w:rPr>
        <w:t xml:space="preserve">”, en </w:t>
      </w:r>
      <w:r w:rsidRPr="007B0297">
        <w:rPr>
          <w:i/>
          <w:iCs/>
          <w:szCs w:val="18"/>
        </w:rPr>
        <w:t>Minding Culture:</w:t>
      </w:r>
      <w:r w:rsidR="004B6959">
        <w:rPr>
          <w:i/>
          <w:iCs/>
          <w:szCs w:val="18"/>
        </w:rPr>
        <w:t xml:space="preserve"> </w:t>
      </w:r>
      <w:r w:rsidRPr="007B0297">
        <w:rPr>
          <w:i/>
          <w:iCs/>
          <w:szCs w:val="18"/>
        </w:rPr>
        <w:t>Case Studies on Intellectual Property and Traditional Cultural Expressions</w:t>
      </w:r>
      <w:r w:rsidRPr="007B0297">
        <w:rPr>
          <w:szCs w:val="18"/>
        </w:rPr>
        <w:t>, OMPI, 2003.</w:t>
      </w:r>
    </w:p>
  </w:footnote>
  <w:footnote w:id="6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 párr. 50.</w:t>
      </w:r>
    </w:p>
  </w:footnote>
  <w:footnote w:id="6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 (1982), </w:t>
      </w:r>
      <w:r w:rsidRPr="008C41FD">
        <w:rPr>
          <w:i/>
          <w:iCs/>
          <w:szCs w:val="18"/>
          <w:lang w:val="es-ES"/>
        </w:rPr>
        <w:t>op. cit.</w:t>
      </w:r>
      <w:r w:rsidRPr="008C41FD">
        <w:rPr>
          <w:szCs w:val="18"/>
          <w:lang w:val="es-ES"/>
        </w:rPr>
        <w:t xml:space="preserve"> en la nota 36, Parte I, párrafos 5, 6 y 7.</w:t>
      </w:r>
    </w:p>
  </w:footnote>
  <w:footnote w:id="6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295.</w:t>
      </w:r>
    </w:p>
  </w:footnote>
  <w:footnote w:id="6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5.2 del Convenio de Berna, artículo 9.1 del Acuerdo sobre los ADPIC, artículo 25.10 del Tratado de la OMPI sobre el Derecho de Autor y artículo 20 del Tratado de la OMPI sobre Interpretación o Ejecución y Fonogramas.</w:t>
      </w:r>
      <w:r w:rsidR="004B6959">
        <w:rPr>
          <w:szCs w:val="18"/>
          <w:lang w:val="es-ES"/>
        </w:rPr>
        <w:t xml:space="preserve"> </w:t>
      </w:r>
      <w:r w:rsidRPr="008C41FD">
        <w:rPr>
          <w:szCs w:val="18"/>
          <w:lang w:val="es-ES"/>
        </w:rPr>
        <w:t>Véase la Guía de la OMPI sobre los tratados de derecho de autor y derechos conexos administrados por la OMPI y el Glosario de términos y expresiones sobre derecho de autor y derechos conexos.</w:t>
      </w:r>
    </w:p>
  </w:footnote>
  <w:footnote w:id="6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6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“Actividades normativas:</w:t>
      </w:r>
      <w:r w:rsidR="004B6959">
        <w:rPr>
          <w:szCs w:val="18"/>
          <w:lang w:val="es-ES"/>
        </w:rPr>
        <w:t xml:space="preserve"> </w:t>
      </w:r>
      <w:r w:rsidRPr="008C41FD">
        <w:rPr>
          <w:szCs w:val="18"/>
          <w:lang w:val="es-ES"/>
        </w:rPr>
        <w:t>Prioridades futuras para las actividades normativas.</w:t>
      </w:r>
      <w:r w:rsidR="004B6959">
        <w:rPr>
          <w:szCs w:val="18"/>
          <w:lang w:val="es-ES"/>
        </w:rPr>
        <w:t xml:space="preserve"> </w:t>
      </w:r>
      <w:r w:rsidRPr="008C41FD">
        <w:rPr>
          <w:szCs w:val="18"/>
          <w:lang w:val="es-ES"/>
        </w:rPr>
        <w:t>Examen del proyecto de principios y directrices sobre el patrimonio de los pueblos indígenas”, documento de trabajo presentado por Yozo Yokota y el Consejo Same, documento E/CN.4/Sub.2/AC.4/2006/5, 16 de junio de 2006.</w:t>
      </w:r>
    </w:p>
  </w:footnote>
  <w:footnote w:id="68">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“Informe de la OMPI relativo a las misiones exploratorias sobre propiedad intelectual y conocimientos tradicionales (1998 1999):</w:t>
      </w:r>
      <w:r w:rsidR="004B6959">
        <w:rPr>
          <w:lang w:val="es-ES"/>
        </w:rPr>
        <w:t xml:space="preserve"> </w:t>
      </w:r>
      <w:r w:rsidRPr="008C41FD">
        <w:rPr>
          <w:lang w:val="es-ES"/>
        </w:rPr>
        <w:t>Conocimientos tradicionales:</w:t>
      </w:r>
      <w:r w:rsidR="004B6959">
        <w:rPr>
          <w:lang w:val="es-ES"/>
        </w:rPr>
        <w:t xml:space="preserve"> </w:t>
      </w:r>
      <w:r w:rsidRPr="008C41FD">
        <w:rPr>
          <w:lang w:val="es-ES"/>
        </w:rPr>
        <w:t>Necesidades y expectativas en materia de propiedad intelectual”, pág. 27.</w:t>
      </w:r>
    </w:p>
  </w:footnote>
  <w:footnote w:id="69">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r>
      <w:r w:rsidRPr="008C41FD">
        <w:rPr>
          <w:szCs w:val="22"/>
          <w:lang w:val="es-ES"/>
        </w:rPr>
        <w:t>Lista y breve descripción técnica de las diversas formas que pueden presentar los conocimientos tradicionales (WIPO/GRTKF/IC/17/INF/9), párrafos 43 y 44 del Anexo.</w:t>
      </w:r>
    </w:p>
  </w:footnote>
  <w:footnote w:id="7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 concepto de comunidades locales”, documento preparado por la Secretaría del Foro Permanente para las Cuestiones Indígenas en el Taller de expertos sobre la desagregación de datos (PFII/2004/WS.1/3/Add.1).</w:t>
      </w:r>
      <w:r w:rsidR="004B6959">
        <w:rPr>
          <w:szCs w:val="18"/>
          <w:lang w:val="es-ES"/>
        </w:rPr>
        <w:t xml:space="preserve"> </w:t>
      </w:r>
      <w:r w:rsidRPr="008C41FD">
        <w:rPr>
          <w:szCs w:val="18"/>
          <w:lang w:val="es-ES"/>
        </w:rPr>
        <w:t>Véase también el documento</w:t>
      </w:r>
      <w:r w:rsidRPr="008C41FD">
        <w:rPr>
          <w:i/>
          <w:szCs w:val="18"/>
          <w:lang w:val="es-ES"/>
        </w:rPr>
        <w:t xml:space="preserve"> </w:t>
      </w:r>
      <w:r w:rsidRPr="008C41FD">
        <w:rPr>
          <w:szCs w:val="18"/>
          <w:lang w:val="es-ES"/>
        </w:rPr>
        <w:t>UNEP/CBD/WS-CB/LAC/1/INF/5.</w:t>
      </w:r>
    </w:p>
  </w:footnote>
  <w:footnote w:id="7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 xml:space="preserve">Véase el documento </w:t>
      </w:r>
      <w:r w:rsidRPr="007B0297">
        <w:rPr>
          <w:i/>
          <w:iCs/>
          <w:szCs w:val="18"/>
        </w:rPr>
        <w:t>Development of Elements of Sui Generis Systems for the Protection of Traditional Knowledge, Innovations and Practices</w:t>
      </w:r>
      <w:r w:rsidRPr="007B0297">
        <w:rPr>
          <w:szCs w:val="18"/>
        </w:rPr>
        <w:t xml:space="preserve"> (documento UNEP/CBD/WG8J/4/INF/18), pág. 5 (Traducción oficiosa de la Oficina Internacional).</w:t>
      </w:r>
    </w:p>
  </w:footnote>
  <w:footnote w:id="7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23.</w:t>
      </w:r>
      <w:r w:rsidR="004B6959">
        <w:rPr>
          <w:szCs w:val="18"/>
          <w:lang w:val="es-ES"/>
        </w:rPr>
        <w:t xml:space="preserve"> </w:t>
      </w:r>
      <w:r w:rsidRPr="008C41FD">
        <w:rPr>
          <w:szCs w:val="18"/>
          <w:lang w:val="es-ES"/>
        </w:rPr>
        <w:t>Véase también “Lista y breve explicación técnica de las diversas formas que pueden presentar los conocimientos tradicionales (WIPO/GRTKF/IC/17/INF/9, párr. 41 del Anexo.</w:t>
      </w:r>
    </w:p>
  </w:footnote>
  <w:footnote w:id="7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Artículo 1 del Convenio Nº 169 de la OIT sobre pueblos indígenas y tribales en países independientes.</w:t>
      </w:r>
    </w:p>
  </w:footnote>
  <w:footnote w:id="7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del PNUMA de términos para negociadores de acuerdos ambientales multilaterales, disponible en:</w:t>
      </w:r>
      <w:r w:rsidR="004B6959">
        <w:rPr>
          <w:szCs w:val="18"/>
          <w:lang w:val="es-ES"/>
        </w:rPr>
        <w:t xml:space="preserve"> </w:t>
      </w:r>
      <w:hyperlink r:id="rId9" w:history="1">
        <w:r w:rsidRPr="008C41FD">
          <w:rPr>
            <w:rStyle w:val="Hyperlink"/>
            <w:szCs w:val="18"/>
            <w:lang w:val="es-ES"/>
          </w:rPr>
          <w:t>http://wedocs.unep.org/handle/20.500.11822/7569</w:t>
        </w:r>
      </w:hyperlink>
    </w:p>
  </w:footnote>
  <w:footnote w:id="7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la Política Operacional 4.10, sobre pueblos indígenas, del Banco Mundial (2005);</w:t>
      </w:r>
      <w:r w:rsidR="004B6959">
        <w:rPr>
          <w:szCs w:val="18"/>
          <w:lang w:val="es-ES"/>
        </w:rPr>
        <w:t xml:space="preserve"> </w:t>
      </w:r>
      <w:r w:rsidRPr="008C41FD">
        <w:rPr>
          <w:szCs w:val="18"/>
          <w:lang w:val="es-ES"/>
        </w:rPr>
        <w:t xml:space="preserve">John Henriksen, </w:t>
      </w:r>
      <w:r w:rsidRPr="008C41FD">
        <w:rPr>
          <w:i/>
          <w:iCs/>
          <w:szCs w:val="18"/>
          <w:lang w:val="es-ES"/>
        </w:rPr>
        <w:t>Key Principles in Implementing ILO Convention Nº 169,</w:t>
      </w:r>
      <w:r w:rsidRPr="008C41FD">
        <w:rPr>
          <w:szCs w:val="18"/>
          <w:lang w:val="es-ES"/>
        </w:rPr>
        <w:t xml:space="preserve"> 2008.</w:t>
      </w:r>
    </w:p>
  </w:footnote>
  <w:footnote w:id="7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[Esta nota de pie de página forma parte de la definición] Convenio Nº 169 de la OIT sobre pueblos indígenas y tribales (1989);</w:t>
      </w:r>
      <w:r w:rsidR="004B6959">
        <w:rPr>
          <w:szCs w:val="18"/>
          <w:lang w:val="es-ES"/>
        </w:rPr>
        <w:t xml:space="preserve"> </w:t>
      </w:r>
      <w:r w:rsidRPr="008C41FD">
        <w:rPr>
          <w:szCs w:val="18"/>
          <w:lang w:val="es-ES"/>
        </w:rPr>
        <w:t>Declaración de las Naciones Unidas sobre los Derechos de los Pueblos Indígenas (2007);</w:t>
      </w:r>
      <w:r w:rsidR="004B6959">
        <w:rPr>
          <w:szCs w:val="18"/>
          <w:lang w:val="es-ES"/>
        </w:rPr>
        <w:t xml:space="preserve"> </w:t>
      </w:r>
      <w:r w:rsidRPr="008C41FD">
        <w:rPr>
          <w:szCs w:val="18"/>
          <w:lang w:val="es-ES"/>
        </w:rPr>
        <w:t>Directrices sobre las cuestiones relativas a los pueblos indígenas – Grupo de las Naciones Unidas para el Desarrollo (2008);</w:t>
      </w:r>
      <w:r w:rsidR="004B6959">
        <w:rPr>
          <w:szCs w:val="18"/>
          <w:lang w:val="es-ES"/>
        </w:rPr>
        <w:t xml:space="preserve"> </w:t>
      </w:r>
      <w:r w:rsidRPr="008C41FD">
        <w:rPr>
          <w:szCs w:val="18"/>
          <w:lang w:val="es-ES"/>
        </w:rPr>
        <w:t>Foro Permanente de las Naciones Unidas sobre Cuestiones Indígenas (Departamento de Asuntos Económicos y Sociales);</w:t>
      </w:r>
      <w:r w:rsidR="004B6959">
        <w:rPr>
          <w:szCs w:val="18"/>
          <w:lang w:val="es-ES"/>
        </w:rPr>
        <w:t xml:space="preserve"> </w:t>
      </w:r>
      <w:r w:rsidRPr="008C41FD">
        <w:rPr>
          <w:szCs w:val="18"/>
          <w:lang w:val="es-ES"/>
        </w:rPr>
        <w:t>Grupo Interinstitucional de Apoyo al Foro sobre Cuestiones Indígenas, Segunda Década Internacional de las Naciones Unidas del Plan de Acción de los Pueblos Indígenas del Mundo (véase el Anexo I).</w:t>
      </w:r>
      <w:r w:rsidR="004B6959">
        <w:rPr>
          <w:szCs w:val="18"/>
          <w:lang w:val="es-ES"/>
        </w:rPr>
        <w:t xml:space="preserve"> </w:t>
      </w:r>
      <w:r w:rsidRPr="008C41FD">
        <w:rPr>
          <w:szCs w:val="18"/>
          <w:lang w:val="es-ES"/>
        </w:rPr>
        <w:t>La FAO aplica los mismos criterios en su política sobre pueblos indígenas y tribales (disponible en http://www.fao.org/docrep/013/i1857e00.pdf).</w:t>
      </w:r>
    </w:p>
  </w:footnote>
  <w:footnote w:id="7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http://www.ifad.org./english/indigenous/documents/ip_policy_s.pdf.</w:t>
      </w:r>
    </w:p>
  </w:footnote>
  <w:footnote w:id="78">
    <w:p w:rsidR="007B0297" w:rsidRPr="008C41FD" w:rsidRDefault="007B0297" w:rsidP="00C0409B">
      <w:pPr>
        <w:tabs>
          <w:tab w:val="left" w:pos="550"/>
        </w:tabs>
        <w:ind w:left="567" w:hanging="550"/>
        <w:rPr>
          <w:sz w:val="18"/>
          <w:szCs w:val="18"/>
          <w:lang w:val="es-ES"/>
        </w:rPr>
      </w:pPr>
      <w:r w:rsidRPr="008C41FD">
        <w:rPr>
          <w:rStyle w:val="FootnoteReference"/>
          <w:sz w:val="18"/>
          <w:szCs w:val="18"/>
          <w:lang w:val="es-ES"/>
        </w:rPr>
        <w:footnoteRef/>
      </w:r>
      <w:r w:rsidRPr="008C41FD">
        <w:rPr>
          <w:sz w:val="18"/>
          <w:szCs w:val="18"/>
          <w:lang w:val="es-ES"/>
        </w:rPr>
        <w:t xml:space="preserve"> </w:t>
      </w:r>
      <w:r w:rsidRPr="008C41FD">
        <w:rPr>
          <w:rStyle w:val="FootnoteReference"/>
          <w:szCs w:val="18"/>
          <w:lang w:val="es-ES"/>
        </w:rPr>
        <w:tab/>
      </w:r>
      <w:r w:rsidRPr="008C41FD">
        <w:rPr>
          <w:sz w:val="18"/>
          <w:szCs w:val="18"/>
          <w:lang w:val="es-ES"/>
        </w:rPr>
        <w:t>Disponible en:</w:t>
      </w:r>
      <w:r w:rsidR="004B6959">
        <w:rPr>
          <w:sz w:val="18"/>
          <w:szCs w:val="18"/>
          <w:lang w:val="es-ES"/>
        </w:rPr>
        <w:t xml:space="preserve"> </w:t>
      </w:r>
      <w:r w:rsidRPr="008C41FD">
        <w:rPr>
          <w:sz w:val="18"/>
          <w:szCs w:val="18"/>
          <w:lang w:val="es-ES"/>
        </w:rPr>
        <w:t>http://www.undp.org/content/undp/en/home/librarypage/environment-energy/local_development/undp-and-indigenous-peoples-a-policy-of-engagement.html.</w:t>
      </w:r>
    </w:p>
  </w:footnote>
  <w:footnote w:id="7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Subcomisión de las Naciones Unidas de Prevención de Discriminaciones y Protección a las Minorías:</w:t>
      </w:r>
      <w:r w:rsidR="004B6959">
        <w:rPr>
          <w:szCs w:val="18"/>
          <w:lang w:val="es-ES"/>
        </w:rPr>
        <w:t xml:space="preserve"> </w:t>
      </w:r>
      <w:r w:rsidRPr="008C41FD">
        <w:rPr>
          <w:szCs w:val="18"/>
          <w:lang w:val="es-ES"/>
        </w:rPr>
        <w:t>“Estudio del problema de la discriminación contra las poblaciones indígenas" (documento E/CN.4/Sub.2/1986/7/Add.4.), párr. 379 (1986).</w:t>
      </w:r>
    </w:p>
  </w:footnote>
  <w:footnote w:id="8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 pág. 298.</w:t>
      </w:r>
    </w:p>
  </w:footnote>
  <w:footnote w:id="8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Ricketson y Ginsburg, </w:t>
      </w:r>
      <w:r w:rsidRPr="007B0297">
        <w:rPr>
          <w:i/>
          <w:szCs w:val="18"/>
        </w:rPr>
        <w:t xml:space="preserve">International Copyright and Neighboring Rights-The Berne Convention and Beyond, </w:t>
      </w:r>
      <w:r w:rsidRPr="007B0297">
        <w:rPr>
          <w:szCs w:val="18"/>
        </w:rPr>
        <w:t xml:space="preserve">Oxford, Vol. </w:t>
      </w:r>
      <w:r w:rsidRPr="008C41FD">
        <w:rPr>
          <w:szCs w:val="18"/>
          <w:lang w:val="es-ES"/>
        </w:rPr>
        <w:t>I, p. 602.</w:t>
      </w:r>
    </w:p>
  </w:footnote>
  <w:footnote w:id="8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WIPO/GRTKF/IC/2/3, párr. 133.</w:t>
      </w:r>
    </w:p>
  </w:footnote>
  <w:footnote w:id="8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WIPO/GRTKF/IC/7/9 “Los recursos genéticos:</w:t>
      </w:r>
      <w:r w:rsidR="004B6959">
        <w:rPr>
          <w:szCs w:val="18"/>
          <w:lang w:val="es-ES"/>
        </w:rPr>
        <w:t xml:space="preserve"> </w:t>
      </w:r>
      <w:r w:rsidRPr="008C41FD">
        <w:rPr>
          <w:szCs w:val="18"/>
          <w:lang w:val="es-ES"/>
        </w:rPr>
        <w:t>Proyecto de directrices de propiedad intelectual para el acceso a los recursos genéticos y la participación equitativa en los beneficios”.</w:t>
      </w:r>
    </w:p>
  </w:footnote>
  <w:footnote w:id="8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Véanse los principios operativos en la sección V.B del documento WIPO/GRTKF/IC/2/3.</w:t>
      </w:r>
    </w:p>
  </w:footnote>
  <w:footnote w:id="8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 “Recursos genéticos:</w:t>
      </w:r>
      <w:r w:rsidR="004B6959">
        <w:rPr>
          <w:szCs w:val="18"/>
          <w:lang w:val="es-ES"/>
        </w:rPr>
        <w:t xml:space="preserve"> </w:t>
      </w:r>
      <w:r w:rsidRPr="008C41FD">
        <w:rPr>
          <w:szCs w:val="18"/>
          <w:lang w:val="es-ES"/>
        </w:rPr>
        <w:t>Proyecto de directrices de propiedad intelectual para el acceso y la participación equitativa en los beneficios:</w:t>
      </w:r>
      <w:r w:rsidR="004B6959">
        <w:rPr>
          <w:szCs w:val="18"/>
          <w:lang w:val="es-ES"/>
        </w:rPr>
        <w:t xml:space="preserve"> </w:t>
      </w:r>
      <w:r w:rsidRPr="008C41FD">
        <w:rPr>
          <w:szCs w:val="18"/>
          <w:lang w:val="es-ES"/>
        </w:rPr>
        <w:t>versión actualizada”.</w:t>
      </w:r>
    </w:p>
  </w:footnote>
  <w:footnote w:id="8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w:t>
      </w:r>
    </w:p>
  </w:footnote>
  <w:footnote w:id="8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 pág. 4 del Anexo.</w:t>
      </w:r>
    </w:p>
  </w:footnote>
  <w:footnote w:id="8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8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PATENTSCOPE de la OMPI.</w:t>
      </w:r>
    </w:p>
  </w:footnote>
  <w:footnote w:id="90">
    <w:p w:rsidR="007B0297" w:rsidRPr="008C41FD" w:rsidRDefault="007B0297" w:rsidP="006F3206">
      <w:pPr>
        <w:pStyle w:val="FootnoteText"/>
        <w:rPr>
          <w:lang w:val="es-ES"/>
        </w:rPr>
      </w:pPr>
      <w:r w:rsidRPr="008C41FD">
        <w:rPr>
          <w:rStyle w:val="FootnoteReference"/>
          <w:lang w:val="es-ES"/>
        </w:rPr>
        <w:footnoteRef/>
      </w:r>
      <w:r w:rsidRPr="008C41FD">
        <w:rPr>
          <w:lang w:val="es-ES"/>
        </w:rPr>
        <w:t xml:space="preserve"> </w:t>
      </w:r>
      <w:r w:rsidRPr="008C41FD">
        <w:rPr>
          <w:lang w:val="es-ES"/>
        </w:rPr>
        <w:tab/>
        <w:t>Artículo 1 del ITPGRFA.</w:t>
      </w:r>
    </w:p>
  </w:footnote>
  <w:footnote w:id="91">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Publicación Nº 489 (E) de la OMPI, </w:t>
      </w:r>
      <w:r w:rsidRPr="008C41FD">
        <w:rPr>
          <w:i/>
          <w:szCs w:val="18"/>
          <w:lang w:val="es-ES"/>
        </w:rPr>
        <w:t xml:space="preserve">WIPO Intellectual Property Handbook, </w:t>
      </w:r>
      <w:r w:rsidRPr="008C41FD">
        <w:rPr>
          <w:szCs w:val="18"/>
          <w:lang w:val="es-ES"/>
        </w:rPr>
        <w:t>2008.</w:t>
      </w:r>
    </w:p>
  </w:footnote>
  <w:footnote w:id="92">
    <w:p w:rsidR="007B0297" w:rsidRPr="008C41FD" w:rsidRDefault="007B0297" w:rsidP="006F320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103 del Título 35 del Código de los Estados Unidos de América, disponible:</w:t>
      </w:r>
      <w:r w:rsidR="004B6959">
        <w:rPr>
          <w:lang w:val="es-ES"/>
        </w:rPr>
        <w:t xml:space="preserve"> </w:t>
      </w:r>
      <w:r w:rsidRPr="008C41FD">
        <w:rPr>
          <w:lang w:val="es-ES"/>
        </w:rPr>
        <w:t>https://www.uspto.gov/web/offices/pac/mpep/s2158.html</w:t>
      </w:r>
    </w:p>
  </w:footnote>
  <w:footnote w:id="93">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94">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w:t>
      </w:r>
      <w:r w:rsidRPr="008C41FD">
        <w:rPr>
          <w:iCs/>
          <w:szCs w:val="18"/>
          <w:lang w:val="es-ES"/>
        </w:rPr>
        <w:t>Excepciones y limitaciones al derecho de autor y los derechos conexos”,</w:t>
      </w:r>
      <w:r w:rsidRPr="008C41FD">
        <w:rPr>
          <w:szCs w:val="18"/>
          <w:lang w:val="es-ES"/>
        </w:rPr>
        <w:t xml:space="preserve"> documento WCT</w:t>
      </w:r>
      <w:r w:rsidRPr="008C41FD">
        <w:rPr>
          <w:szCs w:val="18"/>
          <w:lang w:val="es-ES"/>
        </w:rPr>
        <w:noBreakHyphen/>
        <w:t>WPPT/IMP/1, pág. 2.</w:t>
      </w:r>
    </w:p>
  </w:footnote>
  <w:footnote w:id="95">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Sección del sitio Web de la OMPI sobre Derecho de Autor y Derechos Conexos.(</w:t>
      </w:r>
      <w:r w:rsidR="00AE4787">
        <w:rPr>
          <w:rStyle w:val="Hyperlink"/>
          <w:szCs w:val="18"/>
        </w:rPr>
        <w:fldChar w:fldCharType="begin"/>
      </w:r>
      <w:r w:rsidR="00AE4787" w:rsidRPr="00BF2A2C">
        <w:rPr>
          <w:rStyle w:val="Hyperlink"/>
          <w:szCs w:val="18"/>
          <w:lang w:val="es-ES"/>
        </w:rPr>
        <w:instrText xml:space="preserve"> HYPERLINK "http://www.wipo.int/copyright/es/limitations/index.html" </w:instrText>
      </w:r>
      <w:r w:rsidR="00AE4787">
        <w:rPr>
          <w:rStyle w:val="Hyperlink"/>
          <w:szCs w:val="18"/>
        </w:rPr>
        <w:fldChar w:fldCharType="separate"/>
      </w:r>
      <w:r w:rsidRPr="007B0297">
        <w:rPr>
          <w:rStyle w:val="Hyperlink"/>
          <w:szCs w:val="18"/>
        </w:rPr>
        <w:t>http://www.wipo.int/copyright/es/limitations/index.html</w:t>
      </w:r>
      <w:r w:rsidR="00AE4787">
        <w:rPr>
          <w:rStyle w:val="Hyperlink"/>
          <w:szCs w:val="18"/>
        </w:rPr>
        <w:fldChar w:fldCharType="end"/>
      </w:r>
      <w:r w:rsidRPr="007B0297">
        <w:rPr>
          <w:szCs w:val="18"/>
        </w:rPr>
        <w:t>).</w:t>
      </w:r>
    </w:p>
  </w:footnote>
  <w:footnote w:id="96">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Art. 10.1.</w:t>
      </w:r>
    </w:p>
  </w:footnote>
  <w:footnote w:id="9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9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48, pág. 316.</w:t>
      </w:r>
    </w:p>
  </w:footnote>
  <w:footnote w:id="9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10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szCs w:val="18"/>
          <w:lang w:val="es-ES"/>
        </w:rPr>
        <w:t>http://www.wipo.int/tk/es/databases/contracts/index.html.</w:t>
      </w:r>
    </w:p>
  </w:footnote>
  <w:footnote w:id="10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bCs/>
          <w:szCs w:val="18"/>
          <w:lang w:val="es-ES"/>
        </w:rPr>
        <w:t>http://www.fao.org/3/a-be623e.pdf</w:t>
      </w:r>
      <w:r w:rsidRPr="008C41FD">
        <w:rPr>
          <w:szCs w:val="18"/>
          <w:lang w:val="es-ES"/>
        </w:rPr>
        <w:t>.</w:t>
      </w:r>
    </w:p>
  </w:footnote>
  <w:footnote w:id="10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w:t>
      </w:r>
      <w:r w:rsidR="004B6959">
        <w:rPr>
          <w:szCs w:val="18"/>
          <w:lang w:val="es-ES"/>
        </w:rPr>
        <w:t xml:space="preserve"> </w:t>
      </w:r>
      <w:r w:rsidRPr="008C41FD">
        <w:rPr>
          <w:szCs w:val="18"/>
          <w:lang w:val="es-ES"/>
        </w:rPr>
        <w:t>http://www.wipo.int/pct/es/texts/glossary.html#M.</w:t>
      </w:r>
    </w:p>
  </w:footnote>
  <w:footnote w:id="10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búsqueda internacional del PCT (en vigor desde el 18 de septiembre de 1998), párr. IX-2.1.</w:t>
      </w:r>
    </w:p>
  </w:footnote>
  <w:footnote w:id="10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Documentación mínima del PCT, PCT/MIA/9/4.</w:t>
      </w:r>
    </w:p>
  </w:footnote>
  <w:footnote w:id="10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Francesco Capotorti, antiguo Relator Especial de las Naciones Unidas (1979), citado por Dieter Kugelmann en </w:t>
      </w:r>
      <w:r w:rsidRPr="008C41FD">
        <w:rPr>
          <w:i/>
          <w:iCs/>
          <w:szCs w:val="18"/>
          <w:lang w:val="es-ES"/>
        </w:rPr>
        <w:t>The Protection of Minorities and Indigenous Peoples Respective Cultural Diversity</w:t>
      </w:r>
      <w:r w:rsidRPr="008C41FD">
        <w:rPr>
          <w:szCs w:val="18"/>
          <w:lang w:val="es-ES"/>
        </w:rPr>
        <w:t xml:space="preserve">, A. Von Bogdandy y R. Wolffrum (eds), </w:t>
      </w:r>
      <w:r w:rsidRPr="008C41FD">
        <w:rPr>
          <w:i/>
          <w:iCs/>
          <w:szCs w:val="18"/>
          <w:lang w:val="es-ES"/>
        </w:rPr>
        <w:t>Max Planck Yearbook of United Nations Law,</w:t>
      </w:r>
      <w:r w:rsidRPr="008C41FD">
        <w:rPr>
          <w:szCs w:val="18"/>
          <w:lang w:val="es-ES"/>
        </w:rPr>
        <w:t xml:space="preserve"> Vol. 11, 2007, pág. 237.</w:t>
      </w:r>
    </w:p>
  </w:footnote>
  <w:footnote w:id="10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0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00D87BB6">
        <w:rPr>
          <w:i/>
          <w:iCs/>
          <w:szCs w:val="18"/>
          <w:lang w:val="es-ES"/>
        </w:rPr>
        <w:t>Ibi</w:t>
      </w:r>
      <w:r w:rsidRPr="008C41FD">
        <w:rPr>
          <w:i/>
          <w:iCs/>
          <w:szCs w:val="18"/>
          <w:lang w:val="es-ES"/>
        </w:rPr>
        <w:t>d</w:t>
      </w:r>
      <w:r w:rsidRPr="008C41FD">
        <w:rPr>
          <w:szCs w:val="18"/>
          <w:lang w:val="es-ES"/>
        </w:rPr>
        <w:t>. art. 1.1).</w:t>
      </w:r>
    </w:p>
  </w:footnote>
  <w:footnote w:id="108">
    <w:p w:rsidR="007B0297" w:rsidRPr="008C41FD" w:rsidRDefault="007B0297" w:rsidP="0059568D">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jurídico de protección de los conocimientos tradicionales en Sri Lanka”, versión en documento de trabajo, 1 de enero de 2009.</w:t>
      </w:r>
    </w:p>
  </w:footnote>
  <w:footnote w:id="11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Varias Delegaciones, como la Delegación de Indonesia y la Delegación de México propusieron que se incorpore el término “utilización indebida” en el texto de “La protección de los conocimientos tradicionales:</w:t>
      </w:r>
      <w:r w:rsidR="004B6959">
        <w:rPr>
          <w:szCs w:val="18"/>
          <w:lang w:val="es-ES"/>
        </w:rPr>
        <w:t xml:space="preserve"> </w:t>
      </w:r>
      <w:r w:rsidRPr="008C41FD">
        <w:rPr>
          <w:szCs w:val="18"/>
          <w:lang w:val="es-ES"/>
        </w:rPr>
        <w:t>Objetivos y principios revisados (WIPO/GRTKF/IC/18/5).</w:t>
      </w:r>
      <w:r w:rsidR="004B6959">
        <w:rPr>
          <w:szCs w:val="18"/>
          <w:lang w:val="es-ES"/>
        </w:rPr>
        <w:t xml:space="preserve"> </w:t>
      </w:r>
      <w:r w:rsidRPr="008C41FD">
        <w:rPr>
          <w:szCs w:val="18"/>
          <w:lang w:val="es-ES"/>
        </w:rPr>
        <w:t xml:space="preserve">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C41FD">
        <w:rPr>
          <w:rStyle w:val="FootnoteReference"/>
          <w:szCs w:val="18"/>
          <w:lang w:val="es-ES"/>
        </w:rPr>
        <w:t>recursos</w:t>
      </w:r>
      <w:r w:rsidRPr="008C41FD">
        <w:rPr>
          <w:szCs w:val="18"/>
          <w:lang w:val="es-ES"/>
        </w:rPr>
        <w:t xml:space="preserve"> genéticos y conocimientos tradicionales conexos.</w:t>
      </w:r>
      <w:r w:rsidR="004B6959">
        <w:rPr>
          <w:szCs w:val="18"/>
          <w:lang w:val="es-ES"/>
        </w:rPr>
        <w:t xml:space="preserve"> </w:t>
      </w:r>
      <w:r w:rsidRPr="008C41FD">
        <w:rPr>
          <w:szCs w:val="18"/>
          <w:lang w:val="es-ES"/>
        </w:rPr>
        <w:t>Se utilizó para referirse a los actos que son contrarios a las condiciones convenidas de mutuo acuerdo, mientras que la apropiación indebida se refiere específicamente a la adquisición sin consentimiento previo.</w:t>
      </w:r>
      <w:r w:rsidR="004B6959">
        <w:rPr>
          <w:szCs w:val="18"/>
          <w:lang w:val="es-ES"/>
        </w:rPr>
        <w:t xml:space="preserve"> </w:t>
      </w:r>
      <w:r w:rsidRPr="008C41FD">
        <w:rPr>
          <w:szCs w:val="18"/>
          <w:lang w:val="es-ES"/>
        </w:rPr>
        <w:t>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UNEP/CBD/COP/4/22, párr. </w:t>
      </w:r>
      <w:r w:rsidRPr="007B0297">
        <w:rPr>
          <w:szCs w:val="18"/>
        </w:rPr>
        <w:t>32.</w:t>
      </w:r>
    </w:p>
  </w:footnote>
  <w:footnote w:id="11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Daniel Gervais, </w:t>
      </w:r>
      <w:r w:rsidRPr="007B0297">
        <w:rPr>
          <w:i/>
          <w:iCs/>
          <w:szCs w:val="18"/>
        </w:rPr>
        <w:t>The TRIPS Agreement.</w:t>
      </w:r>
      <w:r w:rsidR="004B6959">
        <w:rPr>
          <w:i/>
          <w:iCs/>
          <w:szCs w:val="18"/>
        </w:rPr>
        <w:t xml:space="preserve"> </w:t>
      </w:r>
      <w:r w:rsidRPr="007B0297">
        <w:rPr>
          <w:i/>
          <w:iCs/>
          <w:szCs w:val="18"/>
        </w:rPr>
        <w:t>Drafting and Analysis</w:t>
      </w:r>
      <w:r w:rsidRPr="007B0297">
        <w:rPr>
          <w:szCs w:val="18"/>
        </w:rPr>
        <w:t>, 3ª ed., Sweet &amp; Maxwell.</w:t>
      </w:r>
    </w:p>
  </w:footnote>
  <w:footnote w:id="11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Dieter Kugelmann, </w:t>
      </w:r>
      <w:r w:rsidRPr="007B0297">
        <w:rPr>
          <w:i/>
          <w:iCs/>
          <w:szCs w:val="18"/>
        </w:rPr>
        <w:t>The Protection of Minorities and Indigenous Peoples Respective Cultural Diversity</w:t>
      </w:r>
      <w:r w:rsidRPr="007B0297">
        <w:rPr>
          <w:szCs w:val="18"/>
        </w:rPr>
        <w:t xml:space="preserve">, A. Von Bogdandy y R. Wolffrum (eds), </w:t>
      </w:r>
      <w:r w:rsidRPr="007B0297">
        <w:rPr>
          <w:i/>
          <w:iCs/>
          <w:szCs w:val="18"/>
        </w:rPr>
        <w:t>Max Planck Yearbook of United Nations Law</w:t>
      </w:r>
      <w:r w:rsidRPr="007B0297">
        <w:rPr>
          <w:szCs w:val="18"/>
        </w:rPr>
        <w:t>, Vol. 11, 2007, pág. 235.</w:t>
      </w:r>
    </w:p>
  </w:footnote>
  <w:footnote w:id="1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w:t>
      </w:r>
      <w:r w:rsidRPr="008C41FD">
        <w:rPr>
          <w:i/>
          <w:iCs/>
          <w:szCs w:val="18"/>
          <w:lang w:val="es-ES"/>
        </w:rPr>
        <w:t>Glossary on Intangible Cultural Heritage</w:t>
      </w:r>
      <w:r w:rsidRPr="008C41FD">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w:t>
      </w:r>
      <w:r w:rsidR="004B6959">
        <w:rPr>
          <w:szCs w:val="18"/>
          <w:lang w:val="es-ES"/>
        </w:rPr>
        <w:t xml:space="preserve"> </w:t>
      </w:r>
      <w:r w:rsidRPr="008C41FD">
        <w:rPr>
          <w:szCs w:val="18"/>
          <w:lang w:val="es-ES"/>
        </w:rPr>
        <w:t>Proyecto de objetivos y principios” (documento WIPO/GRTKF/IC/17/4).</w:t>
      </w:r>
    </w:p>
  </w:footnote>
  <w:footnote w:id="1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Publicación Nº 489 de la OMPI, </w:t>
      </w:r>
      <w:r w:rsidRPr="008C41FD">
        <w:rPr>
          <w:i/>
          <w:iCs/>
          <w:szCs w:val="18"/>
          <w:lang w:val="es-ES"/>
        </w:rPr>
        <w:t>WIPO Intellectual Property Handbook</w:t>
      </w:r>
      <w:r w:rsidRPr="008C41FD">
        <w:rPr>
          <w:szCs w:val="18"/>
          <w:lang w:val="es-ES"/>
        </w:rPr>
        <w:t>.</w:t>
      </w:r>
    </w:p>
  </w:footnote>
  <w:footnote w:id="116">
    <w:p w:rsidR="007B0297" w:rsidRPr="008C41FD" w:rsidRDefault="007B0297" w:rsidP="001B0533">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w:t>
      </w:r>
      <w:r w:rsidR="004B6959">
        <w:rPr>
          <w:lang w:val="es-ES"/>
        </w:rPr>
        <w:t xml:space="preserve"> </w:t>
      </w:r>
      <w:r w:rsidRPr="008C41FD">
        <w:rPr>
          <w:lang w:val="es-ES"/>
        </w:rPr>
        <w:t>https://www.uspto.gov/web/offices/pac/mpep/mpep-9015-appx-l.html#al_d1fbe1_19797_b0.</w:t>
      </w:r>
      <w:r w:rsidR="004B6959">
        <w:rPr>
          <w:lang w:val="es-ES"/>
        </w:rPr>
        <w:t xml:space="preserve"> </w:t>
      </w:r>
      <w:r w:rsidRPr="008C41FD">
        <w:rPr>
          <w:lang w:val="es-ES"/>
        </w:rPr>
        <w:t>Se hace referencia al artículo 151 del título 35 del Código de los Estados Unidos de América – Concesión de una patente, disponible en:</w:t>
      </w:r>
      <w:r w:rsidR="004B6959">
        <w:rPr>
          <w:lang w:val="es-ES"/>
        </w:rPr>
        <w:t xml:space="preserve"> </w:t>
      </w:r>
      <w:r w:rsidRPr="008C41FD">
        <w:rPr>
          <w:lang w:val="es-ES"/>
        </w:rPr>
        <w:t>https://www.gpo.gov/fdsys/pkg/USCODE-2011-title35/pdf/USCODE-2011-title35-partII-chap14-sec151.pdf y al artículo 122(b) del título mencionado – Carácter confidencial de las solicitudes;</w:t>
      </w:r>
      <w:r w:rsidR="004B6959">
        <w:rPr>
          <w:lang w:val="es-ES"/>
        </w:rPr>
        <w:t xml:space="preserve"> </w:t>
      </w:r>
      <w:r w:rsidRPr="008C41FD">
        <w:rPr>
          <w:lang w:val="es-ES"/>
        </w:rPr>
        <w:t>publicación de solicitudes de patente, disponible en:</w:t>
      </w:r>
      <w:r w:rsidR="004B6959">
        <w:rPr>
          <w:lang w:val="es-ES"/>
        </w:rPr>
        <w:t xml:space="preserve"> </w:t>
      </w:r>
      <w:r w:rsidRPr="008C41FD">
        <w:rPr>
          <w:lang w:val="es-ES"/>
        </w:rPr>
        <w:t>https://www.gpo.gov/fdsys/pkg/USCODE-2011-title35/pdf/USCODE-2011-title35-partII-chap11-sec122.pdf.</w:t>
      </w:r>
    </w:p>
  </w:footnote>
  <w:footnote w:id="11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Glosario PATENTSCOPE de la OMPI.</w:t>
      </w:r>
    </w:p>
  </w:footnote>
  <w:footnote w:id="11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“Reseña de las actividades y resultados del Comité Intergubernamental” (WIPO/GRTKF/IC/5/12), párr. 37.</w:t>
      </w:r>
    </w:p>
  </w:footnote>
  <w:footnote w:id="1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w:t>
      </w:r>
      <w:r w:rsidR="004B6959">
        <w:rPr>
          <w:szCs w:val="18"/>
          <w:lang w:val="es-ES"/>
        </w:rPr>
        <w:t xml:space="preserve"> </w:t>
      </w:r>
      <w:r w:rsidRPr="008C41FD">
        <w:rPr>
          <w:szCs w:val="18"/>
          <w:lang w:val="es-ES"/>
        </w:rPr>
        <w:t>Proyecto de análisis de las carencias:</w:t>
      </w:r>
      <w:r w:rsidR="004B6959">
        <w:rPr>
          <w:szCs w:val="18"/>
          <w:lang w:val="es-ES"/>
        </w:rPr>
        <w:t xml:space="preserve"> </w:t>
      </w:r>
      <w:r w:rsidRPr="008C41FD">
        <w:rPr>
          <w:szCs w:val="18"/>
          <w:lang w:val="es-ES"/>
        </w:rPr>
        <w:t>Revisión” (documento WIPO/GRTKF/IC/13/5(b) Rev. Anexo I), página 7, párr. 13.</w:t>
      </w:r>
    </w:p>
  </w:footnote>
  <w:footnote w:id="1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32.2) de la Declaración de las Naciones Unidas sobre los Derechos de los Pueblos Indígenas;</w:t>
      </w:r>
      <w:r w:rsidR="004B6959">
        <w:rPr>
          <w:szCs w:val="18"/>
          <w:lang w:val="es-ES"/>
        </w:rPr>
        <w:t xml:space="preserve"> </w:t>
      </w:r>
      <w:r w:rsidRPr="008C41FD">
        <w:rPr>
          <w:szCs w:val="18"/>
          <w:lang w:val="es-ES"/>
        </w:rPr>
        <w:t>véanse asimismo las Directrices sobre los Asuntos de los Pueblos Indígenas del Grupo de Naciones Unidas para el Desarrollo.</w:t>
      </w:r>
    </w:p>
  </w:footnote>
  <w:footnote w:id="1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Stephen Allen y Alexandra Xanthaki, </w:t>
      </w:r>
      <w:r w:rsidRPr="007B0297">
        <w:rPr>
          <w:i/>
          <w:iCs/>
          <w:szCs w:val="18"/>
        </w:rPr>
        <w:t>Reflections on the UN Declaration on the Rights of Indigenous Peoples,</w:t>
      </w:r>
      <w:r w:rsidRPr="007B0297">
        <w:rPr>
          <w:szCs w:val="18"/>
        </w:rPr>
        <w:t xml:space="preserve"> Oxford y Portland, Oregon, pág. 49.</w:t>
      </w:r>
      <w:r w:rsidR="004B6959">
        <w:rPr>
          <w:szCs w:val="18"/>
        </w:rPr>
        <w:t xml:space="preserve"> </w:t>
      </w:r>
      <w:r w:rsidRPr="008C41FD">
        <w:rPr>
          <w:szCs w:val="18"/>
          <w:lang w:val="es-ES"/>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Publicación Nº 489 de la OMPI, </w:t>
      </w:r>
      <w:r w:rsidRPr="008C41FD">
        <w:rPr>
          <w:i/>
          <w:iCs/>
          <w:szCs w:val="18"/>
          <w:lang w:val="es-ES"/>
        </w:rPr>
        <w:t>WIPO Intellectual Property Handbook</w:t>
      </w:r>
      <w:r w:rsidRPr="008C41FD">
        <w:rPr>
          <w:szCs w:val="18"/>
          <w:lang w:val="es-ES"/>
        </w:rPr>
        <w:t>, pág. 19.</w:t>
      </w:r>
    </w:p>
  </w:footnote>
  <w:footnote w:id="123">
    <w:p w:rsidR="007B0297" w:rsidRPr="008C41FD" w:rsidRDefault="007B0297" w:rsidP="00992FE7">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w:t>
      </w:r>
      <w:r w:rsidR="004B6959">
        <w:rPr>
          <w:lang w:val="es-ES"/>
        </w:rPr>
        <w:t xml:space="preserve"> </w:t>
      </w:r>
      <w:r w:rsidRPr="008C41FD">
        <w:rPr>
          <w:lang w:val="es-ES"/>
        </w:rPr>
        <w:t>https://www.uspto.gov/web/offices/pac/mpep/mpep-9015-appx-l.html#al_d1fbe1_19797_b0.</w:t>
      </w:r>
      <w:r w:rsidR="004B6959">
        <w:rPr>
          <w:lang w:val="es-ES"/>
        </w:rPr>
        <w:t xml:space="preserve"> </w:t>
      </w:r>
      <w:r w:rsidRPr="008C41FD">
        <w:rPr>
          <w:lang w:val="es-ES"/>
        </w:rPr>
        <w:t>Se hace referencia al artículo 151 del título 35 del Código de los Estados Unidos de América – Concesión de una patente, disponible en:</w:t>
      </w:r>
      <w:r w:rsidR="004B6959">
        <w:rPr>
          <w:lang w:val="es-ES"/>
        </w:rPr>
        <w:t xml:space="preserve"> </w:t>
      </w:r>
      <w:r w:rsidRPr="008C41FD">
        <w:rPr>
          <w:lang w:val="es-ES"/>
        </w:rPr>
        <w:t>https://www.gpo.gov/fdsys/pkg/USCODE-2011-title35/pdf/USCODE-2011-title35-partII-chap14-sec151.pdf y al artículo 122(b) del título mencionado – Carácter confidencial de las solicitudes;</w:t>
      </w:r>
      <w:r w:rsidR="004B6959">
        <w:rPr>
          <w:lang w:val="es-ES"/>
        </w:rPr>
        <w:t xml:space="preserve"> </w:t>
      </w:r>
      <w:r w:rsidRPr="008C41FD">
        <w:rPr>
          <w:lang w:val="es-ES"/>
        </w:rPr>
        <w:t>publicación de solicitudes de patente, disponible en:</w:t>
      </w:r>
      <w:r w:rsidR="004B6959">
        <w:rPr>
          <w:lang w:val="es-ES"/>
        </w:rPr>
        <w:t xml:space="preserve"> </w:t>
      </w:r>
      <w:r w:rsidRPr="008C41FD">
        <w:rPr>
          <w:lang w:val="es-ES"/>
        </w:rPr>
        <w:t>https://www.gpo.gov/fdsys/pkg/USCODE-2011-title35/pdf/USCODE-2011-title35-partII-chap11-sec122.pdf.</w:t>
      </w:r>
    </w:p>
  </w:footnote>
  <w:footnote w:id="124">
    <w:p w:rsidR="007B0297" w:rsidRPr="008C41FD" w:rsidRDefault="007B0297" w:rsidP="00992FE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Véase la Ley de Patentes del Japón, disponible en:</w:t>
      </w:r>
      <w:r w:rsidR="004B6959">
        <w:rPr>
          <w:lang w:val="es-ES"/>
        </w:rPr>
        <w:t xml:space="preserve"> </w:t>
      </w:r>
      <w:r w:rsidRPr="008C41FD">
        <w:rPr>
          <w:lang w:val="es-ES"/>
        </w:rPr>
        <w:t>http://www.wipo.int/wipolex/es/details.jsp?id=16061.</w:t>
      </w:r>
    </w:p>
  </w:footnote>
  <w:footnote w:id="125">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“Reseña de actividades y resultados del Comité Intergubernamental” (WIPO/GRTKF/IC/5/12), párr. </w:t>
      </w:r>
      <w:r w:rsidRPr="007B0297">
        <w:rPr>
          <w:szCs w:val="18"/>
        </w:rPr>
        <w:t>20.</w:t>
      </w:r>
    </w:p>
  </w:footnote>
  <w:footnote w:id="126">
    <w:p w:rsidR="007B0297" w:rsidRPr="00BE1053"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Ídem, párrafos 21 y 22.</w:t>
      </w:r>
    </w:p>
  </w:footnote>
  <w:footnote w:id="127">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 xml:space="preserve">Ídem, párr. </w:t>
      </w:r>
      <w:r w:rsidRPr="007B0297">
        <w:rPr>
          <w:szCs w:val="18"/>
        </w:rPr>
        <w:t>21.</w:t>
      </w:r>
    </w:p>
  </w:footnote>
  <w:footnote w:id="128">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t>Ídem, párr. 28.</w:t>
      </w:r>
    </w:p>
  </w:footnote>
  <w:footnote w:id="129">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Jane Anderson, “</w:t>
      </w:r>
      <w:r w:rsidRPr="007B0297">
        <w:rPr>
          <w:i/>
          <w:szCs w:val="18"/>
        </w:rPr>
        <w:t>Indigenous Knowledge/Traditional Knowledge and Intellectual Property</w:t>
      </w:r>
      <w:r w:rsidRPr="007B0297">
        <w:rPr>
          <w:szCs w:val="18"/>
        </w:rPr>
        <w:t>”, Documento de trabajo, Centre for the Public Domain, Duke University, 2011, disponible en:</w:t>
      </w:r>
      <w:r w:rsidR="004B6959">
        <w:rPr>
          <w:szCs w:val="18"/>
        </w:rPr>
        <w:t xml:space="preserve"> </w:t>
      </w:r>
      <w:r w:rsidRPr="007B0297">
        <w:rPr>
          <w:szCs w:val="18"/>
        </w:rPr>
        <w:t>http://www.law.duke.edu/cspd/itkpaper</w:t>
      </w:r>
    </w:p>
  </w:footnote>
  <w:footnote w:id="13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ab/>
        <w:t>Véase el documento WIPO/GRTKF/17/INF/12.</w:t>
      </w:r>
    </w:p>
  </w:footnote>
  <w:footnote w:id="131">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sobre los tratados de derecho de autor… </w:t>
      </w:r>
      <w:r w:rsidRPr="008C41FD">
        <w:rPr>
          <w:i/>
          <w:szCs w:val="18"/>
          <w:lang w:val="es-ES"/>
        </w:rPr>
        <w:t xml:space="preserve">op. cit. </w:t>
      </w:r>
      <w:r w:rsidRPr="008C41FD">
        <w:rPr>
          <w:szCs w:val="18"/>
          <w:lang w:val="es-ES"/>
        </w:rPr>
        <w:t>en la nota 44.</w:t>
      </w:r>
    </w:p>
  </w:footnote>
  <w:footnote w:id="133">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5">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w:t>
      </w:r>
      <w:r w:rsidRPr="007B0297">
        <w:rPr>
          <w:i/>
          <w:szCs w:val="18"/>
        </w:rPr>
        <w:t>The Role of Registers &amp; Databases in the Protection of Traditional Knowledge:</w:t>
      </w:r>
      <w:r w:rsidR="004B6959">
        <w:rPr>
          <w:i/>
          <w:szCs w:val="18"/>
        </w:rPr>
        <w:t xml:space="preserve"> </w:t>
      </w:r>
      <w:r w:rsidRPr="007B0297">
        <w:rPr>
          <w:i/>
          <w:szCs w:val="18"/>
        </w:rPr>
        <w:t>A Comparative Analysis</w:t>
      </w:r>
      <w:r w:rsidRPr="007B0297">
        <w:rPr>
          <w:szCs w:val="18"/>
        </w:rPr>
        <w:t>”, Informe UNU/IAS, enero de 2004, pág. 32.</w:t>
      </w:r>
    </w:p>
  </w:footnote>
  <w:footnote w:id="136">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16 de la Ley Nº 27811 que establece el régimen de protección de los conocimientos colectivos de los pueblos indígenas vinculados a los recursos biológicos, disponible en:</w:t>
      </w:r>
      <w:r w:rsidR="004B6959">
        <w:rPr>
          <w:szCs w:val="18"/>
          <w:lang w:val="es-ES"/>
        </w:rPr>
        <w:t xml:space="preserve"> </w:t>
      </w:r>
      <w:r w:rsidRPr="008C41FD">
        <w:rPr>
          <w:szCs w:val="18"/>
          <w:lang w:val="es-ES"/>
        </w:rPr>
        <w:t>http://www.wipo.int.wipolex/en/details.jsp?id=3420.</w:t>
      </w:r>
    </w:p>
  </w:footnote>
  <w:footnote w:id="13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6</w:t>
      </w:r>
      <w:r w:rsidRPr="008C41FD">
        <w:rPr>
          <w:i/>
          <w:iCs/>
          <w:szCs w:val="18"/>
          <w:lang w:val="es-ES"/>
        </w:rPr>
        <w:t>bis</w:t>
      </w:r>
      <w:r w:rsidRPr="008C41FD">
        <w:rPr>
          <w:szCs w:val="18"/>
          <w:lang w:val="es-ES"/>
        </w:rPr>
        <w:t xml:space="preserve"> del Convenio de Berna.</w:t>
      </w:r>
    </w:p>
  </w:footnote>
  <w:footnote w:id="14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Ricketson y Ginsburg, </w:t>
      </w:r>
      <w:r w:rsidRPr="008C41FD">
        <w:rPr>
          <w:i/>
          <w:iCs/>
          <w:szCs w:val="18"/>
          <w:lang w:val="es-ES"/>
        </w:rPr>
        <w:t>op. cit.</w:t>
      </w:r>
      <w:r w:rsidRPr="008C41FD">
        <w:rPr>
          <w:szCs w:val="18"/>
          <w:lang w:val="es-ES"/>
        </w:rPr>
        <w:t xml:space="preserve"> en la nota 46, pág. 606. </w:t>
      </w:r>
    </w:p>
  </w:footnote>
  <w:footnote w:id="14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J. Gervais, “</w:t>
      </w:r>
      <w:r w:rsidRPr="007B0297">
        <w:rPr>
          <w:i/>
          <w:szCs w:val="18"/>
        </w:rPr>
        <w:t>Spiritual But not Intellectual:</w:t>
      </w:r>
      <w:r w:rsidR="004B6959">
        <w:rPr>
          <w:i/>
          <w:szCs w:val="18"/>
        </w:rPr>
        <w:t xml:space="preserve"> </w:t>
      </w:r>
      <w:r w:rsidRPr="007B0297">
        <w:rPr>
          <w:i/>
          <w:szCs w:val="18"/>
        </w:rPr>
        <w:t>The Protection of Sacred Intangible Traditional Knowledge</w:t>
      </w:r>
      <w:r w:rsidRPr="007B0297">
        <w:rPr>
          <w:szCs w:val="18"/>
        </w:rPr>
        <w:t>”, 11 Cardozo J. Int’l &amp; Comp.</w:t>
      </w:r>
      <w:r w:rsidR="004B6959">
        <w:rPr>
          <w:szCs w:val="18"/>
        </w:rPr>
        <w:t xml:space="preserve"> </w:t>
      </w:r>
      <w:r w:rsidRPr="007B0297">
        <w:rPr>
          <w:szCs w:val="18"/>
        </w:rPr>
        <w:t>L. 467, 469-490 (2003).</w:t>
      </w:r>
    </w:p>
  </w:footnote>
  <w:footnote w:id="14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Gupta, A., “</w:t>
      </w:r>
      <w:r w:rsidRPr="007B0297">
        <w:rPr>
          <w:i/>
          <w:szCs w:val="18"/>
        </w:rPr>
        <w:t>Rewarding Traditional Knowledge and Contemporary Grassroots Creativity:</w:t>
      </w:r>
      <w:r w:rsidR="004B6959">
        <w:rPr>
          <w:i/>
          <w:szCs w:val="18"/>
        </w:rPr>
        <w:t xml:space="preserve"> </w:t>
      </w:r>
      <w:r w:rsidRPr="007B0297">
        <w:rPr>
          <w:i/>
          <w:szCs w:val="18"/>
        </w:rPr>
        <w:t>The Role of Intellectual Property Protection</w:t>
      </w:r>
      <w:r w:rsidRPr="007B0297">
        <w:rPr>
          <w:szCs w:val="18"/>
        </w:rPr>
        <w:t>”, (en los archivos de la Secretaría).</w:t>
      </w:r>
    </w:p>
  </w:footnote>
  <w:footnote w:id="14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187, disponible en:</w:t>
      </w:r>
      <w:r w:rsidR="004B6959">
        <w:rPr>
          <w:szCs w:val="18"/>
          <w:lang w:val="es-ES"/>
        </w:rPr>
        <w:t xml:space="preserve"> </w:t>
      </w:r>
      <w:r w:rsidRPr="008C41FD">
        <w:rPr>
          <w:szCs w:val="18"/>
          <w:lang w:val="es-ES"/>
        </w:rPr>
        <w:t>http://www.wipo.int/tk/en/tk/ffm/report/index.html.</w:t>
      </w:r>
    </w:p>
  </w:footnote>
  <w:footnote w:id="14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 Nueva Zelandia en la undécima sesión del Comité.</w:t>
      </w:r>
      <w:r w:rsidR="004B6959">
        <w:rPr>
          <w:szCs w:val="18"/>
          <w:lang w:val="es-ES"/>
        </w:rPr>
        <w:t xml:space="preserve"> </w:t>
      </w:r>
      <w:r w:rsidRPr="008C41FD">
        <w:rPr>
          <w:szCs w:val="18"/>
          <w:lang w:val="es-ES"/>
        </w:rPr>
        <w:t>Véase el informe aprobado de dicha sesión (documento WIPO/GRTKF/IC/11/15), párr. 220.</w:t>
      </w:r>
    </w:p>
  </w:footnote>
  <w:footnote w:id="14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del Japón en la undécima sesión del Comité.</w:t>
      </w:r>
      <w:r w:rsidR="004B6959">
        <w:rPr>
          <w:szCs w:val="18"/>
          <w:lang w:val="es-ES"/>
        </w:rPr>
        <w:t xml:space="preserve"> </w:t>
      </w:r>
      <w:r w:rsidRPr="008C41FD">
        <w:rPr>
          <w:szCs w:val="18"/>
          <w:lang w:val="es-ES"/>
        </w:rPr>
        <w:t>Véase el informe aprobado de dicha sesión (documento WIPO/GRTKF/IC/11/15), párr. 296.</w:t>
      </w:r>
    </w:p>
  </w:footnote>
  <w:footnote w:id="14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w:t>
      </w:r>
      <w:r w:rsidR="004B6959">
        <w:rPr>
          <w:szCs w:val="18"/>
          <w:lang w:val="es-ES"/>
        </w:rPr>
        <w:t xml:space="preserve"> </w:t>
      </w:r>
      <w:r w:rsidRPr="008C41FD">
        <w:rPr>
          <w:szCs w:val="18"/>
          <w:lang w:val="es-ES"/>
        </w:rPr>
        <w:t>Proyecto de análisis de carencias:</w:t>
      </w:r>
      <w:r w:rsidR="004B6959">
        <w:rPr>
          <w:szCs w:val="18"/>
          <w:lang w:val="es-ES"/>
        </w:rPr>
        <w:t xml:space="preserve"> </w:t>
      </w:r>
      <w:r w:rsidRPr="008C41FD">
        <w:rPr>
          <w:szCs w:val="18"/>
          <w:lang w:val="es-ES"/>
        </w:rPr>
        <w:t>Revisión”, WIPO/GRTKF/IC/13/5(b) Rev., Anexo I, pág. 23, y Anexo II, págs. 12 y 18.</w:t>
      </w:r>
    </w:p>
  </w:footnote>
  <w:footnote w:id="14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p>
  </w:footnote>
  <w:footnote w:id="14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15, 16 y 19 del CDB.</w:t>
      </w:r>
    </w:p>
  </w:footnote>
  <w:footnote w:id="149">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50">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artículo 8.j) del CDB.</w:t>
      </w:r>
    </w:p>
  </w:footnote>
  <w:footnote w:id="151">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WIPO/GRTKF/IC/11/10.</w:t>
      </w:r>
    </w:p>
  </w:footnote>
  <w:footnote w:id="15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 </w:t>
      </w:r>
      <w:r w:rsidRPr="008C41FD">
        <w:rPr>
          <w:szCs w:val="18"/>
          <w:lang w:val="es-ES"/>
        </w:rPr>
        <w:t>Parte III</w:t>
      </w:r>
      <w:r w:rsidRPr="008C41FD">
        <w:rPr>
          <w:iCs/>
          <w:szCs w:val="18"/>
          <w:lang w:val="es-ES"/>
        </w:rPr>
        <w:t>.</w:t>
      </w:r>
    </w:p>
  </w:footnote>
  <w:footnote w:id="153">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w:t>
      </w:r>
      <w:r w:rsidRPr="008C41FD">
        <w:rPr>
          <w:szCs w:val="18"/>
          <w:lang w:val="es-ES"/>
        </w:rPr>
        <w:t xml:space="preserve"> artículo 2.iv)</w:t>
      </w:r>
      <w:r w:rsidRPr="008C41FD">
        <w:rPr>
          <w:iCs/>
          <w:szCs w:val="18"/>
          <w:lang w:val="es-ES"/>
        </w:rPr>
        <w:t>.</w:t>
      </w:r>
    </w:p>
  </w:footnote>
  <w:footnote w:id="154">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Nino Pires de Carvalho, “</w:t>
      </w:r>
      <w:r w:rsidRPr="007B0297">
        <w:rPr>
          <w:i/>
          <w:iCs/>
          <w:szCs w:val="18"/>
        </w:rPr>
        <w:t>From the Shaman’s Hut to the Patent Office:</w:t>
      </w:r>
      <w:r w:rsidR="004B6959">
        <w:rPr>
          <w:i/>
          <w:iCs/>
          <w:szCs w:val="18"/>
        </w:rPr>
        <w:t xml:space="preserve"> </w:t>
      </w:r>
      <w:r w:rsidRPr="007B0297">
        <w:rPr>
          <w:i/>
          <w:iCs/>
          <w:szCs w:val="18"/>
        </w:rPr>
        <w:t>A Road Under Construction”.</w:t>
      </w:r>
      <w:r w:rsidR="004B6959">
        <w:rPr>
          <w:szCs w:val="18"/>
        </w:rPr>
        <w:t xml:space="preserve"> </w:t>
      </w:r>
      <w:r w:rsidRPr="008C41FD">
        <w:rPr>
          <w:szCs w:val="18"/>
          <w:lang w:val="es-ES"/>
        </w:rPr>
        <w:t xml:space="preserve">Capítulo 18 de </w:t>
      </w:r>
      <w:r w:rsidRPr="008C41FD">
        <w:rPr>
          <w:i/>
          <w:iCs/>
          <w:szCs w:val="18"/>
          <w:lang w:val="es-ES"/>
        </w:rPr>
        <w:t>Biodiversity and the Law</w:t>
      </w:r>
      <w:r w:rsidRPr="008C41FD">
        <w:rPr>
          <w:szCs w:val="18"/>
          <w:lang w:val="es-ES"/>
        </w:rPr>
        <w:t>, pág. 244.</w:t>
      </w:r>
    </w:p>
  </w:footnote>
  <w:footnote w:id="155">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 protección jurídica </w:t>
      </w:r>
      <w:r w:rsidRPr="008C41FD">
        <w:rPr>
          <w:iCs/>
          <w:szCs w:val="18"/>
          <w:lang w:val="es-ES"/>
        </w:rPr>
        <w:t>de las</w:t>
      </w:r>
      <w:r w:rsidRPr="008C41FD">
        <w:rPr>
          <w:i/>
          <w:iCs/>
          <w:szCs w:val="18"/>
          <w:lang w:val="es-ES"/>
        </w:rPr>
        <w:t xml:space="preserve"> </w:t>
      </w:r>
      <w:r w:rsidRPr="008C41FD">
        <w:rPr>
          <w:szCs w:val="18"/>
          <w:lang w:val="es-ES"/>
        </w:rPr>
        <w:t>expresiones culturales tradicionales, WIPO/GRTKF/IC/5/3, párr. 53.</w:t>
      </w:r>
    </w:p>
  </w:footnote>
  <w:footnote w:id="156">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szCs w:val="18"/>
          <w:lang w:val="es-ES"/>
        </w:rPr>
        <w:t xml:space="preserve"> </w:t>
      </w:r>
      <w:r w:rsidRPr="008C41FD">
        <w:rPr>
          <w:iCs/>
          <w:szCs w:val="18"/>
          <w:lang w:val="es-ES"/>
        </w:rPr>
        <w:t xml:space="preserve">en la nota 36, </w:t>
      </w:r>
      <w:r w:rsidRPr="008C41FD">
        <w:rPr>
          <w:szCs w:val="18"/>
          <w:lang w:val="es-ES"/>
        </w:rPr>
        <w:t>Parte III, párr. 42.</w:t>
      </w:r>
    </w:p>
  </w:footnote>
  <w:footnote w:id="15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Elementos de un sistema sui géneris de protección de los conocimientos tradicionales (WIPO/GRTKF/IC/4/8), párr. 27.</w:t>
      </w:r>
    </w:p>
  </w:footnote>
  <w:footnote w:id="158">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las protección jurídica de las expresiones culturales tradicionales”, WIPO/GRTKF/IC/5/3, párr. </w:t>
      </w:r>
      <w:r w:rsidRPr="007B0297">
        <w:rPr>
          <w:szCs w:val="18"/>
        </w:rPr>
        <w:t>54.</w:t>
      </w:r>
    </w:p>
  </w:footnote>
  <w:footnote w:id="159">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también Marc G. Stevenson “</w:t>
      </w:r>
      <w:r w:rsidRPr="007B0297">
        <w:rPr>
          <w:i/>
          <w:iCs/>
          <w:szCs w:val="18"/>
        </w:rPr>
        <w:t>Indigenous Knowledge in Environmental Assessments”</w:t>
      </w:r>
      <w:r w:rsidRPr="007B0297">
        <w:rPr>
          <w:szCs w:val="18"/>
        </w:rPr>
        <w:t>, 49 ARCTIC 278, 1996, pág. 281.</w:t>
      </w:r>
    </w:p>
  </w:footnote>
  <w:footnote w:id="160">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7B0297">
        <w:rPr>
          <w:szCs w:val="18"/>
        </w:rPr>
        <w:tab/>
        <w:t>Véase Fikret Berkes, “</w:t>
      </w:r>
      <w:r w:rsidRPr="007B0297">
        <w:rPr>
          <w:i/>
          <w:szCs w:val="18"/>
        </w:rPr>
        <w:t>Traditional Ecological Knowledge in Perspective.</w:t>
      </w:r>
      <w:r w:rsidR="004B6959">
        <w:rPr>
          <w:i/>
          <w:szCs w:val="18"/>
        </w:rPr>
        <w:t xml:space="preserve"> </w:t>
      </w:r>
      <w:r w:rsidRPr="008C41FD">
        <w:rPr>
          <w:i/>
          <w:szCs w:val="18"/>
          <w:lang w:val="es-ES"/>
        </w:rPr>
        <w:t>Traditional Ecological Knowledge:</w:t>
      </w:r>
      <w:r w:rsidR="004B6959">
        <w:rPr>
          <w:i/>
          <w:szCs w:val="18"/>
          <w:lang w:val="es-ES"/>
        </w:rPr>
        <w:t xml:space="preserve"> </w:t>
      </w:r>
      <w:r w:rsidRPr="008C41FD">
        <w:rPr>
          <w:i/>
          <w:szCs w:val="18"/>
          <w:lang w:val="es-ES"/>
        </w:rPr>
        <w:t>Concepts and Cases”</w:t>
      </w:r>
      <w:r w:rsidRPr="008C41FD">
        <w:rPr>
          <w:szCs w:val="18"/>
          <w:lang w:val="es-ES"/>
        </w:rPr>
        <w:t>.</w:t>
      </w:r>
      <w:r w:rsidR="004B6959">
        <w:rPr>
          <w:szCs w:val="18"/>
          <w:lang w:val="es-ES"/>
        </w:rPr>
        <w:t xml:space="preserve"> </w:t>
      </w:r>
      <w:r w:rsidRPr="008C41FD">
        <w:rPr>
          <w:szCs w:val="18"/>
          <w:lang w:val="es-ES"/>
        </w:rPr>
        <w:t>Programa Internacional sobre Conocimientos Ecológicos Tradicionales Centro Internacional de Investigaciones para el Desarrollo, Otawa.</w:t>
      </w:r>
    </w:p>
  </w:footnote>
  <w:footnote w:id="161">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r w:rsidR="004B6959">
        <w:rPr>
          <w:szCs w:val="18"/>
          <w:lang w:val="es-ES"/>
        </w:rPr>
        <w:t xml:space="preserve"> </w:t>
      </w:r>
      <w:r w:rsidRPr="008C41FD">
        <w:rPr>
          <w:szCs w:val="18"/>
          <w:lang w:val="es-ES"/>
        </w:rPr>
        <w:t>Conocimientos tradicionales:</w:t>
      </w:r>
      <w:r w:rsidR="004B6959">
        <w:rPr>
          <w:szCs w:val="18"/>
          <w:lang w:val="es-ES"/>
        </w:rPr>
        <w:t xml:space="preserve"> </w:t>
      </w:r>
      <w:r w:rsidRPr="008C41FD">
        <w:rPr>
          <w:szCs w:val="18"/>
          <w:lang w:val="es-ES"/>
        </w:rPr>
        <w:t>Necesidades y expectativas en materia de propiedad intelectual”, pág. 25, disponible en:</w:t>
      </w:r>
      <w:r w:rsidR="004B6959">
        <w:rPr>
          <w:szCs w:val="18"/>
          <w:lang w:val="es-ES"/>
        </w:rPr>
        <w:t xml:space="preserve"> </w:t>
      </w:r>
      <w:r w:rsidRPr="008C41FD">
        <w:rPr>
          <w:szCs w:val="18"/>
          <w:lang w:val="es-ES"/>
        </w:rPr>
        <w:t>http://www.wipo.int/edocs/pubdocs/es/tk/768/wipo_pub_768.pdf.</w:t>
      </w:r>
    </w:p>
  </w:footnote>
  <w:footnote w:id="16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ab/>
        <w:t xml:space="preserve">Más información disponible en </w:t>
      </w:r>
      <w:hyperlink r:id="rId10" w:history="1">
        <w:r w:rsidRPr="008C41FD">
          <w:rPr>
            <w:rStyle w:val="Hyperlink"/>
            <w:szCs w:val="18"/>
            <w:lang w:val="es-ES"/>
          </w:rPr>
          <w:t>http://www.tkdl.res.in/tkdl/langdefault/common/Abouttkdl.asp?GL=Eng</w:t>
        </w:r>
      </w:hyperlink>
      <w:r w:rsidRPr="008C41FD">
        <w:rPr>
          <w:szCs w:val="18"/>
          <w:lang w:val="es-ES"/>
        </w:rPr>
        <w:t>.</w:t>
      </w:r>
    </w:p>
  </w:footnote>
  <w:footnote w:id="163">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w:t>
      </w:r>
      <w:r w:rsidRPr="007B0297">
        <w:rPr>
          <w:i/>
          <w:iCs/>
          <w:szCs w:val="18"/>
        </w:rPr>
        <w:t>The Role of Registers &amp; Databases in the Protection of Traditional Knowledge:</w:t>
      </w:r>
      <w:r w:rsidR="004B6959">
        <w:rPr>
          <w:i/>
          <w:iCs/>
          <w:szCs w:val="18"/>
        </w:rPr>
        <w:t xml:space="preserve"> </w:t>
      </w:r>
      <w:r w:rsidRPr="007B0297">
        <w:rPr>
          <w:i/>
          <w:iCs/>
          <w:szCs w:val="18"/>
        </w:rPr>
        <w:t>A Comparative Analysis</w:t>
      </w:r>
      <w:r w:rsidRPr="007B0297">
        <w:rPr>
          <w:iCs/>
          <w:szCs w:val="18"/>
        </w:rPr>
        <w:t>”, I</w:t>
      </w:r>
      <w:r w:rsidRPr="007B0297">
        <w:rPr>
          <w:szCs w:val="18"/>
        </w:rPr>
        <w:t>nforme UNU-IAS, enero de 2004, pág. 18.</w:t>
      </w:r>
    </w:p>
  </w:footnote>
  <w:footnote w:id="164">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65">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Más información disponible en </w:t>
      </w:r>
      <w:hyperlink r:id="rId11" w:history="1">
        <w:r w:rsidRPr="008C41FD">
          <w:rPr>
            <w:rStyle w:val="Hyperlink"/>
            <w:szCs w:val="18"/>
            <w:lang w:val="es-ES"/>
          </w:rPr>
          <w:t>http://www.tkdl.res.in/tkdl/langdefault/common/TKRC.asp?GL=Eng</w:t>
        </w:r>
      </w:hyperlink>
      <w:r w:rsidRPr="008C41FD">
        <w:rPr>
          <w:szCs w:val="18"/>
          <w:lang w:val="es-ES"/>
        </w:rPr>
        <w:t>.</w:t>
      </w:r>
    </w:p>
  </w:footnote>
  <w:footnote w:id="166">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Pautas generales de la OMS para las metodologías de investigación y evaluación de la medicina tradicional, WHO/EDM/TRM/2000.1, pág. 1.</w:t>
      </w:r>
    </w:p>
  </w:footnote>
  <w:footnote w:id="16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estrategia de la OMS sobre medicina tradicional, 2002-2005.</w:t>
      </w:r>
    </w:p>
  </w:footnote>
  <w:footnote w:id="16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69">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WIPO/GRTKF/IC/3/9.</w:t>
      </w:r>
    </w:p>
  </w:footnote>
  <w:footnote w:id="170">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“Análisis consolidado de la protección jurídica de las expresiones culturales tradicionales”, WIPO/GRTKF/IC/5/3, párr. </w:t>
      </w:r>
      <w:r w:rsidRPr="007B0297">
        <w:rPr>
          <w:szCs w:val="18"/>
        </w:rPr>
        <w:t>7.</w:t>
      </w:r>
    </w:p>
  </w:footnote>
  <w:footnote w:id="171">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Gervais, “</w:t>
      </w:r>
      <w:r w:rsidRPr="007B0297">
        <w:rPr>
          <w:i/>
          <w:szCs w:val="18"/>
        </w:rPr>
        <w:t>The TRIPS Agreement.</w:t>
      </w:r>
      <w:r w:rsidR="004B6959">
        <w:rPr>
          <w:i/>
          <w:szCs w:val="18"/>
        </w:rPr>
        <w:t xml:space="preserve"> </w:t>
      </w:r>
      <w:r w:rsidRPr="007B0297">
        <w:rPr>
          <w:i/>
          <w:szCs w:val="18"/>
        </w:rPr>
        <w:t>Drafting and Analysis”</w:t>
      </w:r>
      <w:r w:rsidRPr="007B0297">
        <w:rPr>
          <w:szCs w:val="18"/>
        </w:rPr>
        <w:t>, 3ª edición, Sweet &amp; Maxwell, pág. 132.</w:t>
      </w:r>
    </w:p>
  </w:footnote>
  <w:footnote w:id="172">
    <w:p w:rsidR="007B0297" w:rsidRPr="007B0297" w:rsidRDefault="007B0297" w:rsidP="009336EB">
      <w:pPr>
        <w:pStyle w:val="FootnoteText"/>
        <w:rPr>
          <w:lang w:val="fr-FR"/>
        </w:rPr>
      </w:pPr>
      <w:r w:rsidRPr="008C41FD">
        <w:rPr>
          <w:rStyle w:val="FootnoteReference"/>
          <w:lang w:val="es-ES"/>
        </w:rPr>
        <w:footnoteRef/>
      </w:r>
      <w:r w:rsidRPr="007B0297">
        <w:rPr>
          <w:lang w:val="fr-FR"/>
        </w:rPr>
        <w:t xml:space="preserve"> </w:t>
      </w:r>
      <w:r w:rsidRPr="007B0297">
        <w:rPr>
          <w:lang w:val="fr-FR"/>
        </w:rPr>
        <w:tab/>
        <w:t>Véase http://www.un.org/es/universal-declaration-human-rights/index.html</w:t>
      </w:r>
    </w:p>
  </w:footnote>
  <w:footnote w:id="173">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ab/>
      </w:r>
      <w:r w:rsidRPr="008C41FD">
        <w:rPr>
          <w:color w:val="000000"/>
          <w:szCs w:val="18"/>
          <w:lang w:val="es-ES"/>
        </w:rPr>
        <w:t>Guía de la OMPI para la catalogación de conocimientos tradicionales, disponible en:</w:t>
      </w:r>
      <w:r w:rsidR="004B6959">
        <w:rPr>
          <w:color w:val="000000"/>
          <w:szCs w:val="18"/>
          <w:lang w:val="es-ES"/>
        </w:rPr>
        <w:t xml:space="preserve"> </w:t>
      </w:r>
      <w:hyperlink r:id="rId12" w:history="1">
        <w:r w:rsidRPr="008C41FD">
          <w:rPr>
            <w:rStyle w:val="Hyperlink"/>
            <w:szCs w:val="18"/>
            <w:lang w:val="es-ES"/>
          </w:rPr>
          <w:t>http://www.wipo.int/publications/es/details.jsp?id=4235</w:t>
        </w:r>
      </w:hyperlink>
      <w:r w:rsidRPr="008C41FD">
        <w:rPr>
          <w:color w:val="000000"/>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97" w:rsidRPr="00814353" w:rsidRDefault="007B0297" w:rsidP="00C0409B">
    <w:pPr>
      <w:jc w:val="right"/>
      <w:rPr>
        <w:lang w:val="es-ES"/>
      </w:rPr>
    </w:pPr>
    <w:r w:rsidRPr="00814353">
      <w:rPr>
        <w:lang w:val="es-ES"/>
      </w:rPr>
      <w:t>WIPO/GRTKF/IC/</w:t>
    </w:r>
    <w:r w:rsidR="00553B0D">
      <w:rPr>
        <w:lang w:val="es-ES"/>
      </w:rPr>
      <w:t>38</w:t>
    </w:r>
    <w:r w:rsidRPr="00814353">
      <w:rPr>
        <w:lang w:val="es-ES"/>
      </w:rPr>
      <w:t>/INF/7</w:t>
    </w:r>
  </w:p>
  <w:p w:rsidR="007B0297" w:rsidRPr="00814353" w:rsidRDefault="007B0297" w:rsidP="00C0409B">
    <w:pPr>
      <w:jc w:val="right"/>
      <w:rPr>
        <w:lang w:val="es-ES"/>
      </w:rPr>
    </w:pPr>
    <w:r w:rsidRPr="00814353">
      <w:rPr>
        <w:lang w:val="es-ES"/>
      </w:rPr>
      <w:t xml:space="preserve">página </w:t>
    </w:r>
    <w:r w:rsidRPr="00814353">
      <w:rPr>
        <w:lang w:val="es-ES"/>
      </w:rPr>
      <w:fldChar w:fldCharType="begin"/>
    </w:r>
    <w:r w:rsidRPr="00814353">
      <w:rPr>
        <w:lang w:val="es-ES"/>
      </w:rPr>
      <w:instrText xml:space="preserve"> PAGE  \* MERGEFORMAT </w:instrText>
    </w:r>
    <w:r w:rsidRPr="00814353">
      <w:rPr>
        <w:lang w:val="es-ES"/>
      </w:rPr>
      <w:fldChar w:fldCharType="separate"/>
    </w:r>
    <w:r w:rsidR="00AE4787">
      <w:rPr>
        <w:noProof/>
        <w:lang w:val="es-ES"/>
      </w:rPr>
      <w:t>2</w:t>
    </w:r>
    <w:r w:rsidRPr="00814353">
      <w:rPr>
        <w:lang w:val="es-ES"/>
      </w:rPr>
      <w:fldChar w:fldCharType="end"/>
    </w:r>
  </w:p>
  <w:p w:rsidR="007B0297" w:rsidRPr="00814353" w:rsidRDefault="007B0297" w:rsidP="00C0409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97" w:rsidRPr="00FD16AB" w:rsidRDefault="007B0297" w:rsidP="00FD16AB">
    <w:pPr>
      <w:pStyle w:val="Header"/>
      <w:jc w:val="right"/>
      <w:rPr>
        <w:lang w:val="es-ES"/>
      </w:rPr>
    </w:pPr>
    <w:r>
      <w:rPr>
        <w:lang w:val="es-ES"/>
      </w:rPr>
      <w:t>WIPO/GRTKF/IC/</w:t>
    </w:r>
    <w:r w:rsidR="00CC1AFF">
      <w:rPr>
        <w:lang w:val="es-ES"/>
      </w:rPr>
      <w:t>39</w:t>
    </w:r>
    <w:r w:rsidRPr="00FD16AB">
      <w:rPr>
        <w:lang w:val="es-ES"/>
      </w:rPr>
      <w:t>/INF/</w:t>
    </w:r>
    <w:r>
      <w:rPr>
        <w:lang w:val="es-ES"/>
      </w:rPr>
      <w:t>7</w:t>
    </w:r>
  </w:p>
  <w:p w:rsidR="007B0297" w:rsidRPr="00FD16AB" w:rsidRDefault="007B0297"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AE4787">
      <w:rPr>
        <w:noProof/>
        <w:lang w:val="pt-BR"/>
      </w:rPr>
      <w:t>20</w:t>
    </w:r>
    <w:r>
      <w:fldChar w:fldCharType="end"/>
    </w:r>
  </w:p>
  <w:p w:rsidR="007B0297" w:rsidRPr="00FD16AB" w:rsidRDefault="007B0297"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97" w:rsidRPr="007B0297" w:rsidRDefault="007B0297" w:rsidP="00FD16AB">
    <w:pPr>
      <w:pStyle w:val="Header"/>
      <w:jc w:val="right"/>
    </w:pPr>
    <w:r w:rsidRPr="007B0297">
      <w:t>WIPO/GRTKF/IC/</w:t>
    </w:r>
    <w:r w:rsidR="00CC1AFF">
      <w:t>39</w:t>
    </w:r>
    <w:r w:rsidRPr="007B0297">
      <w:t>/INF/7</w:t>
    </w:r>
  </w:p>
  <w:p w:rsidR="007B0297" w:rsidRPr="007B0297" w:rsidRDefault="007B0297" w:rsidP="00FD16AB">
    <w:pPr>
      <w:pStyle w:val="Header"/>
      <w:jc w:val="right"/>
    </w:pPr>
    <w:r w:rsidRPr="006504FE">
      <w:t>ANEXO</w:t>
    </w:r>
  </w:p>
  <w:p w:rsidR="007B0297" w:rsidRPr="007B0297" w:rsidRDefault="007B0297" w:rsidP="000767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15:restartNumberingAfterBreak="0">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1873"/>
    <w:rsid w:val="0003026A"/>
    <w:rsid w:val="00037FA4"/>
    <w:rsid w:val="00043CAA"/>
    <w:rsid w:val="00045FA4"/>
    <w:rsid w:val="000564DE"/>
    <w:rsid w:val="00074E67"/>
    <w:rsid w:val="00075432"/>
    <w:rsid w:val="000767BC"/>
    <w:rsid w:val="0009484E"/>
    <w:rsid w:val="00094903"/>
    <w:rsid w:val="00094E7B"/>
    <w:rsid w:val="000964E1"/>
    <w:rsid w:val="000968ED"/>
    <w:rsid w:val="000A1E7C"/>
    <w:rsid w:val="000B032B"/>
    <w:rsid w:val="000B47FC"/>
    <w:rsid w:val="000C7425"/>
    <w:rsid w:val="000D1775"/>
    <w:rsid w:val="000D44C6"/>
    <w:rsid w:val="000D52CA"/>
    <w:rsid w:val="000D5434"/>
    <w:rsid w:val="000D690A"/>
    <w:rsid w:val="000E2132"/>
    <w:rsid w:val="000E32BB"/>
    <w:rsid w:val="000E72CA"/>
    <w:rsid w:val="000F3E95"/>
    <w:rsid w:val="000F5E56"/>
    <w:rsid w:val="000F7217"/>
    <w:rsid w:val="001011D2"/>
    <w:rsid w:val="001031A1"/>
    <w:rsid w:val="0010357F"/>
    <w:rsid w:val="00103D66"/>
    <w:rsid w:val="001059FC"/>
    <w:rsid w:val="001362EE"/>
    <w:rsid w:val="00143EB0"/>
    <w:rsid w:val="0014698C"/>
    <w:rsid w:val="00146C9D"/>
    <w:rsid w:val="00155D0B"/>
    <w:rsid w:val="00156388"/>
    <w:rsid w:val="001832A6"/>
    <w:rsid w:val="001A1A38"/>
    <w:rsid w:val="001A7750"/>
    <w:rsid w:val="001B0533"/>
    <w:rsid w:val="001C1D99"/>
    <w:rsid w:val="001C2D72"/>
    <w:rsid w:val="001E1971"/>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32A2"/>
    <w:rsid w:val="002D59C0"/>
    <w:rsid w:val="002E136F"/>
    <w:rsid w:val="002E2D77"/>
    <w:rsid w:val="002F1FE6"/>
    <w:rsid w:val="002F3EBD"/>
    <w:rsid w:val="002F4E68"/>
    <w:rsid w:val="002F5651"/>
    <w:rsid w:val="002F6443"/>
    <w:rsid w:val="002F7E37"/>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7547D"/>
    <w:rsid w:val="003845C1"/>
    <w:rsid w:val="003A2633"/>
    <w:rsid w:val="003A3D0E"/>
    <w:rsid w:val="003A6F89"/>
    <w:rsid w:val="003B2B8B"/>
    <w:rsid w:val="003B38C1"/>
    <w:rsid w:val="003B3B0A"/>
    <w:rsid w:val="003F320C"/>
    <w:rsid w:val="004017AF"/>
    <w:rsid w:val="004058FC"/>
    <w:rsid w:val="00412C61"/>
    <w:rsid w:val="00416016"/>
    <w:rsid w:val="0042230B"/>
    <w:rsid w:val="0042334B"/>
    <w:rsid w:val="00423E3E"/>
    <w:rsid w:val="00427AF4"/>
    <w:rsid w:val="004338FE"/>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B6959"/>
    <w:rsid w:val="004C2215"/>
    <w:rsid w:val="004C382A"/>
    <w:rsid w:val="004C4A67"/>
    <w:rsid w:val="004D1933"/>
    <w:rsid w:val="004D6F96"/>
    <w:rsid w:val="004D7C81"/>
    <w:rsid w:val="004E10C4"/>
    <w:rsid w:val="004E1709"/>
    <w:rsid w:val="004E4447"/>
    <w:rsid w:val="004F0161"/>
    <w:rsid w:val="004F43E7"/>
    <w:rsid w:val="005019FF"/>
    <w:rsid w:val="0050419D"/>
    <w:rsid w:val="00510EE8"/>
    <w:rsid w:val="00516553"/>
    <w:rsid w:val="00521C5A"/>
    <w:rsid w:val="00522A02"/>
    <w:rsid w:val="00524FAA"/>
    <w:rsid w:val="0053057A"/>
    <w:rsid w:val="00530E68"/>
    <w:rsid w:val="005346A1"/>
    <w:rsid w:val="00553B0D"/>
    <w:rsid w:val="00553D5E"/>
    <w:rsid w:val="00560A29"/>
    <w:rsid w:val="0057535D"/>
    <w:rsid w:val="0059568D"/>
    <w:rsid w:val="005957EB"/>
    <w:rsid w:val="005A4A15"/>
    <w:rsid w:val="005C21FD"/>
    <w:rsid w:val="005C4DF4"/>
    <w:rsid w:val="005C6649"/>
    <w:rsid w:val="005C78D1"/>
    <w:rsid w:val="005D598D"/>
    <w:rsid w:val="005D6E7F"/>
    <w:rsid w:val="005E225C"/>
    <w:rsid w:val="005E60D3"/>
    <w:rsid w:val="006008CD"/>
    <w:rsid w:val="00604A21"/>
    <w:rsid w:val="00605827"/>
    <w:rsid w:val="0061243C"/>
    <w:rsid w:val="00622518"/>
    <w:rsid w:val="00625A46"/>
    <w:rsid w:val="006271CE"/>
    <w:rsid w:val="006375AD"/>
    <w:rsid w:val="00637CA1"/>
    <w:rsid w:val="00642D79"/>
    <w:rsid w:val="00646050"/>
    <w:rsid w:val="006504FE"/>
    <w:rsid w:val="006526C6"/>
    <w:rsid w:val="006614B8"/>
    <w:rsid w:val="006713CA"/>
    <w:rsid w:val="00672806"/>
    <w:rsid w:val="006748FD"/>
    <w:rsid w:val="00676C5C"/>
    <w:rsid w:val="006936CA"/>
    <w:rsid w:val="006B4668"/>
    <w:rsid w:val="006D6623"/>
    <w:rsid w:val="006D7A9A"/>
    <w:rsid w:val="006E1BA9"/>
    <w:rsid w:val="006F04FE"/>
    <w:rsid w:val="006F22AA"/>
    <w:rsid w:val="006F3206"/>
    <w:rsid w:val="006F56A7"/>
    <w:rsid w:val="007045E0"/>
    <w:rsid w:val="007157D1"/>
    <w:rsid w:val="00733723"/>
    <w:rsid w:val="00741D5F"/>
    <w:rsid w:val="007440DC"/>
    <w:rsid w:val="00747CEF"/>
    <w:rsid w:val="00765094"/>
    <w:rsid w:val="00774F99"/>
    <w:rsid w:val="00780036"/>
    <w:rsid w:val="00783849"/>
    <w:rsid w:val="007B0297"/>
    <w:rsid w:val="007D1613"/>
    <w:rsid w:val="007D456B"/>
    <w:rsid w:val="007E4E44"/>
    <w:rsid w:val="007F5DDF"/>
    <w:rsid w:val="007F758D"/>
    <w:rsid w:val="008030F2"/>
    <w:rsid w:val="008040C8"/>
    <w:rsid w:val="00814353"/>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86929"/>
    <w:rsid w:val="00894779"/>
    <w:rsid w:val="008949DE"/>
    <w:rsid w:val="008A01A4"/>
    <w:rsid w:val="008B2CC1"/>
    <w:rsid w:val="008B60B2"/>
    <w:rsid w:val="008C07C1"/>
    <w:rsid w:val="008C41FD"/>
    <w:rsid w:val="008C57E4"/>
    <w:rsid w:val="008D118B"/>
    <w:rsid w:val="008D380A"/>
    <w:rsid w:val="008D49E2"/>
    <w:rsid w:val="008E0219"/>
    <w:rsid w:val="008F7FE0"/>
    <w:rsid w:val="0090646F"/>
    <w:rsid w:val="0090731E"/>
    <w:rsid w:val="00915660"/>
    <w:rsid w:val="00916EE2"/>
    <w:rsid w:val="00922372"/>
    <w:rsid w:val="009260D2"/>
    <w:rsid w:val="009318CE"/>
    <w:rsid w:val="0093362A"/>
    <w:rsid w:val="009336EB"/>
    <w:rsid w:val="00934B09"/>
    <w:rsid w:val="009441BC"/>
    <w:rsid w:val="009458A8"/>
    <w:rsid w:val="00953AB4"/>
    <w:rsid w:val="00953F7E"/>
    <w:rsid w:val="00966A22"/>
    <w:rsid w:val="0096722F"/>
    <w:rsid w:val="00972074"/>
    <w:rsid w:val="009737E4"/>
    <w:rsid w:val="00976194"/>
    <w:rsid w:val="00980843"/>
    <w:rsid w:val="00992FE7"/>
    <w:rsid w:val="009931F8"/>
    <w:rsid w:val="00993649"/>
    <w:rsid w:val="00997FCD"/>
    <w:rsid w:val="009A2ED7"/>
    <w:rsid w:val="009A58DA"/>
    <w:rsid w:val="009B3640"/>
    <w:rsid w:val="009C1E64"/>
    <w:rsid w:val="009C2916"/>
    <w:rsid w:val="009C75E5"/>
    <w:rsid w:val="009D07C4"/>
    <w:rsid w:val="009D6ADF"/>
    <w:rsid w:val="009E2791"/>
    <w:rsid w:val="009E3F6F"/>
    <w:rsid w:val="009F05E9"/>
    <w:rsid w:val="009F1322"/>
    <w:rsid w:val="009F499F"/>
    <w:rsid w:val="00A11238"/>
    <w:rsid w:val="00A11425"/>
    <w:rsid w:val="00A120FA"/>
    <w:rsid w:val="00A17561"/>
    <w:rsid w:val="00A40D33"/>
    <w:rsid w:val="00A42DAF"/>
    <w:rsid w:val="00A45BD8"/>
    <w:rsid w:val="00A548BA"/>
    <w:rsid w:val="00A6159E"/>
    <w:rsid w:val="00A65833"/>
    <w:rsid w:val="00A758A0"/>
    <w:rsid w:val="00A84C18"/>
    <w:rsid w:val="00A869B7"/>
    <w:rsid w:val="00A91862"/>
    <w:rsid w:val="00A967BF"/>
    <w:rsid w:val="00A97630"/>
    <w:rsid w:val="00AA7021"/>
    <w:rsid w:val="00AC205C"/>
    <w:rsid w:val="00AE4787"/>
    <w:rsid w:val="00AF0A6B"/>
    <w:rsid w:val="00AF4665"/>
    <w:rsid w:val="00AF565C"/>
    <w:rsid w:val="00B05A69"/>
    <w:rsid w:val="00B16297"/>
    <w:rsid w:val="00B213F2"/>
    <w:rsid w:val="00B30BEE"/>
    <w:rsid w:val="00B30DC2"/>
    <w:rsid w:val="00B4005E"/>
    <w:rsid w:val="00B834A4"/>
    <w:rsid w:val="00B83DA9"/>
    <w:rsid w:val="00B9589B"/>
    <w:rsid w:val="00B9734B"/>
    <w:rsid w:val="00B9789F"/>
    <w:rsid w:val="00BA6F87"/>
    <w:rsid w:val="00BB5CE9"/>
    <w:rsid w:val="00BC08BF"/>
    <w:rsid w:val="00BD1067"/>
    <w:rsid w:val="00BE1053"/>
    <w:rsid w:val="00BE1342"/>
    <w:rsid w:val="00BE2812"/>
    <w:rsid w:val="00BE2F3A"/>
    <w:rsid w:val="00BE77C3"/>
    <w:rsid w:val="00BF2A2C"/>
    <w:rsid w:val="00C0409B"/>
    <w:rsid w:val="00C1047B"/>
    <w:rsid w:val="00C1071C"/>
    <w:rsid w:val="00C11BFE"/>
    <w:rsid w:val="00C14B49"/>
    <w:rsid w:val="00C17F0A"/>
    <w:rsid w:val="00C24890"/>
    <w:rsid w:val="00C274E9"/>
    <w:rsid w:val="00C276B3"/>
    <w:rsid w:val="00C30FFA"/>
    <w:rsid w:val="00C54BEF"/>
    <w:rsid w:val="00C64D57"/>
    <w:rsid w:val="00C678D9"/>
    <w:rsid w:val="00C71577"/>
    <w:rsid w:val="00C760DD"/>
    <w:rsid w:val="00CB3022"/>
    <w:rsid w:val="00CB6F18"/>
    <w:rsid w:val="00CB79CA"/>
    <w:rsid w:val="00CC170C"/>
    <w:rsid w:val="00CC1AFF"/>
    <w:rsid w:val="00CC635A"/>
    <w:rsid w:val="00CD4ACB"/>
    <w:rsid w:val="00CF4996"/>
    <w:rsid w:val="00CF4C92"/>
    <w:rsid w:val="00D01586"/>
    <w:rsid w:val="00D043A4"/>
    <w:rsid w:val="00D0713E"/>
    <w:rsid w:val="00D14703"/>
    <w:rsid w:val="00D159DA"/>
    <w:rsid w:val="00D3631E"/>
    <w:rsid w:val="00D4348B"/>
    <w:rsid w:val="00D45252"/>
    <w:rsid w:val="00D60EDC"/>
    <w:rsid w:val="00D64FD1"/>
    <w:rsid w:val="00D71566"/>
    <w:rsid w:val="00D71B4D"/>
    <w:rsid w:val="00D77AC5"/>
    <w:rsid w:val="00D85A65"/>
    <w:rsid w:val="00D87BB6"/>
    <w:rsid w:val="00D93D55"/>
    <w:rsid w:val="00D9572E"/>
    <w:rsid w:val="00DA6D81"/>
    <w:rsid w:val="00DD1DBB"/>
    <w:rsid w:val="00DF77BC"/>
    <w:rsid w:val="00E04EE9"/>
    <w:rsid w:val="00E1039C"/>
    <w:rsid w:val="00E31B99"/>
    <w:rsid w:val="00E335FE"/>
    <w:rsid w:val="00E37C06"/>
    <w:rsid w:val="00E428EF"/>
    <w:rsid w:val="00E63C78"/>
    <w:rsid w:val="00E65B9C"/>
    <w:rsid w:val="00E6718D"/>
    <w:rsid w:val="00E679AC"/>
    <w:rsid w:val="00E7198C"/>
    <w:rsid w:val="00E7501B"/>
    <w:rsid w:val="00E92472"/>
    <w:rsid w:val="00EA20C4"/>
    <w:rsid w:val="00EB414C"/>
    <w:rsid w:val="00EC189A"/>
    <w:rsid w:val="00EC40A4"/>
    <w:rsid w:val="00EC4E49"/>
    <w:rsid w:val="00EC5F29"/>
    <w:rsid w:val="00ED77FB"/>
    <w:rsid w:val="00EE45FA"/>
    <w:rsid w:val="00EF1C60"/>
    <w:rsid w:val="00F013F7"/>
    <w:rsid w:val="00F02D51"/>
    <w:rsid w:val="00F065CA"/>
    <w:rsid w:val="00F148D4"/>
    <w:rsid w:val="00F15270"/>
    <w:rsid w:val="00F20457"/>
    <w:rsid w:val="00F266F3"/>
    <w:rsid w:val="00F43586"/>
    <w:rsid w:val="00F51375"/>
    <w:rsid w:val="00F66152"/>
    <w:rsid w:val="00F7494E"/>
    <w:rsid w:val="00F77B93"/>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7CFC1C"/>
  <w15:docId w15:val="{7B564479-ED6B-4790-BEFE-490BC36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A758A0"/>
    <w:pPr>
      <w:keepNext/>
      <w:spacing w:after="240"/>
      <w:outlineLvl w:val="0"/>
    </w:pPr>
    <w:rPr>
      <w:b/>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iPriority w:val="99"/>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uiPriority w:val="39"/>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 w:type="paragraph" w:styleId="TOC1">
    <w:name w:val="toc 1"/>
    <w:basedOn w:val="Normal"/>
    <w:next w:val="Normal"/>
    <w:autoRedefine/>
    <w:uiPriority w:val="39"/>
    <w:unhideWhenUsed/>
    <w:rsid w:val="00AE4787"/>
    <w:pPr>
      <w:spacing w:after="100"/>
    </w:pPr>
  </w:style>
  <w:style w:type="paragraph" w:styleId="TOC2">
    <w:name w:val="toc 2"/>
    <w:basedOn w:val="Normal"/>
    <w:next w:val="Normal"/>
    <w:autoRedefine/>
    <w:uiPriority w:val="39"/>
    <w:unhideWhenUsed/>
    <w:rsid w:val="00AE4787"/>
    <w:pPr>
      <w:spacing w:after="100" w:line="259" w:lineRule="auto"/>
      <w:ind w:left="220"/>
    </w:pPr>
    <w:rPr>
      <w:rFonts w:asciiTheme="minorHAnsi" w:eastAsiaTheme="minorEastAsia" w:hAnsiTheme="minorHAnsi" w:cstheme="minorBidi"/>
      <w:szCs w:val="22"/>
      <w:lang w:val="en-GB" w:eastAsia="en-GB"/>
    </w:rPr>
  </w:style>
  <w:style w:type="paragraph" w:styleId="TOC3">
    <w:name w:val="toc 3"/>
    <w:basedOn w:val="Normal"/>
    <w:next w:val="Normal"/>
    <w:autoRedefine/>
    <w:uiPriority w:val="39"/>
    <w:unhideWhenUsed/>
    <w:rsid w:val="00AE4787"/>
    <w:pPr>
      <w:spacing w:after="100" w:line="259" w:lineRule="auto"/>
      <w:ind w:left="440"/>
    </w:pPr>
    <w:rPr>
      <w:rFonts w:asciiTheme="minorHAnsi" w:eastAsiaTheme="minorEastAsia" w:hAnsiTheme="minorHAnsi" w:cstheme="minorBidi"/>
      <w:szCs w:val="22"/>
      <w:lang w:val="en-GB" w:eastAsia="en-GB"/>
    </w:rPr>
  </w:style>
  <w:style w:type="paragraph" w:styleId="TOC4">
    <w:name w:val="toc 4"/>
    <w:basedOn w:val="Normal"/>
    <w:next w:val="Normal"/>
    <w:autoRedefine/>
    <w:uiPriority w:val="39"/>
    <w:unhideWhenUsed/>
    <w:rsid w:val="00AE4787"/>
    <w:pPr>
      <w:spacing w:after="100" w:line="259" w:lineRule="auto"/>
      <w:ind w:left="660"/>
    </w:pPr>
    <w:rPr>
      <w:rFonts w:asciiTheme="minorHAnsi" w:eastAsiaTheme="minorEastAsia" w:hAnsiTheme="minorHAnsi" w:cstheme="minorBidi"/>
      <w:szCs w:val="22"/>
      <w:lang w:val="en-GB" w:eastAsia="en-GB"/>
    </w:rPr>
  </w:style>
  <w:style w:type="paragraph" w:styleId="TOC5">
    <w:name w:val="toc 5"/>
    <w:basedOn w:val="Normal"/>
    <w:next w:val="Normal"/>
    <w:autoRedefine/>
    <w:uiPriority w:val="39"/>
    <w:unhideWhenUsed/>
    <w:rsid w:val="00AE4787"/>
    <w:pPr>
      <w:spacing w:after="100" w:line="259" w:lineRule="auto"/>
      <w:ind w:left="880"/>
    </w:pPr>
    <w:rPr>
      <w:rFonts w:asciiTheme="minorHAnsi" w:eastAsiaTheme="minorEastAsia" w:hAnsiTheme="minorHAnsi" w:cstheme="minorBidi"/>
      <w:szCs w:val="22"/>
      <w:lang w:val="en-GB" w:eastAsia="en-GB"/>
    </w:rPr>
  </w:style>
  <w:style w:type="paragraph" w:styleId="TOC6">
    <w:name w:val="toc 6"/>
    <w:basedOn w:val="Normal"/>
    <w:next w:val="Normal"/>
    <w:autoRedefine/>
    <w:uiPriority w:val="39"/>
    <w:unhideWhenUsed/>
    <w:rsid w:val="00AE4787"/>
    <w:pPr>
      <w:spacing w:after="100" w:line="259" w:lineRule="auto"/>
      <w:ind w:left="1100"/>
    </w:pPr>
    <w:rPr>
      <w:rFonts w:asciiTheme="minorHAnsi" w:eastAsiaTheme="minorEastAsia" w:hAnsiTheme="minorHAnsi" w:cstheme="minorBidi"/>
      <w:szCs w:val="22"/>
      <w:lang w:val="en-GB" w:eastAsia="en-GB"/>
    </w:rPr>
  </w:style>
  <w:style w:type="paragraph" w:styleId="TOC7">
    <w:name w:val="toc 7"/>
    <w:basedOn w:val="Normal"/>
    <w:next w:val="Normal"/>
    <w:autoRedefine/>
    <w:uiPriority w:val="39"/>
    <w:unhideWhenUsed/>
    <w:rsid w:val="00AE4787"/>
    <w:pPr>
      <w:spacing w:after="100" w:line="259" w:lineRule="auto"/>
      <w:ind w:left="1320"/>
    </w:pPr>
    <w:rPr>
      <w:rFonts w:asciiTheme="minorHAnsi" w:eastAsiaTheme="minorEastAsia" w:hAnsiTheme="minorHAnsi" w:cstheme="minorBidi"/>
      <w:szCs w:val="22"/>
      <w:lang w:val="en-GB" w:eastAsia="en-GB"/>
    </w:rPr>
  </w:style>
  <w:style w:type="paragraph" w:styleId="TOC8">
    <w:name w:val="toc 8"/>
    <w:basedOn w:val="Normal"/>
    <w:next w:val="Normal"/>
    <w:autoRedefine/>
    <w:uiPriority w:val="39"/>
    <w:unhideWhenUsed/>
    <w:rsid w:val="00AE4787"/>
    <w:pPr>
      <w:spacing w:after="100" w:line="259" w:lineRule="auto"/>
      <w:ind w:left="1540"/>
    </w:pPr>
    <w:rPr>
      <w:rFonts w:asciiTheme="minorHAnsi" w:eastAsiaTheme="minorEastAsia" w:hAnsiTheme="minorHAnsi" w:cstheme="minorBidi"/>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s/databases/contracts/index.html" TargetMode="External"/><Relationship Id="rId3" Type="http://schemas.openxmlformats.org/officeDocument/2006/relationships/hyperlink" Target="https://www.unenvironment.org/resources/report/glossary-terms-negotiators-multilateral-environmental-agreements" TargetMode="External"/><Relationship Id="rId7" Type="http://schemas.openxmlformats.org/officeDocument/2006/relationships/hyperlink" Target="http://www.wipo.int/export/sites/www/tk/en/resources/pdf/overview_customary_law.pdfhttp:/www.wipo.int/tk/es/consultations/customary_law/index.html" TargetMode="External"/><Relationship Id="rId12" Type="http://schemas.openxmlformats.org/officeDocument/2006/relationships/hyperlink" Target="http://www.wipo.int/publications/es/details.jsp?id=4235"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fao-statement-on-biotechnology/es/" TargetMode="External"/><Relationship Id="rId6" Type="http://schemas.openxmlformats.org/officeDocument/2006/relationships/hyperlink" Target="http://unesdoc.unesco.org/images/0012/001277/127784s.pdf" TargetMode="External"/><Relationship Id="rId11" Type="http://schemas.openxmlformats.org/officeDocument/2006/relationships/hyperlink" Target="http://www.tkdl.res.in/tkdl/langdefault/common/TKRC.asp?GL=Eng" TargetMode="External"/><Relationship Id="rId5" Type="http://schemas.openxmlformats.org/officeDocument/2006/relationships/hyperlink" Target="http://www.wipo.int/export/sites/www/tk/en/resources/pdf/overview_customary_law.pdfhttp:/www.wipo.int/tk/es/consultations/customary_law/index.html" TargetMode="External"/><Relationship Id="rId10" Type="http://schemas.openxmlformats.org/officeDocument/2006/relationships/hyperlink" Target="http://www.tkdl.res.in/tkdl/langdefault/common/Abouttkdl.asp?GL=Eng" TargetMode="External"/><Relationship Id="rId4" Type="http://schemas.openxmlformats.org/officeDocument/2006/relationships/hyperlink" Target="http://www.vocabularyserver.com/unesco/en/index.php?tema=2526&amp;/cultural-identity" TargetMode="External"/><Relationship Id="rId9" Type="http://schemas.openxmlformats.org/officeDocument/2006/relationships/hyperlink" Target="http://wedocs.unep.org/handle/20.500.11822/7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D17A-DE95-4CE2-8AD2-F24886ED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56</Pages>
  <Words>25705</Words>
  <Characters>151506</Characters>
  <Application>Microsoft Office Word</Application>
  <DocSecurity>0</DocSecurity>
  <Lines>1262</Lines>
  <Paragraphs>353</Paragraphs>
  <ScaleCrop>false</ScaleCrop>
  <HeadingPairs>
    <vt:vector size="2" baseType="variant">
      <vt:variant>
        <vt:lpstr>Title</vt:lpstr>
      </vt:variant>
      <vt:variant>
        <vt:i4>1</vt:i4>
      </vt:variant>
    </vt:vector>
  </HeadingPairs>
  <TitlesOfParts>
    <vt:vector size="1" baseType="lpstr">
      <vt:lpstr>WIPO/GRTKF/IC/36/INF/7 - 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176858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WIPO/GRTKF/IC/36/INF/7 - Glosario de los términos más importantes relacionados con la propiedad intelectual y los recursos genéticos, los conocimientos tradicionales y las expresiones culturales tradicionales</dc:title>
  <dc:subject>WIPO/GRTKF/IC/32/1 Prov</dc:subject>
  <dc:creator>MIGLIORE Liliana</dc:creator>
  <dc:description>Copiado del anterior.</dc:description>
  <cp:lastModifiedBy>CEVALLOS DUQUE Nilo</cp:lastModifiedBy>
  <cp:revision>7</cp:revision>
  <cp:lastPrinted>2016-08-10T11:30:00Z</cp:lastPrinted>
  <dcterms:created xsi:type="dcterms:W3CDTF">2019-01-17T09:08:00Z</dcterms:created>
  <dcterms:modified xsi:type="dcterms:W3CDTF">2019-01-18T13:27:00Z</dcterms:modified>
</cp:coreProperties>
</file>