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63098" w:rsidTr="00361450">
        <w:tc>
          <w:tcPr>
            <w:tcW w:w="4513" w:type="dxa"/>
            <w:tcBorders>
              <w:bottom w:val="single" w:sz="4" w:space="0" w:color="auto"/>
            </w:tcBorders>
            <w:tcMar>
              <w:bottom w:w="170" w:type="dxa"/>
            </w:tcMar>
          </w:tcPr>
          <w:p w:rsidR="00EC4E49" w:rsidRPr="00163098" w:rsidRDefault="00EC4E49" w:rsidP="00916EE2">
            <w:pPr>
              <w:rPr>
                <w:lang w:val="es-ES_tradnl"/>
              </w:rPr>
            </w:pPr>
          </w:p>
        </w:tc>
        <w:tc>
          <w:tcPr>
            <w:tcW w:w="4337" w:type="dxa"/>
            <w:tcBorders>
              <w:bottom w:val="single" w:sz="4" w:space="0" w:color="auto"/>
            </w:tcBorders>
            <w:tcMar>
              <w:left w:w="0" w:type="dxa"/>
              <w:right w:w="0" w:type="dxa"/>
            </w:tcMar>
          </w:tcPr>
          <w:p w:rsidR="00EC4E49" w:rsidRPr="00163098" w:rsidRDefault="009E52CB" w:rsidP="00916EE2">
            <w:pPr>
              <w:rPr>
                <w:lang w:val="es-ES_tradnl"/>
              </w:rPr>
            </w:pPr>
            <w:r w:rsidRPr="00163098">
              <w:rPr>
                <w:noProof/>
                <w:lang w:val="en-US" w:eastAsia="en-US"/>
              </w:rPr>
              <w:drawing>
                <wp:inline distT="0" distB="0" distL="0" distR="0" wp14:anchorId="32F18861" wp14:editId="7709C9CD">
                  <wp:extent cx="1857375" cy="1323975"/>
                  <wp:effectExtent l="0" t="0" r="9525" b="9525"/>
                  <wp:docPr id="2" name="Picture 2" descr="OM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63098" w:rsidRDefault="009E52CB" w:rsidP="00916EE2">
            <w:pPr>
              <w:jc w:val="right"/>
              <w:rPr>
                <w:lang w:val="es-ES_tradnl"/>
              </w:rPr>
            </w:pPr>
            <w:r w:rsidRPr="00163098">
              <w:rPr>
                <w:b/>
                <w:sz w:val="40"/>
                <w:lang w:val="es-ES_tradnl"/>
              </w:rPr>
              <w:t>S</w:t>
            </w:r>
          </w:p>
        </w:tc>
      </w:tr>
      <w:tr w:rsidR="008B2CC1" w:rsidRPr="0016309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63098" w:rsidRDefault="000D1DD6" w:rsidP="00090C21">
            <w:pPr>
              <w:jc w:val="right"/>
              <w:rPr>
                <w:rFonts w:ascii="Arial Black" w:hAnsi="Arial Black"/>
                <w:caps/>
                <w:sz w:val="15"/>
                <w:lang w:val="es-ES_tradnl"/>
              </w:rPr>
            </w:pPr>
            <w:r w:rsidRPr="00163098">
              <w:rPr>
                <w:rFonts w:ascii="Arial Black" w:hAnsi="Arial Black"/>
                <w:caps/>
                <w:sz w:val="15"/>
                <w:lang w:val="es-ES_tradnl"/>
              </w:rPr>
              <w:t xml:space="preserve">WIPO/GRTKF/IC/42/INF/8 </w:t>
            </w:r>
          </w:p>
        </w:tc>
      </w:tr>
      <w:tr w:rsidR="008B2CC1" w:rsidRPr="00163098" w:rsidTr="00916EE2">
        <w:trPr>
          <w:trHeight w:hRule="exact" w:val="170"/>
        </w:trPr>
        <w:tc>
          <w:tcPr>
            <w:tcW w:w="9356" w:type="dxa"/>
            <w:gridSpan w:val="3"/>
            <w:noWrap/>
            <w:tcMar>
              <w:left w:w="0" w:type="dxa"/>
              <w:right w:w="0" w:type="dxa"/>
            </w:tcMar>
            <w:vAlign w:val="bottom"/>
          </w:tcPr>
          <w:p w:rsidR="008B2CC1" w:rsidRPr="00163098" w:rsidRDefault="008B2CC1" w:rsidP="00CD04F1">
            <w:pPr>
              <w:jc w:val="right"/>
              <w:rPr>
                <w:rFonts w:ascii="Arial Black" w:hAnsi="Arial Black"/>
                <w:caps/>
                <w:sz w:val="15"/>
                <w:lang w:val="es-ES_tradnl"/>
              </w:rPr>
            </w:pPr>
            <w:r w:rsidRPr="00163098">
              <w:rPr>
                <w:rFonts w:ascii="Arial Black" w:hAnsi="Arial Black"/>
                <w:caps/>
                <w:sz w:val="15"/>
                <w:lang w:val="es-ES_tradnl"/>
              </w:rPr>
              <w:t xml:space="preserve">ORIGINAL: Inglés </w:t>
            </w:r>
          </w:p>
        </w:tc>
      </w:tr>
      <w:tr w:rsidR="008B2CC1" w:rsidRPr="00163098" w:rsidTr="00916EE2">
        <w:trPr>
          <w:trHeight w:hRule="exact" w:val="198"/>
        </w:trPr>
        <w:tc>
          <w:tcPr>
            <w:tcW w:w="9356" w:type="dxa"/>
            <w:gridSpan w:val="3"/>
            <w:tcMar>
              <w:left w:w="0" w:type="dxa"/>
              <w:right w:w="0" w:type="dxa"/>
            </w:tcMar>
            <w:vAlign w:val="bottom"/>
          </w:tcPr>
          <w:p w:rsidR="008B2CC1" w:rsidRPr="00163098" w:rsidRDefault="008B2CC1" w:rsidP="00B4759F">
            <w:pPr>
              <w:jc w:val="right"/>
              <w:rPr>
                <w:rFonts w:ascii="Arial Black" w:hAnsi="Arial Black"/>
                <w:caps/>
                <w:sz w:val="15"/>
                <w:lang w:val="es-ES_tradnl"/>
              </w:rPr>
            </w:pPr>
            <w:r w:rsidRPr="00163098">
              <w:rPr>
                <w:rFonts w:ascii="Arial Black" w:hAnsi="Arial Black"/>
                <w:caps/>
                <w:sz w:val="15"/>
                <w:lang w:val="es-ES_tradnl"/>
              </w:rPr>
              <w:t xml:space="preserve">FECHA: 16 de diciembre de 2021 </w:t>
            </w:r>
          </w:p>
        </w:tc>
      </w:tr>
    </w:tbl>
    <w:p w:rsidR="008B2CC1" w:rsidRPr="00163098" w:rsidRDefault="008B2CC1" w:rsidP="008B2CC1">
      <w:pPr>
        <w:rPr>
          <w:lang w:val="es-ES_tradnl"/>
        </w:rPr>
      </w:pPr>
    </w:p>
    <w:p w:rsidR="008B2CC1" w:rsidRPr="00163098" w:rsidRDefault="008B2CC1" w:rsidP="008B2CC1">
      <w:pPr>
        <w:rPr>
          <w:lang w:val="es-ES_tradnl"/>
        </w:rPr>
      </w:pPr>
    </w:p>
    <w:p w:rsidR="008B2CC1" w:rsidRPr="00163098" w:rsidRDefault="008B2CC1" w:rsidP="008B2CC1">
      <w:pPr>
        <w:rPr>
          <w:lang w:val="es-ES_tradnl"/>
        </w:rPr>
      </w:pPr>
    </w:p>
    <w:p w:rsidR="008B2CC1" w:rsidRPr="00163098" w:rsidRDefault="008B2CC1" w:rsidP="008B2CC1">
      <w:pPr>
        <w:rPr>
          <w:lang w:val="es-ES_tradnl"/>
        </w:rPr>
      </w:pPr>
    </w:p>
    <w:p w:rsidR="000D1DD6" w:rsidRPr="00163098" w:rsidRDefault="000D1DD6" w:rsidP="000D1DD6">
      <w:pPr>
        <w:rPr>
          <w:b/>
          <w:sz w:val="28"/>
          <w:szCs w:val="28"/>
          <w:lang w:val="es-ES_tradnl"/>
        </w:rPr>
      </w:pPr>
      <w:r w:rsidRPr="00163098">
        <w:rPr>
          <w:b/>
          <w:sz w:val="28"/>
          <w:lang w:val="es-ES_tradnl"/>
        </w:rPr>
        <w:t>Comité Intergubernamental sobre Propiedad Intelectual y Recursos Genéticos, Conocimientos Tradicionales y Folclore</w:t>
      </w:r>
    </w:p>
    <w:p w:rsidR="003845C1" w:rsidRPr="00163098" w:rsidRDefault="003845C1" w:rsidP="003845C1">
      <w:pPr>
        <w:rPr>
          <w:lang w:val="es-ES_tradnl"/>
        </w:rPr>
      </w:pPr>
    </w:p>
    <w:p w:rsidR="003845C1" w:rsidRPr="00163098" w:rsidRDefault="003845C1" w:rsidP="003845C1">
      <w:pPr>
        <w:rPr>
          <w:lang w:val="es-ES_tradnl"/>
        </w:rPr>
      </w:pPr>
    </w:p>
    <w:p w:rsidR="008B2CC1" w:rsidRPr="00163098" w:rsidRDefault="000D1DD6" w:rsidP="008B2CC1">
      <w:pPr>
        <w:rPr>
          <w:b/>
          <w:sz w:val="24"/>
          <w:szCs w:val="24"/>
          <w:lang w:val="es-ES_tradnl"/>
        </w:rPr>
      </w:pPr>
      <w:r w:rsidRPr="00163098">
        <w:rPr>
          <w:b/>
          <w:sz w:val="24"/>
          <w:lang w:val="es-ES_tradnl"/>
        </w:rPr>
        <w:t>Cuadragésima segunda sesión</w:t>
      </w:r>
    </w:p>
    <w:p w:rsidR="008B2CC1" w:rsidRPr="00163098" w:rsidRDefault="000D1DD6" w:rsidP="008B2CC1">
      <w:pPr>
        <w:rPr>
          <w:b/>
          <w:sz w:val="24"/>
          <w:szCs w:val="24"/>
          <w:lang w:val="es-ES_tradnl"/>
        </w:rPr>
      </w:pPr>
      <w:r w:rsidRPr="00163098">
        <w:rPr>
          <w:b/>
          <w:sz w:val="24"/>
          <w:lang w:val="es-ES_tradnl"/>
        </w:rPr>
        <w:t>Ginebra, 28 de febrero a 4 de marzo de 2022</w:t>
      </w:r>
    </w:p>
    <w:p w:rsidR="008B2CC1" w:rsidRPr="00163098" w:rsidRDefault="008B2CC1" w:rsidP="008B2CC1">
      <w:pPr>
        <w:rPr>
          <w:lang w:val="es-ES_tradnl"/>
        </w:rPr>
      </w:pPr>
    </w:p>
    <w:p w:rsidR="002D6572" w:rsidRPr="00163098" w:rsidRDefault="002D6572" w:rsidP="008B2CC1">
      <w:pPr>
        <w:rPr>
          <w:lang w:val="es-ES_tradnl"/>
        </w:rPr>
      </w:pPr>
    </w:p>
    <w:p w:rsidR="002D6572" w:rsidRPr="00163098" w:rsidRDefault="002D6572" w:rsidP="002D6572">
      <w:pPr>
        <w:rPr>
          <w:caps/>
          <w:sz w:val="24"/>
          <w:lang w:val="es-ES_tradnl"/>
        </w:rPr>
      </w:pPr>
      <w:bookmarkStart w:id="0" w:name="TitleOfDoc"/>
      <w:bookmarkStart w:id="1" w:name="_GoBack"/>
      <w:bookmarkEnd w:id="0"/>
      <w:r w:rsidRPr="00163098">
        <w:rPr>
          <w:caps/>
          <w:sz w:val="24"/>
          <w:lang w:val="es-ES_tradnl"/>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bookmarkEnd w:id="1"/>
    <w:p w:rsidR="002D6572" w:rsidRPr="00163098" w:rsidRDefault="002D6572" w:rsidP="002D6572">
      <w:pPr>
        <w:rPr>
          <w:lang w:val="es-ES_tradnl"/>
        </w:rPr>
      </w:pPr>
    </w:p>
    <w:p w:rsidR="002D6572" w:rsidRPr="00163098" w:rsidRDefault="002D6572" w:rsidP="002D6572">
      <w:pPr>
        <w:rPr>
          <w:i/>
          <w:lang w:val="es-ES_tradnl"/>
        </w:rPr>
      </w:pPr>
      <w:bookmarkStart w:id="2" w:name="Prepared"/>
      <w:bookmarkEnd w:id="2"/>
      <w:r w:rsidRPr="00163098">
        <w:rPr>
          <w:i/>
          <w:lang w:val="es-ES_tradnl"/>
        </w:rPr>
        <w:t>Documento preparado por la Secretaría</w:t>
      </w:r>
    </w:p>
    <w:p w:rsidR="002D6572" w:rsidRPr="00163098" w:rsidRDefault="002D6572" w:rsidP="002D6572">
      <w:pPr>
        <w:rPr>
          <w:lang w:val="es-ES_tradnl"/>
        </w:rPr>
      </w:pPr>
    </w:p>
    <w:p w:rsidR="002D6572" w:rsidRPr="00163098" w:rsidRDefault="002D6572" w:rsidP="002D6572">
      <w:pPr>
        <w:rPr>
          <w:lang w:val="es-ES_tradnl"/>
        </w:rPr>
      </w:pPr>
    </w:p>
    <w:p w:rsidR="002D6572" w:rsidRPr="00163098" w:rsidRDefault="002D6572" w:rsidP="002D6572">
      <w:pPr>
        <w:rPr>
          <w:lang w:val="es-ES_tradnl"/>
        </w:rPr>
      </w:pPr>
      <w:r w:rsidRPr="00163098">
        <w:rPr>
          <w:lang w:val="es-ES_tradnl"/>
        </w:rPr>
        <w:fldChar w:fldCharType="begin"/>
      </w:r>
      <w:r w:rsidRPr="00163098">
        <w:rPr>
          <w:lang w:val="es-ES_tradnl"/>
        </w:rPr>
        <w:instrText xml:space="preserve"> AUTONUM  </w:instrText>
      </w:r>
      <w:r w:rsidRPr="00163098">
        <w:rPr>
          <w:lang w:val="es-ES_tradnl"/>
        </w:rPr>
        <w:fldChar w:fldCharType="end"/>
      </w:r>
      <w:r w:rsidRPr="00163098">
        <w:rPr>
          <w:lang w:val="es-ES_tradnl"/>
        </w:rPr>
        <w:tab/>
        <w:t xml:space="preserve">Reconociendo la contribución a la labor del Comité Intergubernamental sobre Propiedad Intelectual y Recursos Genéticos, Conocimientos Tradicionales y Folclore (Comité) realizada por el </w:t>
      </w:r>
      <w:r w:rsidRPr="00163098">
        <w:rPr>
          <w:i/>
          <w:iCs/>
          <w:lang w:val="es-ES_tradnl"/>
        </w:rPr>
        <w:t>examen técnico de las cuestiones esenciales en materia de propiedad intelectual de los proyectos de instrumentos de la OMPI relativos a los recursos genéticos, los conocimientos tradicionales y las expresiones culturales tradicionales</w:t>
      </w:r>
      <w:r w:rsidRPr="00163098">
        <w:rPr>
          <w:lang w:val="es-ES_tradnl"/>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w:t>
      </w:r>
      <w:r w:rsidR="00C92E4A" w:rsidRPr="00163098">
        <w:rPr>
          <w:lang w:val="es-ES_tradnl"/>
        </w:rPr>
        <w:t>periodo</w:t>
      </w:r>
      <w:r w:rsidRPr="00163098">
        <w:rPr>
          <w:lang w:val="es-ES_tradnl"/>
        </w:rPr>
        <w:t xml:space="preserve"> de sesiones de 2019, el Comité, en su cuadragésima sesión, pidió a la Secretaría que encargara, dentro de los recursos existentes, la actualización del examen técnico a un especialista indígena para que el Comité lo examinara durante el bienio 2020-2021.</w:t>
      </w:r>
      <w:r w:rsidRPr="00163098">
        <w:rPr>
          <w:rStyle w:val="FootnoteReference"/>
          <w:lang w:val="es-ES_tradnl"/>
        </w:rPr>
        <w:footnoteReference w:id="2"/>
      </w:r>
    </w:p>
    <w:p w:rsidR="002D6572" w:rsidRPr="00163098" w:rsidRDefault="002D6572" w:rsidP="002D6572">
      <w:pPr>
        <w:rPr>
          <w:lang w:val="es-ES_tradnl"/>
        </w:rPr>
      </w:pPr>
    </w:p>
    <w:p w:rsidR="00A90C6C" w:rsidRPr="00163098" w:rsidRDefault="002D6572" w:rsidP="002D6572">
      <w:pPr>
        <w:rPr>
          <w:lang w:val="es-ES_tradnl"/>
        </w:rPr>
      </w:pPr>
      <w:r w:rsidRPr="00163098">
        <w:rPr>
          <w:lang w:val="es-ES_tradnl"/>
        </w:rPr>
        <w:fldChar w:fldCharType="begin"/>
      </w:r>
      <w:r w:rsidRPr="00163098">
        <w:rPr>
          <w:lang w:val="es-ES_tradnl"/>
        </w:rPr>
        <w:instrText xml:space="preserve"> AUTONUM  </w:instrText>
      </w:r>
      <w:r w:rsidRPr="00163098">
        <w:rPr>
          <w:lang w:val="es-ES_tradnl"/>
        </w:rPr>
        <w:fldChar w:fldCharType="end"/>
      </w:r>
      <w:r w:rsidRPr="00163098">
        <w:rPr>
          <w:lang w:val="es-ES_tradnl"/>
        </w:rPr>
        <w:tab/>
        <w:t xml:space="preserve"> 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actualizaran el examen técnico, el cual fue revisado a ciegas por dos especialistas indígenas. El anexo de este documento contiene el examen técnico actualizado proporcionado por dichos especialistas.</w:t>
      </w:r>
    </w:p>
    <w:p w:rsidR="002D6572" w:rsidRPr="00163098" w:rsidRDefault="002D6572" w:rsidP="002D6572">
      <w:pPr>
        <w:rPr>
          <w:lang w:val="es-ES_tradnl"/>
        </w:rPr>
      </w:pPr>
    </w:p>
    <w:p w:rsidR="002D6572" w:rsidRPr="00163098" w:rsidRDefault="002D6572" w:rsidP="002D6572">
      <w:pPr>
        <w:ind w:left="5533"/>
        <w:rPr>
          <w:i/>
          <w:lang w:val="es-ES_tradnl"/>
        </w:rPr>
      </w:pPr>
      <w:r w:rsidRPr="00163098">
        <w:rPr>
          <w:i/>
          <w:lang w:val="es-ES_tradnl"/>
        </w:rPr>
        <w:lastRenderedPageBreak/>
        <w:t>3.</w:t>
      </w:r>
      <w:r w:rsidRPr="00163098">
        <w:rPr>
          <w:i/>
          <w:lang w:val="es-ES_tradnl"/>
        </w:rPr>
        <w:tab/>
        <w:t>Se invita al Comité a tomar nota del anexo del presente documento.</w:t>
      </w:r>
    </w:p>
    <w:p w:rsidR="002D6572" w:rsidRPr="00163098" w:rsidRDefault="002D6572" w:rsidP="002D6572">
      <w:pPr>
        <w:ind w:left="5533"/>
        <w:rPr>
          <w:lang w:val="es-ES_tradnl"/>
        </w:rPr>
      </w:pPr>
    </w:p>
    <w:p w:rsidR="002D6572" w:rsidRPr="00163098" w:rsidRDefault="002D6572" w:rsidP="002D6572">
      <w:pPr>
        <w:ind w:left="5533"/>
        <w:rPr>
          <w:lang w:val="es-ES_tradnl"/>
        </w:rPr>
      </w:pPr>
      <w:r w:rsidRPr="00163098">
        <w:rPr>
          <w:lang w:val="es-ES_tradnl"/>
        </w:rPr>
        <w:t>[Sigue el anexo]</w:t>
      </w:r>
    </w:p>
    <w:p w:rsidR="002D6572" w:rsidRPr="00163098" w:rsidRDefault="002D6572" w:rsidP="002D6572">
      <w:pPr>
        <w:ind w:left="5533"/>
        <w:rPr>
          <w:lang w:val="es-ES_tradnl"/>
        </w:rPr>
        <w:sectPr w:rsidR="002D6572" w:rsidRPr="00163098"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2D6572" w:rsidRPr="00163098" w:rsidRDefault="002D6572" w:rsidP="002D6572">
      <w:pPr>
        <w:jc w:val="center"/>
        <w:rPr>
          <w:b/>
          <w:lang w:val="es-ES_tradnl"/>
        </w:rPr>
      </w:pPr>
      <w:r w:rsidRPr="00163098">
        <w:rPr>
          <w:b/>
          <w:lang w:val="es-ES_tradnl"/>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2D6572" w:rsidRPr="00163098" w:rsidRDefault="002D6572" w:rsidP="002D6572">
      <w:pPr>
        <w:jc w:val="center"/>
        <w:rPr>
          <w:lang w:val="es-ES_tradnl"/>
        </w:rPr>
      </w:pPr>
    </w:p>
    <w:p w:rsidR="002D6572" w:rsidRPr="00163098" w:rsidRDefault="002D6572" w:rsidP="002D6572">
      <w:pPr>
        <w:jc w:val="center"/>
        <w:rPr>
          <w:lang w:val="es-ES_tradnl"/>
        </w:rPr>
      </w:pPr>
      <w:r w:rsidRPr="00163098">
        <w:rPr>
          <w:lang w:val="es-ES_tradnl"/>
        </w:rPr>
        <w:t>Elifuraha Laltaika y Neva Collings</w:t>
      </w:r>
    </w:p>
    <w:p w:rsidR="002D6572" w:rsidRPr="00163098" w:rsidRDefault="002D6572" w:rsidP="002D6572">
      <w:pPr>
        <w:rPr>
          <w:lang w:val="es-ES_tradnl"/>
        </w:rPr>
      </w:pPr>
    </w:p>
    <w:p w:rsidR="002D6572" w:rsidRPr="00163098" w:rsidRDefault="002D6572" w:rsidP="002D6572">
      <w:pPr>
        <w:rPr>
          <w:lang w:val="es-ES_tradnl"/>
        </w:rPr>
      </w:pPr>
    </w:p>
    <w:p w:rsidR="00A90C6C" w:rsidRPr="00163098" w:rsidRDefault="002D6572" w:rsidP="002D6572">
      <w:pPr>
        <w:rPr>
          <w:b/>
          <w:lang w:val="es-ES_tradnl"/>
        </w:rPr>
      </w:pPr>
      <w:r w:rsidRPr="00163098">
        <w:rPr>
          <w:b/>
          <w:lang w:val="es-ES_tradnl"/>
        </w:rPr>
        <w:t>ANTECEDENTES E INTRODUCCIÓN</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Durante el decimoctavo </w:t>
      </w:r>
      <w:r w:rsidR="00C92E4A" w:rsidRPr="00163098">
        <w:rPr>
          <w:lang w:val="es-ES_tradnl"/>
        </w:rPr>
        <w:t>periodo</w:t>
      </w:r>
      <w:r w:rsidRPr="00163098">
        <w:rPr>
          <w:lang w:val="es-ES_tradnl"/>
        </w:rPr>
        <w:t xml:space="preserve"> de sesiones del Foro Permanente de las Naciones Unidas para las Cuestiones Indígenas, que tuvo lugar del 22 de abril al 3 de mayo de 2019, el Foro Permanente emitió una recomendación a la Organización Mundial de la Propiedad Intelectual (OMPI)</w:t>
      </w:r>
      <w:r w:rsidRPr="00163098">
        <w:rPr>
          <w:vertAlign w:val="superscript"/>
          <w:lang w:val="es-ES_tradnl"/>
        </w:rPr>
        <w:footnoteReference w:id="3"/>
      </w:r>
      <w:r w:rsidRPr="00163098">
        <w:rPr>
          <w:lang w:val="es-ES_tradnl"/>
        </w:rPr>
        <w:t xml:space="preserve"> para que asignara y financiara a un especialista indígena</w:t>
      </w:r>
      <w:r w:rsidRPr="00163098">
        <w:rPr>
          <w:lang w:val="es-ES_tradnl"/>
        </w:rPr>
        <w:br/>
        <w:t>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163098">
        <w:rPr>
          <w:vertAlign w:val="superscript"/>
          <w:lang w:val="es-ES_tradnl"/>
        </w:rPr>
        <w:footnoteReference w:id="4"/>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El Foro Permanente recomendó la actualización del examen técnico para </w:t>
      </w:r>
      <w:r w:rsidR="00163098" w:rsidRPr="00163098">
        <w:rPr>
          <w:lang w:val="es-ES_tradnl"/>
        </w:rPr>
        <w:t>“</w:t>
      </w:r>
      <w:r w:rsidRPr="00163098">
        <w:rPr>
          <w:lang w:val="es-ES_tradnl"/>
        </w:rPr>
        <w:t>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00163098" w:rsidRPr="00163098">
        <w:rPr>
          <w:lang w:val="es-ES_tradnl"/>
        </w:rPr>
        <w:t>”</w:t>
      </w:r>
      <w:r w:rsidRPr="00163098">
        <w:rPr>
          <w:lang w:val="es-ES_tradnl"/>
        </w:rPr>
        <w:t>.</w:t>
      </w:r>
      <w:r w:rsidRPr="00163098">
        <w:rPr>
          <w:vertAlign w:val="superscript"/>
          <w:lang w:val="es-ES_tradnl"/>
        </w:rPr>
        <w:footnoteReference w:id="5"/>
      </w:r>
      <w:r w:rsidRPr="00163098">
        <w:rPr>
          <w:lang w:val="es-ES_tradnl"/>
        </w:rPr>
        <w:t xml:space="preserve"> El presente informe constituye la actualización solicitada del examen técnico.</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163098">
        <w:rPr>
          <w:vertAlign w:val="superscript"/>
          <w:lang w:val="es-ES_tradnl"/>
        </w:rPr>
        <w:footnoteReference w:id="6"/>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w:t>
      </w:r>
      <w:r w:rsidR="00163098" w:rsidRPr="00163098">
        <w:rPr>
          <w:lang w:val="es-ES_tradnl"/>
        </w:rPr>
        <w:t>“</w:t>
      </w:r>
      <w:r w:rsidRPr="00163098">
        <w:rPr>
          <w:lang w:val="es-ES_tradnl"/>
        </w:rPr>
        <w:t>equilibrio</w:t>
      </w:r>
      <w:r w:rsidR="00163098" w:rsidRPr="00163098">
        <w:rPr>
          <w:lang w:val="es-ES_tradnl"/>
        </w:rPr>
        <w:t>”</w:t>
      </w:r>
      <w:r w:rsidRPr="00163098">
        <w:rPr>
          <w:lang w:val="es-ES_tradnl"/>
        </w:rPr>
        <w:t xml:space="preserve">, </w:t>
      </w:r>
      <w:r w:rsidR="00163098" w:rsidRPr="00163098">
        <w:rPr>
          <w:lang w:val="es-ES_tradnl"/>
        </w:rPr>
        <w:t>“</w:t>
      </w:r>
      <w:r w:rsidRPr="00163098">
        <w:rPr>
          <w:lang w:val="es-ES_tradnl"/>
        </w:rPr>
        <w:t>dominio público</w:t>
      </w:r>
      <w:r w:rsidR="00163098" w:rsidRPr="00163098">
        <w:rPr>
          <w:lang w:val="es-ES_tradnl"/>
        </w:rPr>
        <w:t>”</w:t>
      </w:r>
      <w:r w:rsidRPr="00163098">
        <w:rPr>
          <w:lang w:val="es-ES_tradnl"/>
        </w:rPr>
        <w:t xml:space="preserve">, </w:t>
      </w:r>
      <w:r w:rsidR="00163098" w:rsidRPr="00163098">
        <w:rPr>
          <w:lang w:val="es-ES_tradnl"/>
        </w:rPr>
        <w:t>“</w:t>
      </w:r>
      <w:r w:rsidRPr="00163098">
        <w:rPr>
          <w:lang w:val="es-ES_tradnl"/>
        </w:rPr>
        <w:t>bases de datos</w:t>
      </w:r>
      <w:r w:rsidR="00163098" w:rsidRPr="00163098">
        <w:rPr>
          <w:lang w:val="es-ES_tradnl"/>
        </w:rPr>
        <w:t>”</w:t>
      </w:r>
      <w:r w:rsidRPr="00163098">
        <w:rPr>
          <w:lang w:val="es-ES_tradnl"/>
        </w:rPr>
        <w:t xml:space="preserve">, </w:t>
      </w:r>
      <w:r w:rsidR="00163098" w:rsidRPr="00163098">
        <w:rPr>
          <w:lang w:val="es-ES_tradnl"/>
        </w:rPr>
        <w:t>“</w:t>
      </w:r>
      <w:r w:rsidRPr="00163098">
        <w:rPr>
          <w:lang w:val="es-ES_tradnl"/>
        </w:rPr>
        <w:t>enfoque estratificado</w:t>
      </w:r>
      <w:r w:rsidR="00163098" w:rsidRPr="00163098">
        <w:rPr>
          <w:lang w:val="es-ES_tradnl"/>
        </w:rPr>
        <w:t>”</w:t>
      </w:r>
      <w:r w:rsidRPr="00163098">
        <w:rPr>
          <w:lang w:val="es-ES_tradnl"/>
        </w:rPr>
        <w:t xml:space="preserve"> y </w:t>
      </w:r>
      <w:r w:rsidR="00163098" w:rsidRPr="00163098">
        <w:rPr>
          <w:lang w:val="es-ES_tradnl"/>
        </w:rPr>
        <w:t>“</w:t>
      </w:r>
      <w:r w:rsidRPr="00163098">
        <w:rPr>
          <w:lang w:val="es-ES_tradnl"/>
        </w:rPr>
        <w:t>requisitos de divulgación</w:t>
      </w:r>
      <w:r w:rsidR="00163098" w:rsidRPr="00163098">
        <w:rPr>
          <w:lang w:val="es-ES_tradnl"/>
        </w:rPr>
        <w:t>”</w:t>
      </w:r>
      <w:r w:rsidRPr="00163098">
        <w:rPr>
          <w:lang w:val="es-ES_tradnl"/>
        </w:rPr>
        <w:t xml:space="preserve"> pueden entrar en conflicto con los derechos humanos de los pueblos indígenas que se exponen en el examen técnico del profesor James Anaya.</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Desde el punto de vista organizativo, esta actualización se divide en tres partes. La primera parte comprende un examen actualizado de los proyectos de artículos del CIG sobre </w:t>
      </w:r>
      <w:r w:rsidRPr="00163098">
        <w:rPr>
          <w:lang w:val="es-ES_tradnl"/>
        </w:rPr>
        <w:lastRenderedPageBreak/>
        <w:t>los CC.TT.</w:t>
      </w:r>
      <w:r w:rsidRPr="00163098">
        <w:rPr>
          <w:vertAlign w:val="superscript"/>
          <w:lang w:val="es-ES_tradnl"/>
        </w:rPr>
        <w:footnoteReference w:id="7"/>
      </w:r>
      <w:r w:rsidRPr="00163098">
        <w:rPr>
          <w:lang w:val="es-ES_tradnl"/>
        </w:rPr>
        <w:t xml:space="preserve"> y las ECT</w:t>
      </w:r>
      <w:r w:rsidRPr="00163098">
        <w:rPr>
          <w:vertAlign w:val="superscript"/>
          <w:lang w:val="es-ES_tradnl"/>
        </w:rPr>
        <w:footnoteReference w:id="8"/>
      </w:r>
      <w:r w:rsidRPr="00163098">
        <w:rPr>
          <w:lang w:val="es-ES_tradnl"/>
        </w:rP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163098">
        <w:rPr>
          <w:vertAlign w:val="superscript"/>
          <w:lang w:val="es-ES_tradnl"/>
        </w:rPr>
        <w:footnoteReference w:id="9"/>
      </w:r>
      <w:r w:rsidRPr="00163098">
        <w:rPr>
          <w:lang w:val="es-ES_tradnl"/>
        </w:rPr>
        <w:t xml:space="preserve"> La tercera parte trata de las consideraciones finales.</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Los autores son los únicos responsables de la preparación de esta actualización, que en modo alguno refleja la opinión de la Secretaría de la OMPI, los Estados miembros de la OMPI o los observadores.</w:t>
      </w:r>
    </w:p>
    <w:p w:rsidR="002D6572" w:rsidRPr="00163098" w:rsidRDefault="002D6572" w:rsidP="002D6572">
      <w:pPr>
        <w:rPr>
          <w:lang w:val="es-ES_tradnl"/>
        </w:rPr>
      </w:pPr>
    </w:p>
    <w:p w:rsidR="00A90C6C" w:rsidRPr="00163098" w:rsidRDefault="002D6572" w:rsidP="00B32CA7">
      <w:pPr>
        <w:keepNext/>
        <w:rPr>
          <w:b/>
          <w:lang w:val="es-ES_tradnl"/>
        </w:rPr>
      </w:pPr>
      <w:r w:rsidRPr="00163098">
        <w:rPr>
          <w:b/>
          <w:lang w:val="es-ES_tradnl"/>
        </w:rPr>
        <w:t>PRIMERA PARTE: PROYECTOS DE TEXTOS DEL CIG SOBRE CC.TT. Y ECT.</w:t>
      </w:r>
    </w:p>
    <w:p w:rsidR="002D6572" w:rsidRPr="00163098" w:rsidRDefault="002D6572" w:rsidP="00B32CA7">
      <w:pPr>
        <w:keepNext/>
        <w:rPr>
          <w:b/>
          <w:lang w:val="es-ES_tradnl"/>
        </w:rPr>
      </w:pPr>
    </w:p>
    <w:p w:rsidR="00A90C6C" w:rsidRPr="00163098" w:rsidRDefault="002D6572" w:rsidP="00B32CA7">
      <w:pPr>
        <w:keepNext/>
        <w:rPr>
          <w:b/>
          <w:lang w:val="es-ES_tradnl"/>
        </w:rPr>
      </w:pPr>
      <w:r w:rsidRPr="00163098">
        <w:rPr>
          <w:b/>
          <w:lang w:val="es-ES_tradnl"/>
        </w:rPr>
        <w:t>Equilibrio</w:t>
      </w:r>
    </w:p>
    <w:p w:rsidR="002D6572" w:rsidRPr="00163098" w:rsidRDefault="002D6572" w:rsidP="00B32CA7">
      <w:pPr>
        <w:keepNext/>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El concepto de </w:t>
      </w:r>
      <w:r w:rsidR="00163098" w:rsidRPr="00163098">
        <w:rPr>
          <w:lang w:val="es-ES_tradnl"/>
        </w:rPr>
        <w:t>“</w:t>
      </w:r>
      <w:r w:rsidRPr="00163098">
        <w:rPr>
          <w:lang w:val="es-ES_tradnl"/>
        </w:rPr>
        <w:t>equilibrio</w:t>
      </w:r>
      <w:r w:rsidR="00163098" w:rsidRPr="00163098">
        <w:rPr>
          <w:lang w:val="es-ES_tradnl"/>
        </w:rPr>
        <w:t>”</w:t>
      </w:r>
      <w:r w:rsidRPr="00163098">
        <w:rPr>
          <w:lang w:val="es-ES_tradnl"/>
        </w:rPr>
        <w:t xml:space="preserve">,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w:t>
      </w:r>
      <w:r w:rsidR="00163098" w:rsidRPr="00163098">
        <w:rPr>
          <w:lang w:val="es-ES_tradnl"/>
        </w:rPr>
        <w:t>“</w:t>
      </w:r>
      <w:r w:rsidRPr="00163098">
        <w:rPr>
          <w:lang w:val="es-ES_tradnl"/>
        </w:rPr>
        <w:t>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00163098" w:rsidRPr="00163098">
        <w:rPr>
          <w:lang w:val="es-ES_tradnl"/>
        </w:rPr>
        <w:t>”</w:t>
      </w:r>
      <w:r w:rsidRPr="00163098">
        <w:rPr>
          <w:vertAlign w:val="superscript"/>
          <w:lang w:val="es-ES_tradnl"/>
        </w:rPr>
        <w:footnoteReference w:id="10"/>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Se plantea un gran desafío cuando la propiedad intelectual tiende a centrarse en innovadores individuales o corporativos, mientras que los pueblos indígenas poseen los conocimientos en un entorno colectivo. Conceptualmente, el </w:t>
      </w:r>
      <w:r w:rsidR="00163098" w:rsidRPr="00163098">
        <w:rPr>
          <w:lang w:val="es-ES_tradnl"/>
        </w:rPr>
        <w:t>“</w:t>
      </w:r>
      <w:r w:rsidRPr="00163098">
        <w:rPr>
          <w:lang w:val="es-ES_tradnl"/>
        </w:rPr>
        <w:t>equilibrio</w:t>
      </w:r>
      <w:r w:rsidR="00163098" w:rsidRPr="00163098">
        <w:rPr>
          <w:lang w:val="es-ES_tradnl"/>
        </w:rPr>
        <w:t>”</w:t>
      </w:r>
      <w:r w:rsidRPr="00163098">
        <w:rPr>
          <w:lang w:val="es-ES_tradnl"/>
        </w:rPr>
        <w:t xml:space="preserve">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forman parte de su identidad como grupo y son intergeneracionales. En particular, los CC.TT. indígenas y las ECT contienen historias, normas y protocolos consuetudinarios, ceremonias, modos de vida y visiones del mundo, que no están destinados a ser comercializados.</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Si bien el </w:t>
      </w:r>
      <w:r w:rsidR="00163098" w:rsidRPr="00163098">
        <w:rPr>
          <w:lang w:val="es-ES_tradnl"/>
        </w:rPr>
        <w:t>“</w:t>
      </w:r>
      <w:r w:rsidRPr="00163098">
        <w:rPr>
          <w:lang w:val="es-ES_tradnl"/>
        </w:rPr>
        <w:t>equilibrio</w:t>
      </w:r>
      <w:r w:rsidR="00163098" w:rsidRPr="00163098">
        <w:rPr>
          <w:lang w:val="es-ES_tradnl"/>
        </w:rPr>
        <w:t>”</w:t>
      </w:r>
      <w:r w:rsidRPr="00163098">
        <w:rPr>
          <w:lang w:val="es-ES_tradnl"/>
        </w:rPr>
        <w:t xml:space="preserve"> es justificable en un contexto en el que intervienen individuos y entidades corporativas, el concepto puede socavar a los pueblos indígenas que poseen sus </w:t>
      </w:r>
      <w:r w:rsidRPr="00163098">
        <w:rPr>
          <w:lang w:val="es-ES_tradnl"/>
        </w:rPr>
        <w:lastRenderedPageBreak/>
        <w:t>CC.TT. y ECT de forma colectiva y que tienen derecho a la autodeterminación según el derecho internacional.</w:t>
      </w:r>
      <w:r w:rsidRPr="00163098">
        <w:rPr>
          <w:vertAlign w:val="superscript"/>
          <w:lang w:val="es-ES_tradnl"/>
        </w:rPr>
        <w:footnoteReference w:id="11"/>
      </w:r>
      <w:r w:rsidRPr="00163098">
        <w:rPr>
          <w:lang w:val="es-ES_tradnl"/>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163098">
        <w:rPr>
          <w:vertAlign w:val="superscript"/>
          <w:lang w:val="es-ES_tradnl"/>
        </w:rPr>
        <w:footnoteReference w:id="12"/>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Una posible solución a este dilema radica, en parte, en la elaboración de un sistema </w:t>
      </w:r>
      <w:r w:rsidRPr="00163098">
        <w:rPr>
          <w:i/>
          <w:iCs/>
          <w:lang w:val="es-ES_tradnl"/>
        </w:rPr>
        <w:t>sui generis</w:t>
      </w:r>
      <w:r w:rsidRPr="00163098">
        <w:rPr>
          <w:vertAlign w:val="superscript"/>
          <w:lang w:val="es-ES_tradnl"/>
        </w:rPr>
        <w:footnoteReference w:id="13"/>
      </w:r>
      <w:r w:rsidRPr="00163098">
        <w:rPr>
          <w:lang w:val="es-ES_tradnl"/>
        </w:rP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w:t>
      </w:r>
      <w:r w:rsidRPr="00163098">
        <w:rPr>
          <w:i/>
          <w:iCs/>
          <w:lang w:val="es-ES_tradnl"/>
        </w:rPr>
        <w:t>sui generis</w:t>
      </w:r>
      <w:r w:rsidRPr="00163098">
        <w:rPr>
          <w:lang w:val="es-ES_tradnl"/>
        </w:rPr>
        <w:t xml:space="preserve"> previsto debería respetar los derechos de los pueblos indígenas a controlar y proteger sus CC.TT. y ECT.</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De hecho, la prevención de la apropiación indebida de los CC.TT. puede requerir medidas positivas que incluyan la creación de regímenes </w:t>
      </w:r>
      <w:r w:rsidRPr="00163098">
        <w:rPr>
          <w:i/>
          <w:iCs/>
          <w:lang w:val="es-ES_tradnl"/>
        </w:rPr>
        <w:t>sui generis</w:t>
      </w:r>
      <w:r w:rsidRPr="00163098">
        <w:rPr>
          <w:lang w:val="es-ES_tradnl"/>
        </w:rPr>
        <w:t xml:space="preserve"> de propiedad intelectual como legislación independiente para la protección de los CC.TT. contra el acceso y la utilización no autorizados, los derechos relacionados con las bases de datos y la compensación o restitución.</w:t>
      </w:r>
      <w:r w:rsidRPr="00163098">
        <w:rPr>
          <w:vertAlign w:val="superscript"/>
          <w:lang w:val="es-ES_tradnl"/>
        </w:rPr>
        <w:footnoteReference w:id="14"/>
      </w:r>
      <w:r w:rsidRPr="00163098">
        <w:rPr>
          <w:lang w:val="es-ES_tradnl"/>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163098">
        <w:rPr>
          <w:vertAlign w:val="superscript"/>
          <w:lang w:val="es-ES_tradnl"/>
        </w:rPr>
        <w:footnoteReference w:id="15"/>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Los elementos clave de los regímenes </w:t>
      </w:r>
      <w:r w:rsidRPr="00163098">
        <w:rPr>
          <w:i/>
          <w:iCs/>
          <w:lang w:val="es-ES_tradnl"/>
        </w:rPr>
        <w:t>sui generis</w:t>
      </w:r>
      <w:r w:rsidRPr="00163098">
        <w:rPr>
          <w:lang w:val="es-ES_tradnl"/>
        </w:rPr>
        <w:t xml:space="preserve">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163098">
        <w:rPr>
          <w:vertAlign w:val="superscript"/>
          <w:lang w:val="es-ES_tradnl"/>
        </w:rPr>
        <w:footnoteReference w:id="16"/>
      </w:r>
      <w:r w:rsidRPr="00163098">
        <w:rPr>
          <w:lang w:val="es-ES_tradnl"/>
        </w:rPr>
        <w:t xml:space="preserve"> Es posible que la elaboración de bases de datos y registros de CC.TT. por parte de los pueblos indígenas que cuenten con el consentimiento libre, previo y fundamentado requiera la asistencia económica y técnica de los </w:t>
      </w:r>
      <w:r w:rsidRPr="00163098">
        <w:rPr>
          <w:lang w:val="es-ES_tradnl"/>
        </w:rPr>
        <w:lastRenderedPageBreak/>
        <w:t>Estados miembros, así como el respeto fundamental a las normas consuetudinarias y a la integridad cultural de los pueblos indígenas y de las comunidades locales.</w:t>
      </w:r>
      <w:r w:rsidRPr="00163098">
        <w:rPr>
          <w:vertAlign w:val="superscript"/>
          <w:lang w:val="es-ES_tradnl"/>
        </w:rPr>
        <w:footnoteReference w:id="17"/>
      </w:r>
    </w:p>
    <w:p w:rsidR="002D6572" w:rsidRPr="00163098" w:rsidRDefault="002D6572" w:rsidP="002D6572">
      <w:pPr>
        <w:rPr>
          <w:lang w:val="es-ES_tradnl"/>
        </w:rPr>
      </w:pPr>
    </w:p>
    <w:p w:rsidR="002D6572" w:rsidRPr="00163098" w:rsidRDefault="002D6572" w:rsidP="00B32CA7">
      <w:pPr>
        <w:keepNext/>
        <w:rPr>
          <w:b/>
          <w:lang w:val="es-ES_tradnl"/>
        </w:rPr>
      </w:pPr>
      <w:r w:rsidRPr="00163098">
        <w:rPr>
          <w:b/>
          <w:lang w:val="es-ES_tradnl"/>
        </w:rPr>
        <w:t>Reparación</w:t>
      </w:r>
    </w:p>
    <w:p w:rsidR="002D6572" w:rsidRPr="00163098" w:rsidRDefault="002D6572" w:rsidP="00B32CA7">
      <w:pPr>
        <w:keepNext/>
        <w:rPr>
          <w:lang w:val="es-ES_tradnl"/>
        </w:rPr>
      </w:pPr>
    </w:p>
    <w:p w:rsidR="00A90C6C" w:rsidRPr="00163098" w:rsidRDefault="002D6572" w:rsidP="002D6572">
      <w:pPr>
        <w:numPr>
          <w:ilvl w:val="0"/>
          <w:numId w:val="7"/>
        </w:numPr>
        <w:ind w:left="0" w:firstLine="0"/>
        <w:rPr>
          <w:lang w:val="es-ES_tradnl"/>
        </w:rPr>
      </w:pPr>
      <w:r w:rsidRPr="00163098">
        <w:rPr>
          <w:lang w:val="es-ES_tradnl"/>
        </w:rP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163098">
        <w:rPr>
          <w:vertAlign w:val="superscript"/>
          <w:lang w:val="es-ES_tradnl"/>
        </w:rPr>
        <w:footnoteReference w:id="18"/>
      </w:r>
      <w:r w:rsidRPr="00163098">
        <w:rPr>
          <w:lang w:val="es-ES_tradnl"/>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163098">
        <w:rPr>
          <w:vertAlign w:val="superscript"/>
          <w:lang w:val="es-ES_tradnl"/>
        </w:rPr>
        <w:footnoteReference w:id="19"/>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w:t>
      </w:r>
      <w:r w:rsidR="00163098" w:rsidRPr="00163098">
        <w:rPr>
          <w:lang w:val="es-ES_tradnl"/>
        </w:rPr>
        <w:t>“</w:t>
      </w:r>
      <w:r w:rsidRPr="00163098">
        <w:rPr>
          <w:lang w:val="es-ES_tradnl"/>
        </w:rPr>
        <w:t>las negociaciones no pueden limitarse a abordar las prácticas futuras en asuntos relacionados con las patentes</w:t>
      </w:r>
      <w:r w:rsidR="00163098" w:rsidRPr="00163098">
        <w:rPr>
          <w:lang w:val="es-ES_tradnl"/>
        </w:rPr>
        <w:t>”</w:t>
      </w:r>
      <w:r w:rsidRPr="00163098">
        <w:rPr>
          <w:lang w:val="es-ES_tradnl"/>
        </w:rPr>
        <w:t xml:space="preserve">, sino que también deberían abordar </w:t>
      </w:r>
      <w:r w:rsidR="00163098" w:rsidRPr="00163098">
        <w:rPr>
          <w:lang w:val="es-ES_tradnl"/>
        </w:rPr>
        <w:t>“</w:t>
      </w:r>
      <w:r w:rsidRPr="00163098">
        <w:rPr>
          <w:lang w:val="es-ES_tradnl"/>
        </w:rPr>
        <w:t>las apropiaciones indebidas y las irregularidades cometidas a lo largo de la historia</w:t>
      </w:r>
      <w:r w:rsidR="00163098" w:rsidRPr="00163098">
        <w:rPr>
          <w:lang w:val="es-ES_tradnl"/>
        </w:rPr>
        <w:t>”</w:t>
      </w:r>
      <w:r w:rsidRPr="00163098">
        <w:rPr>
          <w:lang w:val="es-ES_tradnl"/>
        </w:rPr>
        <w:t>.</w:t>
      </w:r>
      <w:r w:rsidRPr="00163098">
        <w:rPr>
          <w:vertAlign w:val="superscript"/>
          <w:lang w:val="es-ES_tradnl"/>
        </w:rPr>
        <w:footnoteReference w:id="20"/>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Las </w:t>
      </w:r>
      <w:r w:rsidRPr="00163098">
        <w:rPr>
          <w:i/>
          <w:iCs/>
          <w:lang w:val="es-ES_tradnl"/>
        </w:rPr>
        <w:t>directrices voluntarias rutzolijirisaxik sobre repatriación de los conocimientos tradicionales pertinentes para la conservación y la utilización sostenible de la diversidad biológica</w:t>
      </w:r>
      <w:r w:rsidRPr="00163098">
        <w:rPr>
          <w:lang w:val="es-ES_tradnl"/>
        </w:rPr>
        <w:t xml:space="preserve"> del Convenio sobre la Diversidad Biológica (CDB) son de cierta importancia para la restitución, ya que orientan sobre la labor de repatriación, incluida la participación en los beneficios.</w:t>
      </w:r>
      <w:r w:rsidRPr="00163098">
        <w:rPr>
          <w:vertAlign w:val="superscript"/>
          <w:lang w:val="es-ES_tradnl"/>
        </w:rPr>
        <w:footnoteReference w:id="21"/>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Las directrices </w:t>
      </w:r>
      <w:r w:rsidRPr="00163098">
        <w:rPr>
          <w:i/>
          <w:iCs/>
          <w:lang w:val="es-ES_tradnl"/>
        </w:rPr>
        <w:t>rutzolijirisaxik</w:t>
      </w:r>
      <w:r w:rsidRPr="00163098">
        <w:rPr>
          <w:lang w:val="es-ES_tradnl"/>
        </w:rPr>
        <w:t xml:space="preserve"> establecen que </w:t>
      </w:r>
      <w:r w:rsidR="00163098" w:rsidRPr="00163098">
        <w:rPr>
          <w:lang w:val="es-ES_tradnl"/>
        </w:rPr>
        <w:t>“</w:t>
      </w:r>
      <w:r w:rsidRPr="00163098">
        <w:rPr>
          <w:lang w:val="es-ES_tradnl"/>
        </w:rPr>
        <w:t>la repatriación puede incluir iniciativas para restablecer la gobernanza de los pueblos indígenas y las comunidades locales sobre sus conocimientos tradicionales</w:t>
      </w:r>
      <w:r w:rsidR="00163098" w:rsidRPr="00163098">
        <w:rPr>
          <w:lang w:val="es-ES_tradnl"/>
        </w:rPr>
        <w:t>”</w:t>
      </w:r>
      <w:r w:rsidRPr="00163098">
        <w:rPr>
          <w:lang w:val="es-ES_tradnl"/>
        </w:rPr>
        <w:t>,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163098">
        <w:rPr>
          <w:vertAlign w:val="superscript"/>
          <w:lang w:val="es-ES_tradnl"/>
        </w:rPr>
        <w:footnoteReference w:id="22"/>
      </w:r>
    </w:p>
    <w:p w:rsidR="002D6572" w:rsidRPr="00163098" w:rsidRDefault="002D6572" w:rsidP="002D6572">
      <w:pPr>
        <w:rPr>
          <w:b/>
          <w:lang w:val="es-ES_tradnl"/>
        </w:rPr>
      </w:pPr>
    </w:p>
    <w:p w:rsidR="00A90C6C" w:rsidRPr="00163098" w:rsidRDefault="002D6572" w:rsidP="00B32CA7">
      <w:pPr>
        <w:keepNext/>
        <w:rPr>
          <w:b/>
          <w:lang w:val="es-ES_tradnl"/>
        </w:rPr>
      </w:pPr>
      <w:r w:rsidRPr="00163098">
        <w:rPr>
          <w:b/>
          <w:lang w:val="es-ES_tradnl"/>
        </w:rPr>
        <w:t>Dominio público</w:t>
      </w:r>
    </w:p>
    <w:p w:rsidR="002D6572" w:rsidRPr="00163098" w:rsidRDefault="002D6572" w:rsidP="00B32CA7">
      <w:pPr>
        <w:keepNext/>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Utilizado habitualmente como concepto de derecho de autor, el </w:t>
      </w:r>
      <w:r w:rsidR="00163098" w:rsidRPr="00163098">
        <w:rPr>
          <w:lang w:val="es-ES_tradnl"/>
        </w:rPr>
        <w:t>“</w:t>
      </w:r>
      <w:r w:rsidRPr="00163098">
        <w:rPr>
          <w:lang w:val="es-ES_tradnl"/>
        </w:rPr>
        <w:t>dominio público</w:t>
      </w:r>
      <w:r w:rsidR="00163098" w:rsidRPr="00163098">
        <w:rPr>
          <w:lang w:val="es-ES_tradnl"/>
        </w:rPr>
        <w:t>”</w:t>
      </w:r>
      <w:r w:rsidRPr="00163098">
        <w:rPr>
          <w:lang w:val="es-ES_tradnl"/>
        </w:rPr>
        <w:t xml:space="preserve"> se refiere, por ejemplo, al </w:t>
      </w:r>
      <w:r w:rsidR="00163098" w:rsidRPr="00163098">
        <w:rPr>
          <w:lang w:val="es-ES_tradnl"/>
        </w:rPr>
        <w:t>“</w:t>
      </w:r>
      <w:r w:rsidRPr="00163098">
        <w:rPr>
          <w:lang w:val="es-ES_tradnl"/>
        </w:rPr>
        <w:t>vencimiento de los derechos exclusivos</w:t>
      </w:r>
      <w:r w:rsidR="00163098" w:rsidRPr="00163098">
        <w:rPr>
          <w:lang w:val="es-ES_tradnl"/>
        </w:rPr>
        <w:t>”</w:t>
      </w:r>
      <w:r w:rsidRPr="00163098">
        <w:rPr>
          <w:lang w:val="es-ES_tradnl"/>
        </w:rPr>
        <w:t xml:space="preserve">, lo que incluye el cese de la </w:t>
      </w:r>
      <w:r w:rsidRPr="00163098">
        <w:rPr>
          <w:lang w:val="es-ES_tradnl"/>
        </w:rPr>
        <w:lastRenderedPageBreak/>
        <w:t>obligación por parte de los usuarios de una obra literaria de proporcionar beneficios a los titulares de los derechos o de obtener su consentimiento antes de utilizar la materia protegida.</w:t>
      </w:r>
      <w:r w:rsidRPr="00163098">
        <w:rPr>
          <w:vertAlign w:val="superscript"/>
          <w:lang w:val="es-ES_tradnl"/>
        </w:rPr>
        <w:footnoteReference w:id="23"/>
      </w:r>
      <w:r w:rsidRPr="00163098">
        <w:rPr>
          <w:lang w:val="es-ES_tradnl"/>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163098">
        <w:rPr>
          <w:vertAlign w:val="superscript"/>
          <w:lang w:val="es-ES_tradnl"/>
        </w:rPr>
        <w:footnoteReference w:id="24"/>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163098">
        <w:rPr>
          <w:vertAlign w:val="superscript"/>
          <w:lang w:val="es-ES_tradnl"/>
        </w:rPr>
        <w:footnoteReference w:id="25"/>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Según lo anterior, el </w:t>
      </w:r>
      <w:r w:rsidR="00163098" w:rsidRPr="00163098">
        <w:rPr>
          <w:lang w:val="es-ES_tradnl"/>
        </w:rPr>
        <w:t>“</w:t>
      </w:r>
      <w:r w:rsidRPr="00163098">
        <w:rPr>
          <w:lang w:val="es-ES_tradnl"/>
        </w:rPr>
        <w:t>dominio público</w:t>
      </w:r>
      <w:r w:rsidR="00163098" w:rsidRPr="00163098">
        <w:rPr>
          <w:lang w:val="es-ES_tradnl"/>
        </w:rPr>
        <w:t>”</w:t>
      </w:r>
      <w:r w:rsidRPr="00163098">
        <w:rPr>
          <w:lang w:val="es-ES_tradnl"/>
        </w:rPr>
        <w:t xml:space="preserve"> refleja opiniones divergentes sobre la protección de los CC.TT. y las ECT. Un planteamiento sostiene que los CC.TT. son una </w:t>
      </w:r>
      <w:r w:rsidR="00163098" w:rsidRPr="00163098">
        <w:rPr>
          <w:lang w:val="es-ES_tradnl"/>
        </w:rPr>
        <w:t>“</w:t>
      </w:r>
      <w:r w:rsidRPr="00163098">
        <w:rPr>
          <w:lang w:val="es-ES_tradnl"/>
        </w:rPr>
        <w:t>información valiosa y de propiedad respecto a la cual debe obtenerse el permiso de uso con independencia, en gran medida, de la antigüedad de los conocimientos tradicionales o de su disponibilidad pública</w:t>
      </w:r>
      <w:r w:rsidR="00163098" w:rsidRPr="00163098">
        <w:rPr>
          <w:lang w:val="es-ES_tradnl"/>
        </w:rPr>
        <w:t>”</w:t>
      </w:r>
      <w:r w:rsidRPr="00163098">
        <w:rPr>
          <w:lang w:val="es-ES_tradnl"/>
        </w:rPr>
        <w:t xml:space="preserve">, mientras que otro postula que </w:t>
      </w:r>
      <w:r w:rsidR="00163098" w:rsidRPr="00163098">
        <w:rPr>
          <w:lang w:val="es-ES_tradnl"/>
        </w:rPr>
        <w:t>“</w:t>
      </w:r>
      <w:r w:rsidRPr="00163098">
        <w:rPr>
          <w:lang w:val="es-ES_tradnl"/>
        </w:rPr>
        <w:t>los conocimientos tradicionales disponibles públicamente son de dominio público y, por tanto, están disponibles como estado de la técnica, pero, por lo demás, pueden utilizarse libremente sin compensación</w:t>
      </w:r>
      <w:r w:rsidR="00163098" w:rsidRPr="00163098">
        <w:rPr>
          <w:lang w:val="es-ES_tradnl"/>
        </w:rPr>
        <w:t>”</w:t>
      </w:r>
      <w:r w:rsidRPr="00163098">
        <w:rPr>
          <w:lang w:val="es-ES_tradnl"/>
        </w:rPr>
        <w:t>.</w:t>
      </w:r>
      <w:r w:rsidRPr="00163098">
        <w:rPr>
          <w:vertAlign w:val="superscript"/>
          <w:lang w:val="es-ES_tradnl"/>
        </w:rPr>
        <w:footnoteReference w:id="26"/>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163098">
        <w:rPr>
          <w:vertAlign w:val="superscript"/>
          <w:lang w:val="es-ES_tradnl"/>
        </w:rPr>
        <w:footnoteReference w:id="27"/>
      </w:r>
      <w:r w:rsidRPr="00163098">
        <w:rPr>
          <w:lang w:val="es-ES_tradnl"/>
        </w:rPr>
        <w:t xml:space="preserve"> 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CC.TT. y las ECT.</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lastRenderedPageBreak/>
        <w:t>Además, las bibliotecas digitales y los avances modernos han agudizado la posibilidad de una mayor circulación de los CC.TT. y las ECT que los pueblos indígenas tratan de proteger. Como respuesta, algunos representantes indígenas ante el CIG han argumentado que algunos CC.TT o ECT deberían ser retirados de la circulación y repatriados a los grupos indígenas que los crearon.</w:t>
      </w:r>
    </w:p>
    <w:p w:rsidR="002D6572" w:rsidRPr="00163098" w:rsidRDefault="002D6572" w:rsidP="002D6572">
      <w:pPr>
        <w:rPr>
          <w:lang w:val="es-ES_tradnl"/>
        </w:rPr>
      </w:pPr>
    </w:p>
    <w:p w:rsidR="00A90C6C" w:rsidRPr="00163098" w:rsidRDefault="002D6572" w:rsidP="00B32CA7">
      <w:pPr>
        <w:keepNext/>
        <w:rPr>
          <w:b/>
          <w:lang w:val="es-ES_tradnl"/>
        </w:rPr>
      </w:pPr>
      <w:r w:rsidRPr="00163098">
        <w:rPr>
          <w:b/>
          <w:lang w:val="es-ES_tradnl"/>
        </w:rPr>
        <w:t>Excepciones y limitaciones</w:t>
      </w:r>
    </w:p>
    <w:p w:rsidR="002D6572" w:rsidRPr="00163098" w:rsidRDefault="002D6572" w:rsidP="00B32CA7">
      <w:pPr>
        <w:keepNext/>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w:t>
      </w:r>
      <w:r w:rsidR="00163098" w:rsidRPr="00163098">
        <w:rPr>
          <w:lang w:val="es-ES_tradnl"/>
        </w:rPr>
        <w:t>“</w:t>
      </w:r>
      <w:r w:rsidRPr="00163098">
        <w:rPr>
          <w:lang w:val="es-ES_tradnl"/>
        </w:rPr>
        <w:t>excepciones y limitaciones</w:t>
      </w:r>
      <w:r w:rsidR="00163098" w:rsidRPr="00163098">
        <w:rPr>
          <w:lang w:val="es-ES_tradnl"/>
        </w:rPr>
        <w:t>”</w:t>
      </w:r>
      <w:r w:rsidRPr="00163098">
        <w:rPr>
          <w:lang w:val="es-ES_tradnl"/>
        </w:rPr>
        <w:t>.</w:t>
      </w:r>
      <w:r w:rsidRPr="00163098">
        <w:rPr>
          <w:vertAlign w:val="superscript"/>
          <w:lang w:val="es-ES_tradnl"/>
        </w:rPr>
        <w:footnoteReference w:id="28"/>
      </w:r>
      <w:r w:rsidRPr="00163098">
        <w:rPr>
          <w:lang w:val="es-ES_tradnl"/>
        </w:rPr>
        <w:t xml:space="preserve"> Los motivos de las excepciones y limitaciones incluyen el aprovechamiento de los conocimientos para el estudio y la educación, los usos no comerciales, los museos y las bibliotecas.</w:t>
      </w:r>
      <w:r w:rsidRPr="00163098">
        <w:rPr>
          <w:vertAlign w:val="superscript"/>
          <w:lang w:val="es-ES_tradnl"/>
        </w:rPr>
        <w:footnoteReference w:id="29"/>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El concepto de </w:t>
      </w:r>
      <w:r w:rsidR="00163098" w:rsidRPr="00163098">
        <w:rPr>
          <w:lang w:val="es-ES_tradnl"/>
        </w:rPr>
        <w:t>“</w:t>
      </w:r>
      <w:r w:rsidRPr="00163098">
        <w:rPr>
          <w:lang w:val="es-ES_tradnl"/>
        </w:rPr>
        <w:t>limitaciones y excepciones</w:t>
      </w:r>
      <w:r w:rsidR="00163098" w:rsidRPr="00163098">
        <w:rPr>
          <w:lang w:val="es-ES_tradnl"/>
        </w:rPr>
        <w:t>”</w:t>
      </w:r>
      <w:r w:rsidRPr="00163098">
        <w:rPr>
          <w:lang w:val="es-ES_tradnl"/>
        </w:rPr>
        <w:t xml:space="preserve">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163098">
        <w:rPr>
          <w:vertAlign w:val="superscript"/>
          <w:lang w:val="es-ES_tradnl"/>
        </w:rPr>
        <w:footnoteReference w:id="30"/>
      </w:r>
      <w:r w:rsidRPr="00163098">
        <w:rPr>
          <w:lang w:val="es-ES_tradnl"/>
        </w:rPr>
        <w:t xml:space="preserve"> En consecuencia, debe obtenerse ese consentimiento antes de redactar las excepciones y limitaciones que afecten a los CC.TT. y las ECT de los pueblos indígenas.</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163098">
        <w:rPr>
          <w:i/>
          <w:lang w:val="es-ES_tradnl"/>
        </w:rPr>
        <w:t>Tratado de Libre Comercio entre los Estados Unidos, el Canadá y México</w:t>
      </w:r>
      <w:r w:rsidRPr="00163098">
        <w:rPr>
          <w:lang w:val="es-ES_tradnl"/>
        </w:rPr>
        <w:t>.</w:t>
      </w:r>
      <w:r w:rsidRPr="00163098">
        <w:rPr>
          <w:vertAlign w:val="superscript"/>
          <w:lang w:val="es-ES_tradnl"/>
        </w:rPr>
        <w:footnoteReference w:id="31"/>
      </w:r>
    </w:p>
    <w:p w:rsidR="002D6572" w:rsidRPr="00163098" w:rsidRDefault="002D6572" w:rsidP="002D6572">
      <w:pPr>
        <w:rPr>
          <w:lang w:val="es-ES_tradnl"/>
        </w:rPr>
      </w:pPr>
    </w:p>
    <w:p w:rsidR="00A90C6C" w:rsidRPr="00163098" w:rsidRDefault="002D6572" w:rsidP="00B32CA7">
      <w:pPr>
        <w:keepNext/>
        <w:rPr>
          <w:b/>
          <w:lang w:val="es-ES_tradnl"/>
        </w:rPr>
      </w:pPr>
      <w:r w:rsidRPr="00163098">
        <w:rPr>
          <w:b/>
          <w:lang w:val="es-ES_tradnl"/>
        </w:rPr>
        <w:t xml:space="preserve">Alcance de la protección: </w:t>
      </w:r>
      <w:r w:rsidR="0012386A" w:rsidRPr="00163098">
        <w:rPr>
          <w:b/>
          <w:lang w:val="es-ES_tradnl"/>
        </w:rPr>
        <w:t xml:space="preserve">el </w:t>
      </w:r>
      <w:r w:rsidRPr="00163098">
        <w:rPr>
          <w:b/>
          <w:lang w:val="es-ES_tradnl"/>
        </w:rPr>
        <w:t>enfoque estratificado</w:t>
      </w:r>
    </w:p>
    <w:p w:rsidR="002D6572" w:rsidRPr="00163098" w:rsidRDefault="002D6572" w:rsidP="00B32CA7">
      <w:pPr>
        <w:keepNext/>
        <w:rPr>
          <w:lang w:val="es-ES_tradnl"/>
        </w:rPr>
      </w:pPr>
    </w:p>
    <w:p w:rsidR="002D6572" w:rsidRPr="00163098" w:rsidRDefault="002D6572" w:rsidP="002D6572">
      <w:pPr>
        <w:numPr>
          <w:ilvl w:val="0"/>
          <w:numId w:val="7"/>
        </w:numPr>
        <w:ind w:left="0" w:firstLine="0"/>
        <w:rPr>
          <w:lang w:val="es-ES_tradnl"/>
        </w:rPr>
      </w:pPr>
      <w:r w:rsidRPr="00163098">
        <w:rPr>
          <w:lang w:val="es-ES_tradnl"/>
        </w:rPr>
        <w:t>El enfoque estratificado es una idea innovadora que divide los CC.TT. y las ECT en categorías y propone que el alcance de la protección sea proporcional al nivel de sensibilidad que los pueblos indígenas otorgan a la categoría de CC.TT. o ECT en cuestión.</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Conceptualmente, el enfoque estratificado se ajusta más al marco de los derechos de los pueblos indígenas, ya que no socava la capacidad de acción y la autonomía de los pueblos 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163098">
        <w:rPr>
          <w:vertAlign w:val="superscript"/>
          <w:lang w:val="es-ES_tradnl"/>
        </w:rPr>
        <w:footnoteReference w:id="32"/>
      </w:r>
    </w:p>
    <w:p w:rsidR="002D6572" w:rsidRPr="00163098" w:rsidRDefault="002D6572" w:rsidP="002D6572">
      <w:pPr>
        <w:rPr>
          <w:lang w:val="es-ES_tradnl"/>
        </w:rPr>
      </w:pPr>
    </w:p>
    <w:p w:rsidR="00A90C6C" w:rsidRPr="00163098" w:rsidRDefault="002D6572" w:rsidP="00B32CA7">
      <w:pPr>
        <w:keepNext/>
        <w:rPr>
          <w:b/>
          <w:lang w:val="es-ES_tradnl"/>
        </w:rPr>
      </w:pPr>
      <w:r w:rsidRPr="00163098">
        <w:rPr>
          <w:b/>
          <w:lang w:val="es-ES_tradnl"/>
        </w:rPr>
        <w:t>Bases de datos y registros de conocimientos</w:t>
      </w:r>
    </w:p>
    <w:p w:rsidR="002D6572" w:rsidRPr="00163098" w:rsidRDefault="002D6572" w:rsidP="00B32CA7">
      <w:pPr>
        <w:keepNext/>
        <w:rPr>
          <w:lang w:val="es-ES_tradnl"/>
        </w:rPr>
      </w:pPr>
    </w:p>
    <w:p w:rsidR="00A90C6C" w:rsidRPr="00163098" w:rsidRDefault="002D6572" w:rsidP="002D6572">
      <w:pPr>
        <w:numPr>
          <w:ilvl w:val="0"/>
          <w:numId w:val="7"/>
        </w:numPr>
        <w:ind w:left="0" w:firstLine="0"/>
        <w:rPr>
          <w:lang w:val="es-ES_tradnl"/>
        </w:rPr>
      </w:pPr>
      <w:r w:rsidRPr="00163098">
        <w:rPr>
          <w:lang w:val="es-ES_tradnl"/>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163098">
        <w:rPr>
          <w:vertAlign w:val="superscript"/>
          <w:lang w:val="es-ES_tradnl"/>
        </w:rPr>
        <w:footnoteReference w:id="33"/>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El uso de las bases de datos funciona, pues, señalando la existencia de un </w:t>
      </w:r>
      <w:r w:rsidR="00163098" w:rsidRPr="00163098">
        <w:rPr>
          <w:lang w:val="es-ES_tradnl"/>
        </w:rPr>
        <w:t>“</w:t>
      </w:r>
      <w:r w:rsidRPr="00163098">
        <w:rPr>
          <w:lang w:val="es-ES_tradnl"/>
        </w:rPr>
        <w:t>estado de la técnica</w:t>
      </w:r>
      <w:r w:rsidR="00163098" w:rsidRPr="00163098">
        <w:rPr>
          <w:lang w:val="es-ES_tradnl"/>
        </w:rPr>
        <w:t>”</w:t>
      </w:r>
      <w:r w:rsidRPr="00163098">
        <w:rPr>
          <w:lang w:val="es-ES_tradnl"/>
        </w:rPr>
        <w:t>, lo que de alguna manera implica que la invención en cuestión no cumple las condiciones mencionadas anteriormente porque ya está disponible públicamente. De este modo, se evita la concesión errónea de derechos de propiedad intelectual.</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Aunque los registros y las bases de datos desempeñan este papel crucial, no pueden ser controlados únicamente por los gobiernos nacionales. Por ello, los pueblos indígenas han expresado sus reservas sobre el uso de las bases de datos, alegando la probabilidad de que la información se difunda libremente a terceros. Por ello, los pueblos indígenas insisten en que la documentación y el registro de los CC.TT. y las ECT deben beneficiar principalmente a los </w:t>
      </w:r>
      <w:r w:rsidRPr="00163098">
        <w:rPr>
          <w:lang w:val="es-ES_tradnl"/>
        </w:rPr>
        <w:lastRenderedPageBreak/>
        <w:t>pueblos indígenas; y su participación en esos sistemas debe ser voluntaria y no un requisito para la protección de los CC.TT. y las ECT.</w:t>
      </w:r>
      <w:r w:rsidRPr="00163098">
        <w:rPr>
          <w:vertAlign w:val="superscript"/>
          <w:lang w:val="es-ES_tradnl"/>
        </w:rPr>
        <w:footnoteReference w:id="34"/>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163098">
        <w:rPr>
          <w:vertAlign w:val="superscript"/>
          <w:lang w:val="es-ES_tradnl"/>
        </w:rPr>
        <w:footnoteReference w:id="35"/>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rsidR="002D6572" w:rsidRPr="00163098" w:rsidRDefault="002D6572" w:rsidP="002D6572">
      <w:pPr>
        <w:rPr>
          <w:lang w:val="es-ES_tradnl"/>
        </w:rPr>
      </w:pPr>
    </w:p>
    <w:p w:rsidR="00A90C6C" w:rsidRPr="00163098" w:rsidRDefault="002D6572" w:rsidP="00B32CA7">
      <w:pPr>
        <w:keepLines/>
        <w:rPr>
          <w:b/>
          <w:lang w:val="es-ES_tradnl"/>
        </w:rPr>
      </w:pPr>
      <w:r w:rsidRPr="00163098">
        <w:rPr>
          <w:b/>
          <w:lang w:val="es-ES_tradnl"/>
        </w:rPr>
        <w:t>SEGUNDA PARTE: PROYECTOS DE TEXTOS S</w:t>
      </w:r>
      <w:r w:rsidR="00D21B9B" w:rsidRPr="00163098">
        <w:rPr>
          <w:b/>
          <w:lang w:val="es-ES_tradnl"/>
        </w:rPr>
        <w:t>OBRE RECURSOS GENÉTICOS</w:t>
      </w:r>
    </w:p>
    <w:p w:rsidR="002D6572" w:rsidRPr="00163098" w:rsidRDefault="002D6572" w:rsidP="00B32CA7">
      <w:pPr>
        <w:keepLines/>
        <w:rPr>
          <w:b/>
          <w:lang w:val="es-ES_tradnl"/>
        </w:rPr>
      </w:pPr>
    </w:p>
    <w:p w:rsidR="002D6572" w:rsidRPr="00163098" w:rsidRDefault="002D6572" w:rsidP="00B32CA7">
      <w:pPr>
        <w:keepLines/>
        <w:rPr>
          <w:b/>
          <w:lang w:val="es-ES_tradnl"/>
        </w:rPr>
      </w:pPr>
      <w:r w:rsidRPr="00163098">
        <w:rPr>
          <w:b/>
          <w:lang w:val="es-ES_tradnl"/>
        </w:rPr>
        <w:t>Derechos de los pueblos indígenas sobre los recursos genéticos</w:t>
      </w:r>
    </w:p>
    <w:p w:rsidR="002D6572" w:rsidRPr="00163098" w:rsidRDefault="002D6572" w:rsidP="00B32CA7">
      <w:pPr>
        <w:keepLines/>
        <w:rPr>
          <w:lang w:val="es-ES_tradnl"/>
        </w:rPr>
      </w:pPr>
    </w:p>
    <w:p w:rsidR="00A90C6C" w:rsidRPr="00163098" w:rsidRDefault="002D6572" w:rsidP="002D6572">
      <w:pPr>
        <w:numPr>
          <w:ilvl w:val="0"/>
          <w:numId w:val="7"/>
        </w:numPr>
        <w:ind w:left="0" w:firstLine="0"/>
        <w:rPr>
          <w:lang w:val="es-ES_tradnl"/>
        </w:rPr>
      </w:pPr>
      <w:r w:rsidRPr="00163098">
        <w:rPr>
          <w:lang w:val="es-ES_tradnl"/>
        </w:rPr>
        <w:t xml:space="preserve">En la Declaración de las Naciones Unidas sobre los Derechos de los Pueblos Indígenas se establece el derecho de los pueblos indígenas a </w:t>
      </w:r>
      <w:r w:rsidR="00163098" w:rsidRPr="00163098">
        <w:rPr>
          <w:lang w:val="es-ES_tradnl"/>
        </w:rPr>
        <w:t>“</w:t>
      </w:r>
      <w:r w:rsidRPr="00163098">
        <w:rPr>
          <w:lang w:val="es-ES_tradnl"/>
        </w:rPr>
        <w:t>poseer, utilizar, controlar y desarrollar</w:t>
      </w:r>
      <w:r w:rsidR="00163098" w:rsidRPr="00163098">
        <w:rPr>
          <w:lang w:val="es-ES_tradnl"/>
        </w:rPr>
        <w:t>”</w:t>
      </w:r>
      <w:r w:rsidRPr="00163098">
        <w:rPr>
          <w:lang w:val="es-ES_tradnl"/>
        </w:rPr>
        <w:t xml:space="preserve"> los recursos que poseen en razón de la propiedad tradicional u otra ocupación tradicional y a mantener, controlar y desarrollar su patrimonio cultural, incluidos los recursos genéticos.</w:t>
      </w:r>
      <w:r w:rsidRPr="00163098">
        <w:rPr>
          <w:vertAlign w:val="superscript"/>
          <w:lang w:val="es-ES_tradnl"/>
        </w:rPr>
        <w:footnoteReference w:id="36"/>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163098">
        <w:rPr>
          <w:vertAlign w:val="superscript"/>
          <w:lang w:val="es-ES_tradnl"/>
        </w:rPr>
        <w:footnoteReference w:id="37"/>
      </w:r>
      <w:r w:rsidRPr="00163098">
        <w:rPr>
          <w:lang w:val="es-ES_tradnl"/>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Según el examen técnico realizado por el profesor Anaya, se considera que los derechos de los pueblos indígenas sobre los recursos abarcan todas las formas de </w:t>
      </w:r>
      <w:r w:rsidR="00163098" w:rsidRPr="00163098">
        <w:rPr>
          <w:lang w:val="es-ES_tradnl"/>
        </w:rPr>
        <w:t>“</w:t>
      </w:r>
      <w:r w:rsidRPr="00163098">
        <w:rPr>
          <w:lang w:val="es-ES_tradnl"/>
        </w:rPr>
        <w:t>recursos naturales</w:t>
      </w:r>
      <w:r w:rsidR="00163098" w:rsidRPr="00163098">
        <w:rPr>
          <w:lang w:val="es-ES_tradnl"/>
        </w:rPr>
        <w:t>”</w:t>
      </w:r>
      <w:r w:rsidRPr="00163098">
        <w:rPr>
          <w:lang w:val="es-ES_tradnl"/>
        </w:rPr>
        <w:t>, incluidos los RR.GG, tradicionalmente utilizados por los pueblos indígenas según pautas bien definidas.</w:t>
      </w:r>
      <w:r w:rsidRPr="00163098">
        <w:rPr>
          <w:vertAlign w:val="superscript"/>
          <w:lang w:val="es-ES_tradnl"/>
        </w:rPr>
        <w:footnoteReference w:id="38"/>
      </w:r>
      <w:r w:rsidRPr="00163098">
        <w:rPr>
          <w:lang w:val="es-ES_tradnl"/>
        </w:rPr>
        <w:t xml:space="preserve"> Los derechos de los pueblos indígenas sobre los RR.GG. también se recogen en el Protocolo de Nagoya sobre Acceso a los Recursos Genéticos y Participación Justa y Equitativa en los Beneficios que se Deriven de su Utilización al CDB (Protocolo de Nagoya).</w:t>
      </w:r>
      <w:r w:rsidRPr="00163098">
        <w:rPr>
          <w:vertAlign w:val="superscript"/>
          <w:lang w:val="es-ES_tradnl"/>
        </w:rPr>
        <w:footnoteReference w:id="39"/>
      </w:r>
      <w:r w:rsidRPr="00163098">
        <w:rPr>
          <w:i/>
          <w:lang w:val="es-ES_tradnl"/>
        </w:rPr>
        <w:t xml:space="preserve"> </w:t>
      </w:r>
      <w:r w:rsidRPr="00163098">
        <w:rPr>
          <w:lang w:val="es-ES_tradnl"/>
        </w:rPr>
        <w:t xml:space="preserve">Del mismo modo, los informes nacionales provisionales sobre el acceso y la participación en los beneficios </w:t>
      </w:r>
      <w:r w:rsidRPr="00163098">
        <w:rPr>
          <w:lang w:val="es-ES_tradnl"/>
        </w:rPr>
        <w:lastRenderedPageBreak/>
        <w:t>relativos a la aplicación del Protocolo de Nagoya confirman los derechos de los pueblos indígenas a conceder acceso a los RR.GG.</w:t>
      </w:r>
      <w:r w:rsidRPr="00163098">
        <w:rPr>
          <w:vertAlign w:val="superscript"/>
          <w:lang w:val="es-ES_tradnl"/>
        </w:rPr>
        <w:footnoteReference w:id="40"/>
      </w:r>
    </w:p>
    <w:p w:rsidR="003F70F6" w:rsidRPr="00163098" w:rsidRDefault="003F70F6" w:rsidP="003F70F6">
      <w:pPr>
        <w:rPr>
          <w:lang w:val="es-ES_tradnl"/>
        </w:rPr>
      </w:pPr>
    </w:p>
    <w:p w:rsidR="00A90C6C" w:rsidRPr="00163098" w:rsidRDefault="002D6572" w:rsidP="002D6572">
      <w:pPr>
        <w:numPr>
          <w:ilvl w:val="0"/>
          <w:numId w:val="7"/>
        </w:numPr>
        <w:ind w:left="0" w:firstLine="0"/>
        <w:rPr>
          <w:lang w:val="es-ES_tradnl"/>
        </w:rPr>
      </w:pPr>
      <w:r w:rsidRPr="00163098">
        <w:rPr>
          <w:lang w:val="es-ES_tradnl"/>
        </w:rPr>
        <w:t>En el periodo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163098">
        <w:rPr>
          <w:vertAlign w:val="superscript"/>
          <w:lang w:val="es-ES_tradnl"/>
        </w:rPr>
        <w:footnoteReference w:id="41"/>
      </w:r>
      <w:r w:rsidRPr="00163098">
        <w:rPr>
          <w:lang w:val="es-ES_tradnl"/>
        </w:rPr>
        <w:t xml:space="preserve"> Ello puede tener implicaciones para los derechos de los pueblos indígenas a poseer y controlar los recursos y a proteger, mantener y controlar los conocimientos tradicionales asociados.</w:t>
      </w:r>
      <w:r w:rsidRPr="00163098">
        <w:rPr>
          <w:vertAlign w:val="superscript"/>
          <w:lang w:val="es-ES_tradnl"/>
        </w:rPr>
        <w:footnoteReference w:id="42"/>
      </w:r>
      <w:r w:rsidRPr="00163098">
        <w:rPr>
          <w:lang w:val="es-ES_tradnl"/>
        </w:rPr>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w:t>
      </w:r>
      <w:r w:rsidR="00163098" w:rsidRPr="00163098">
        <w:rPr>
          <w:lang w:val="es-ES_tradnl"/>
        </w:rPr>
        <w:t>“</w:t>
      </w:r>
      <w:r w:rsidRPr="00163098">
        <w:rPr>
          <w:lang w:val="es-ES_tradnl"/>
        </w:rPr>
        <w:t>mecanismo incorporado</w:t>
      </w:r>
      <w:r w:rsidR="00163098" w:rsidRPr="00163098">
        <w:rPr>
          <w:lang w:val="es-ES_tradnl"/>
        </w:rPr>
        <w:t>”</w:t>
      </w:r>
      <w:r w:rsidRPr="00163098">
        <w:rPr>
          <w:lang w:val="es-ES_tradnl"/>
        </w:rPr>
        <w:t xml:space="preserve"> para abordar esas cuestiones a medida que vayan surgiendo.</w:t>
      </w:r>
      <w:r w:rsidRPr="00163098">
        <w:rPr>
          <w:vertAlign w:val="superscript"/>
          <w:lang w:val="es-ES_tradnl"/>
        </w:rPr>
        <w:footnoteReference w:id="43"/>
      </w:r>
      <w:r w:rsidRPr="00163098">
        <w:rPr>
          <w:lang w:val="es-ES_tradnl"/>
        </w:rPr>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163098">
        <w:rPr>
          <w:vertAlign w:val="superscript"/>
          <w:lang w:val="es-ES_tradnl"/>
        </w:rPr>
        <w:footnoteReference w:id="44"/>
      </w:r>
    </w:p>
    <w:p w:rsidR="002D6572" w:rsidRPr="00163098" w:rsidRDefault="002D6572" w:rsidP="002D6572">
      <w:pPr>
        <w:rPr>
          <w:lang w:val="es-ES_tradnl"/>
        </w:rPr>
      </w:pPr>
    </w:p>
    <w:p w:rsidR="002D6572" w:rsidRPr="00163098" w:rsidRDefault="002D6572" w:rsidP="00B32CA7">
      <w:pPr>
        <w:keepNext/>
        <w:rPr>
          <w:b/>
          <w:bCs/>
          <w:iCs/>
          <w:lang w:val="es-ES_tradnl"/>
        </w:rPr>
      </w:pPr>
      <w:r w:rsidRPr="00163098">
        <w:rPr>
          <w:b/>
          <w:lang w:val="es-ES_tradnl"/>
        </w:rPr>
        <w:t>Divulgación obligatoria</w:t>
      </w:r>
    </w:p>
    <w:p w:rsidR="002D6572" w:rsidRPr="00163098" w:rsidRDefault="002D6572" w:rsidP="00B32CA7">
      <w:pPr>
        <w:keepNext/>
        <w:rPr>
          <w:lang w:val="es-ES_tradnl"/>
        </w:rPr>
      </w:pPr>
    </w:p>
    <w:p w:rsidR="00A90C6C" w:rsidRPr="00163098" w:rsidRDefault="002D6572" w:rsidP="002D6572">
      <w:pPr>
        <w:numPr>
          <w:ilvl w:val="0"/>
          <w:numId w:val="7"/>
        </w:numPr>
        <w:ind w:left="0" w:firstLine="0"/>
        <w:rPr>
          <w:lang w:val="es-ES_tradnl"/>
        </w:rPr>
      </w:pPr>
      <w:r w:rsidRPr="00163098">
        <w:rPr>
          <w:lang w:val="es-ES_tradnl"/>
        </w:rPr>
        <w:t>Los proyectos de textos sobre RR.GG. y CC.TT. asociados, tanto el documento consolidado como el texto de la Presidencia, proponen un requisito de divulgación obligatoria para que los solicitantes de patentes revelen la fuente de los RR.GG. que se utilizan en sus solicitudes. La cuestión principal relacionada con los RR.GG. es si la legislación sobre patentes debe incluir un nuevo requisito de divulgación obligatoria del origen.</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lastRenderedPageBreak/>
        <w:t>La divulgación obligatoria es una medida defensiva destinada a evitar la apropiación indebida de RR.GG. y los CC.TT. asociados.</w:t>
      </w:r>
      <w:r w:rsidRPr="00163098">
        <w:rPr>
          <w:vertAlign w:val="superscript"/>
          <w:lang w:val="es-ES_tradnl"/>
        </w:rPr>
        <w:footnoteReference w:id="45"/>
      </w:r>
      <w:r w:rsidRPr="00163098">
        <w:rPr>
          <w:lang w:val="es-ES_tradnl"/>
        </w:rPr>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w:t>
      </w:r>
      <w:r w:rsidR="00163098" w:rsidRPr="00163098">
        <w:rPr>
          <w:lang w:val="es-ES_tradnl"/>
        </w:rPr>
        <w:t>“</w:t>
      </w:r>
      <w:r w:rsidRPr="00163098">
        <w:rPr>
          <w:lang w:val="es-ES_tradnl"/>
        </w:rPr>
        <w:t>país de origen</w:t>
      </w:r>
      <w:r w:rsidR="00163098" w:rsidRPr="00163098">
        <w:rPr>
          <w:lang w:val="es-ES_tradnl"/>
        </w:rPr>
        <w:t>”</w:t>
      </w:r>
      <w:r w:rsidRPr="00163098">
        <w:rPr>
          <w:lang w:val="es-ES_tradnl"/>
        </w:rPr>
        <w:t xml:space="preserve"> de los RR.GG. si las invenciones se basan material o directamente en ellos.</w:t>
      </w:r>
      <w:r w:rsidRPr="00163098">
        <w:rPr>
          <w:vertAlign w:val="superscript"/>
          <w:lang w:val="es-ES_tradnl"/>
        </w:rPr>
        <w:footnoteReference w:id="46"/>
      </w:r>
      <w:r w:rsidRPr="00163098">
        <w:rPr>
          <w:lang w:val="es-ES_tradnl"/>
        </w:rPr>
        <w:t xml:space="preserve"> Como se propone en el proyecto de 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163098">
        <w:rPr>
          <w:vertAlign w:val="superscript"/>
          <w:lang w:val="es-ES_tradnl"/>
        </w:rPr>
        <w:footnoteReference w:id="47"/>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163098">
        <w:rPr>
          <w:vertAlign w:val="superscript"/>
          <w:lang w:val="es-ES_tradnl"/>
        </w:rPr>
        <w:footnoteReference w:id="48"/>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163098">
        <w:rPr>
          <w:vertAlign w:val="superscript"/>
          <w:lang w:val="es-ES_tradnl"/>
        </w:rPr>
        <w:footnoteReference w:id="49"/>
      </w:r>
    </w:p>
    <w:p w:rsidR="002D6572" w:rsidRPr="00163098" w:rsidRDefault="002D6572" w:rsidP="002D6572">
      <w:pPr>
        <w:rPr>
          <w:lang w:val="es-ES_tradnl"/>
        </w:rPr>
      </w:pPr>
    </w:p>
    <w:p w:rsidR="00A90C6C" w:rsidRPr="00163098" w:rsidRDefault="002D6572" w:rsidP="00B32CA7">
      <w:pPr>
        <w:keepNext/>
        <w:rPr>
          <w:b/>
          <w:bCs/>
          <w:iCs/>
          <w:lang w:val="es-ES_tradnl"/>
        </w:rPr>
      </w:pPr>
      <w:r w:rsidRPr="00163098">
        <w:rPr>
          <w:b/>
          <w:lang w:val="es-ES_tradnl"/>
        </w:rPr>
        <w:t>Solución de controversias</w:t>
      </w:r>
    </w:p>
    <w:p w:rsidR="002D6572" w:rsidRPr="00163098" w:rsidRDefault="002D6572" w:rsidP="00B32CA7">
      <w:pPr>
        <w:keepNext/>
        <w:rPr>
          <w:lang w:val="es-ES_tradnl"/>
        </w:rPr>
      </w:pPr>
    </w:p>
    <w:p w:rsidR="002D6572" w:rsidRPr="00163098" w:rsidRDefault="002D6572" w:rsidP="002D6572">
      <w:pPr>
        <w:numPr>
          <w:ilvl w:val="0"/>
          <w:numId w:val="7"/>
        </w:numPr>
        <w:ind w:left="0" w:firstLine="0"/>
        <w:rPr>
          <w:lang w:val="es-ES_tradnl"/>
        </w:rPr>
      </w:pPr>
      <w:r w:rsidRPr="00163098">
        <w:rPr>
          <w:lang w:val="es-ES_tradnl"/>
        </w:rPr>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163098">
        <w:rPr>
          <w:vertAlign w:val="superscript"/>
          <w:lang w:val="es-ES_tradnl"/>
        </w:rPr>
        <w:footnoteReference w:id="50"/>
      </w:r>
      <w:r w:rsidRPr="00163098">
        <w:rPr>
          <w:lang w:val="es-ES_tradnl"/>
        </w:rPr>
        <w:t xml:space="preserve"> mientras que en el documento consolidado se proponen mecanismos adecuados de solución de controversias.</w:t>
      </w:r>
      <w:r w:rsidRPr="00163098">
        <w:rPr>
          <w:vertAlign w:val="superscript"/>
          <w:lang w:val="es-ES_tradnl"/>
        </w:rPr>
        <w:footnoteReference w:id="51"/>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w:t>
      </w:r>
      <w:r w:rsidRPr="00163098">
        <w:rPr>
          <w:lang w:val="es-ES_tradnl"/>
        </w:rPr>
        <w:lastRenderedPageBreak/>
        <w:t>derechos y de instaurar procedimientos equitativos, independientes, imparciales, abiertos y transparentes para reconocer y dirimir los derechos de los pueblos indígenas.</w:t>
      </w:r>
      <w:r w:rsidRPr="00163098">
        <w:rPr>
          <w:vertAlign w:val="superscript"/>
          <w:lang w:val="es-ES_tradnl"/>
        </w:rPr>
        <w:footnoteReference w:id="52"/>
      </w:r>
    </w:p>
    <w:p w:rsidR="002D6572" w:rsidRPr="00163098" w:rsidRDefault="002D6572" w:rsidP="002D6572">
      <w:pPr>
        <w:rPr>
          <w:lang w:val="es-ES_tradnl"/>
        </w:rPr>
      </w:pPr>
    </w:p>
    <w:p w:rsidR="002D6572" w:rsidRPr="00163098" w:rsidRDefault="002D6572" w:rsidP="00B32CA7">
      <w:pPr>
        <w:keepNext/>
        <w:rPr>
          <w:b/>
          <w:bCs/>
          <w:lang w:val="es-ES_tradnl"/>
        </w:rPr>
      </w:pPr>
      <w:r w:rsidRPr="00163098">
        <w:rPr>
          <w:b/>
          <w:lang w:val="es-ES_tradnl"/>
        </w:rPr>
        <w:t>Trazabilidad</w:t>
      </w:r>
    </w:p>
    <w:p w:rsidR="002D6572" w:rsidRPr="00163098" w:rsidRDefault="002D6572" w:rsidP="00B32CA7">
      <w:pPr>
        <w:keepNext/>
        <w:rPr>
          <w:lang w:val="es-ES_tradnl"/>
        </w:rPr>
      </w:pPr>
    </w:p>
    <w:p w:rsidR="00A90C6C" w:rsidRPr="00163098" w:rsidRDefault="002D6572" w:rsidP="002D6572">
      <w:pPr>
        <w:numPr>
          <w:ilvl w:val="0"/>
          <w:numId w:val="7"/>
        </w:numPr>
        <w:ind w:left="0" w:firstLine="0"/>
        <w:rPr>
          <w:lang w:val="es-ES_tradnl"/>
        </w:rPr>
      </w:pPr>
      <w:r w:rsidRPr="00163098">
        <w:rPr>
          <w:lang w:val="es-ES_tradnl"/>
        </w:rP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las futuras negociaciones del CIG. La trazabilidad puede ser asistida por tecnologías como la cadena de bloques.</w:t>
      </w:r>
      <w:r w:rsidRPr="00163098">
        <w:rPr>
          <w:vertAlign w:val="superscript"/>
          <w:lang w:val="es-ES_tradnl"/>
        </w:rPr>
        <w:footnoteReference w:id="53"/>
      </w:r>
      <w:r w:rsidRPr="00163098">
        <w:rPr>
          <w:lang w:val="es-ES_tradnl"/>
        </w:rPr>
        <w:t xml:space="preserve"> Estas medidas innovadoras requieren la participación fundamentada de los pueblos indígenas para determinar los riesgos y beneficios.</w:t>
      </w:r>
    </w:p>
    <w:p w:rsidR="002D6572" w:rsidRPr="00163098" w:rsidRDefault="002D6572" w:rsidP="002D6572">
      <w:pPr>
        <w:rPr>
          <w:b/>
          <w:bCs/>
          <w:lang w:val="es-ES_tradnl"/>
        </w:rPr>
      </w:pPr>
    </w:p>
    <w:p w:rsidR="00A90C6C" w:rsidRPr="00163098" w:rsidRDefault="00A90C6C" w:rsidP="00B32CA7">
      <w:pPr>
        <w:keepNext/>
        <w:rPr>
          <w:b/>
          <w:lang w:val="es-ES_tradnl"/>
        </w:rPr>
      </w:pPr>
      <w:r w:rsidRPr="00163098">
        <w:rPr>
          <w:b/>
          <w:lang w:val="es-ES_tradnl"/>
        </w:rPr>
        <w:t>TERCERA PARTE: CONSIDERACIONES FINALES</w:t>
      </w:r>
    </w:p>
    <w:p w:rsidR="002D6572" w:rsidRPr="00163098" w:rsidRDefault="002D6572" w:rsidP="00B32CA7">
      <w:pPr>
        <w:keepNext/>
        <w:rPr>
          <w:lang w:val="es-ES_tradnl"/>
        </w:rPr>
      </w:pPr>
    </w:p>
    <w:p w:rsidR="00A90C6C" w:rsidRPr="00163098" w:rsidRDefault="002D6572" w:rsidP="002D6572">
      <w:pPr>
        <w:numPr>
          <w:ilvl w:val="0"/>
          <w:numId w:val="7"/>
        </w:numPr>
        <w:ind w:left="0" w:firstLine="0"/>
        <w:rPr>
          <w:lang w:val="es-ES_tradnl"/>
        </w:rPr>
      </w:pPr>
      <w:r w:rsidRPr="00163098">
        <w:rPr>
          <w:lang w:val="es-ES_tradnl"/>
        </w:rPr>
        <w:t>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w:t>
      </w:r>
    </w:p>
    <w:p w:rsidR="002D6572" w:rsidRPr="00163098" w:rsidRDefault="002D6572" w:rsidP="002D6572">
      <w:pPr>
        <w:rPr>
          <w:lang w:val="es-ES_tradnl"/>
        </w:rPr>
      </w:pPr>
    </w:p>
    <w:p w:rsidR="00A90C6C" w:rsidRPr="00163098" w:rsidRDefault="002D6572" w:rsidP="002D6572">
      <w:pPr>
        <w:numPr>
          <w:ilvl w:val="0"/>
          <w:numId w:val="7"/>
        </w:numPr>
        <w:ind w:left="0" w:firstLine="0"/>
        <w:rPr>
          <w:lang w:val="es-ES_tradnl"/>
        </w:rPr>
      </w:pPr>
      <w:r w:rsidRPr="00163098">
        <w:rPr>
          <w:lang w:val="es-ES_tradnl"/>
        </w:rPr>
        <w:t>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w:t>
      </w:r>
    </w:p>
    <w:p w:rsidR="002D6572" w:rsidRPr="00163098" w:rsidRDefault="002D6572" w:rsidP="002D6572">
      <w:pPr>
        <w:rPr>
          <w:lang w:val="es-ES_tradnl"/>
        </w:rPr>
      </w:pPr>
    </w:p>
    <w:p w:rsidR="002D6572" w:rsidRPr="00163098" w:rsidRDefault="002D6572" w:rsidP="002D6572">
      <w:pPr>
        <w:numPr>
          <w:ilvl w:val="0"/>
          <w:numId w:val="7"/>
        </w:numPr>
        <w:ind w:left="0" w:firstLine="0"/>
        <w:rPr>
          <w:lang w:val="es-ES_tradnl"/>
        </w:rPr>
      </w:pPr>
      <w:r w:rsidRPr="00163098">
        <w:rPr>
          <w:lang w:val="es-ES_tradnl"/>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163098">
        <w:rPr>
          <w:vertAlign w:val="superscript"/>
          <w:lang w:val="es-ES_tradnl"/>
        </w:rPr>
        <w:footnoteReference w:id="54"/>
      </w:r>
    </w:p>
    <w:p w:rsidR="002D6572" w:rsidRPr="00163098" w:rsidRDefault="002D6572" w:rsidP="002D6572">
      <w:pPr>
        <w:rPr>
          <w:lang w:val="es-ES_tradnl"/>
        </w:rPr>
      </w:pPr>
    </w:p>
    <w:p w:rsidR="002D6572" w:rsidRPr="00163098" w:rsidRDefault="002D6572" w:rsidP="002D6572">
      <w:pPr>
        <w:rPr>
          <w:lang w:val="es-ES_tradnl"/>
        </w:rPr>
      </w:pPr>
    </w:p>
    <w:p w:rsidR="002928D3" w:rsidRPr="00163098" w:rsidRDefault="002D6572" w:rsidP="007F32A3">
      <w:pPr>
        <w:ind w:left="5533"/>
        <w:rPr>
          <w:lang w:val="es-ES_tradnl"/>
        </w:rPr>
      </w:pPr>
      <w:r w:rsidRPr="00163098">
        <w:rPr>
          <w:lang w:val="es-ES_tradnl"/>
        </w:rPr>
        <w:t>[Fin del anexo y del documento]</w:t>
      </w:r>
    </w:p>
    <w:sectPr w:rsidR="002928D3" w:rsidRPr="00163098" w:rsidSect="005E1C93">
      <w:headerReference w:type="even" r:id="rId11"/>
      <w:headerReference w:type="default" r:id="rId12"/>
      <w:footerReference w:type="even" r:id="rId13"/>
      <w:foot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2C6" w:rsidRDefault="004A52C6">
      <w:r>
        <w:separator/>
      </w:r>
    </w:p>
  </w:endnote>
  <w:endnote w:type="continuationSeparator" w:id="0">
    <w:p w:rsidR="004A52C6" w:rsidRDefault="004A52C6" w:rsidP="003B38C1">
      <w:r>
        <w:separator/>
      </w:r>
    </w:p>
    <w:p w:rsidR="004A52C6" w:rsidRPr="00163098" w:rsidRDefault="004A52C6" w:rsidP="003B38C1">
      <w:pPr>
        <w:spacing w:after="60"/>
        <w:rPr>
          <w:sz w:val="17"/>
          <w:lang w:val="en-US"/>
        </w:rPr>
      </w:pPr>
      <w:r w:rsidRPr="00163098">
        <w:rPr>
          <w:sz w:val="17"/>
          <w:lang w:val="en-US"/>
        </w:rPr>
        <w:t>[Endnote continued from previous page]</w:t>
      </w:r>
    </w:p>
  </w:endnote>
  <w:endnote w:type="continuationNotice" w:id="1">
    <w:p w:rsidR="004A52C6" w:rsidRPr="00163098" w:rsidRDefault="004A52C6" w:rsidP="003B38C1">
      <w:pPr>
        <w:spacing w:before="60"/>
        <w:jc w:val="right"/>
        <w:rPr>
          <w:sz w:val="17"/>
          <w:szCs w:val="17"/>
          <w:lang w:val="en-US"/>
        </w:rPr>
      </w:pPr>
      <w:r w:rsidRPr="0016309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Pr="00163098" w:rsidRDefault="000F2AD2" w:rsidP="00163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2C6" w:rsidRDefault="004A52C6">
      <w:r>
        <w:separator/>
      </w:r>
    </w:p>
  </w:footnote>
  <w:footnote w:type="continuationSeparator" w:id="0">
    <w:p w:rsidR="004A52C6" w:rsidRDefault="004A52C6" w:rsidP="008B60B2">
      <w:r>
        <w:separator/>
      </w:r>
    </w:p>
    <w:p w:rsidR="004A52C6" w:rsidRPr="00163098" w:rsidRDefault="004A52C6" w:rsidP="008B60B2">
      <w:pPr>
        <w:spacing w:after="60"/>
        <w:rPr>
          <w:sz w:val="17"/>
          <w:szCs w:val="17"/>
          <w:lang w:val="en-US"/>
        </w:rPr>
      </w:pPr>
      <w:r w:rsidRPr="00163098">
        <w:rPr>
          <w:sz w:val="17"/>
          <w:szCs w:val="17"/>
          <w:lang w:val="en-US"/>
        </w:rPr>
        <w:t>[Footnote continued from previous page]</w:t>
      </w:r>
    </w:p>
  </w:footnote>
  <w:footnote w:type="continuationNotice" w:id="1">
    <w:p w:rsidR="004A52C6" w:rsidRPr="00163098" w:rsidRDefault="004A52C6" w:rsidP="008B60B2">
      <w:pPr>
        <w:spacing w:before="60"/>
        <w:jc w:val="right"/>
        <w:rPr>
          <w:sz w:val="17"/>
          <w:szCs w:val="17"/>
          <w:lang w:val="en-US"/>
        </w:rPr>
      </w:pPr>
      <w:r w:rsidRPr="00163098">
        <w:rPr>
          <w:sz w:val="17"/>
          <w:szCs w:val="17"/>
          <w:lang w:val="en-US"/>
        </w:rPr>
        <w:t>[Footnote continued on next page]</w:t>
      </w:r>
    </w:p>
  </w:footnote>
  <w:footnote w:id="2">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Véanse las decisiones de la cuadragésima sesión del Comité, página 3.</w:t>
      </w:r>
    </w:p>
  </w:footnote>
  <w:footnote w:id="3">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Foro Permanente de las Naciones Unidas para las Cuestiones Indígenas, informe del decimoctavo </w:t>
      </w:r>
      <w:r w:rsidR="00C92E4A" w:rsidRPr="00163098">
        <w:rPr>
          <w:szCs w:val="18"/>
          <w:lang w:val="es-ES_tradnl"/>
        </w:rPr>
        <w:t>periodo</w:t>
      </w:r>
      <w:r w:rsidRPr="00163098">
        <w:rPr>
          <w:szCs w:val="18"/>
          <w:lang w:val="es-ES_tradnl"/>
        </w:rPr>
        <w:t xml:space="preserve"> de sesiones, E/2019/43-E/C. 19/2019/10. Véase el párrafo 10 del documento, disponible en https://www.un.org/development/desa/indigenouspeoples/news/2019/06/18-session-report/</w:t>
      </w:r>
      <w:r w:rsidRPr="00163098">
        <w:rPr>
          <w:rStyle w:val="Hyperlink"/>
          <w:szCs w:val="18"/>
          <w:u w:val="none"/>
          <w:lang w:val="es-ES_tradnl"/>
        </w:rPr>
        <w:t>.</w:t>
      </w:r>
    </w:p>
  </w:footnote>
  <w:footnote w:id="4">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Documento WIPO/GRTKF/IC/29/INF/10, disponible en https://www.wipo.int/edocs/mdocs/tk/es/wipo_grtkf_ic_29/wipo_grtkf_ic_29_inf_10.pdf</w:t>
      </w:r>
      <w:r w:rsidRPr="00163098">
        <w:rPr>
          <w:rStyle w:val="Hyperlink"/>
          <w:szCs w:val="18"/>
          <w:u w:val="none"/>
          <w:lang w:val="es-ES_tradnl"/>
        </w:rPr>
        <w:t>.</w:t>
      </w:r>
    </w:p>
  </w:footnote>
  <w:footnote w:id="5">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E/2019/43-E/C.19/10, párrafo 10.</w:t>
      </w:r>
    </w:p>
  </w:footnote>
  <w:footnote w:id="6">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w:t>
      </w:r>
      <w:bookmarkStart w:id="3" w:name="_Hlk49439221"/>
      <w:r w:rsidRPr="00163098">
        <w:rPr>
          <w:szCs w:val="18"/>
          <w:lang w:val="es-ES_tradnl"/>
        </w:rPr>
        <w:t>WIPO/GRTKF/IC/29/INF/10, párrafo 11</w:t>
      </w:r>
      <w:bookmarkEnd w:id="3"/>
      <w:r w:rsidRPr="00163098">
        <w:rPr>
          <w:szCs w:val="18"/>
          <w:lang w:val="es-ES_tradnl"/>
        </w:rPr>
        <w:t>.</w:t>
      </w:r>
    </w:p>
  </w:footnote>
  <w:footnote w:id="7">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Quincuagésimo primer </w:t>
      </w:r>
      <w:r w:rsidR="00C92E4A" w:rsidRPr="00163098">
        <w:rPr>
          <w:szCs w:val="18"/>
          <w:lang w:val="es-ES_tradnl"/>
        </w:rPr>
        <w:t>periodo</w:t>
      </w:r>
      <w:r w:rsidRPr="00163098">
        <w:rPr>
          <w:szCs w:val="18"/>
          <w:lang w:val="es-ES_tradnl"/>
        </w:rPr>
        <w:t xml:space="preserve">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w:t>
      </w:r>
      <w:r w:rsidRPr="00163098">
        <w:rPr>
          <w:szCs w:val="18"/>
          <w:u w:val="single"/>
          <w:lang w:val="es-ES_tradnl"/>
        </w:rPr>
        <w:t xml:space="preserve"> </w:t>
      </w:r>
      <w:r w:rsidRPr="00163098">
        <w:rPr>
          <w:szCs w:val="18"/>
          <w:lang w:val="es-ES_tradnl"/>
        </w:rPr>
        <w:t>https://www.wipo.int/meetings/es/doc_details.jsp?doc_id=443934.</w:t>
      </w:r>
    </w:p>
  </w:footnote>
  <w:footnote w:id="8">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Quincuagésimo primer </w:t>
      </w:r>
      <w:r w:rsidR="00C92E4A" w:rsidRPr="00163098">
        <w:rPr>
          <w:szCs w:val="18"/>
          <w:lang w:val="es-ES_tradnl"/>
        </w:rPr>
        <w:t>periodo</w:t>
      </w:r>
      <w:r w:rsidRPr="00163098">
        <w:rPr>
          <w:szCs w:val="18"/>
          <w:lang w:val="es-ES_tradnl"/>
        </w:rPr>
        <w:t xml:space="preserve">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https://www.wipo.int/meetings/es/doc_details.jsp?doc_id=443934.</w:t>
      </w:r>
    </w:p>
  </w:footnote>
  <w:footnote w:id="9">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Quincuagésimo primer </w:t>
      </w:r>
      <w:r w:rsidR="00C92E4A" w:rsidRPr="00163098">
        <w:rPr>
          <w:szCs w:val="18"/>
          <w:lang w:val="es-ES_tradnl"/>
        </w:rPr>
        <w:t>periodo</w:t>
      </w:r>
      <w:r w:rsidRPr="00163098">
        <w:rPr>
          <w:szCs w:val="18"/>
          <w:lang w:val="es-ES_tradnl"/>
        </w:rPr>
        <w:t xml:space="preserve">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https://www.wipo.int/meetings/es/doc_details.jsp?doc_id=443934</w:t>
      </w:r>
      <w:r w:rsidRPr="00163098">
        <w:rPr>
          <w:rStyle w:val="Hyperlink"/>
          <w:color w:val="auto"/>
          <w:szCs w:val="18"/>
          <w:u w:val="none"/>
          <w:lang w:val="es-ES_tradnl"/>
        </w:rPr>
        <w:t>,</w:t>
      </w:r>
      <w:r w:rsidRPr="00163098">
        <w:rPr>
          <w:rStyle w:val="Hyperlink"/>
          <w:szCs w:val="18"/>
          <w:u w:val="none"/>
          <w:lang w:val="es-ES_tradnl"/>
        </w:rPr>
        <w:t xml:space="preserve"> </w:t>
      </w:r>
      <w:r w:rsidRPr="00163098">
        <w:rPr>
          <w:szCs w:val="18"/>
          <w:lang w:val="es-ES_tradnl"/>
        </w:rPr>
        <w:t>y anexo IV: Proyecto de instrumento jurídico internacional relativo a la propiedad intelectual, los recursos genéticos y los conocimientos tradicionales asociados a los recursos genéticos, preparado por el Sr. Ian Goss, disponible en</w:t>
      </w:r>
      <w:r w:rsidRPr="00163098">
        <w:rPr>
          <w:rStyle w:val="Hyperlink"/>
          <w:color w:val="auto"/>
          <w:szCs w:val="18"/>
          <w:u w:val="none"/>
          <w:lang w:val="es-ES_tradnl"/>
        </w:rPr>
        <w:t xml:space="preserve"> https://www.wipo.int/meetings/es/doc_details.jsp?doc_id=443934</w:t>
      </w:r>
      <w:r w:rsidRPr="00163098">
        <w:rPr>
          <w:szCs w:val="18"/>
          <w:lang w:val="es-ES_tradnl"/>
        </w:rPr>
        <w:t>.</w:t>
      </w:r>
    </w:p>
  </w:footnote>
  <w:footnote w:id="10">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Véase el anexo C1, disponible en</w:t>
      </w:r>
      <w:r w:rsidRPr="00163098">
        <w:rPr>
          <w:rStyle w:val="Hyperlink"/>
          <w:color w:val="auto"/>
          <w:sz w:val="18"/>
          <w:szCs w:val="18"/>
          <w:u w:val="none"/>
          <w:lang w:val="es-ES_tradnl"/>
        </w:rPr>
        <w:t xml:space="preserve"> https://www.wto.org/spanish/docs_s/legal_s/27-trips.pdf</w:t>
      </w:r>
      <w:r w:rsidRPr="00163098">
        <w:rPr>
          <w:sz w:val="18"/>
          <w:szCs w:val="18"/>
          <w:lang w:val="es-ES_tradnl"/>
        </w:rPr>
        <w:t>.</w:t>
      </w:r>
    </w:p>
  </w:footnote>
  <w:footnote w:id="11">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artículo 4, disponible en https://undocs.org/A/RES/61/295.</w:t>
      </w:r>
    </w:p>
  </w:footnote>
  <w:footnote w:id="12">
    <w:p w:rsidR="002D6572" w:rsidRPr="00163098" w:rsidRDefault="002D6572" w:rsidP="002D6572">
      <w:pPr>
        <w:pStyle w:val="FootnoteText"/>
        <w:rPr>
          <w:szCs w:val="18"/>
          <w:lang w:val="es-ES_tradnl"/>
        </w:rPr>
      </w:pPr>
      <w:r w:rsidRPr="00163098">
        <w:rPr>
          <w:rStyle w:val="FootnoteReference"/>
          <w:szCs w:val="18"/>
          <w:lang w:val="es-ES_tradnl"/>
        </w:rPr>
        <w:footnoteRef/>
      </w:r>
      <w:r w:rsidR="0012386A" w:rsidRPr="00163098">
        <w:rPr>
          <w:szCs w:val="18"/>
          <w:lang w:val="es-ES_tradnl"/>
        </w:rPr>
        <w:t xml:space="preserve"> </w:t>
      </w:r>
      <w:r w:rsidRPr="00163098">
        <w:rPr>
          <w:szCs w:val="18"/>
          <w:lang w:val="es-ES_tradnl"/>
        </w:rPr>
        <w:t>Declaración de las Naciones Unidas sobre los Derechos de los Pueblos Indígenas, artículo 19.</w:t>
      </w:r>
    </w:p>
  </w:footnote>
  <w:footnote w:id="13">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w:t>
      </w:r>
      <w:r w:rsidRPr="00163098">
        <w:rPr>
          <w:i/>
          <w:szCs w:val="18"/>
          <w:lang w:val="es-ES_tradnl"/>
        </w:rPr>
        <w:t>Sui generis</w:t>
      </w:r>
      <w:r w:rsidRPr="00163098">
        <w:rPr>
          <w:szCs w:val="18"/>
          <w:lang w:val="es-ES_tradnl"/>
        </w:rPr>
        <w:t xml:space="preserve">, según el </w:t>
      </w:r>
      <w:r w:rsidRPr="00163098">
        <w:rPr>
          <w:i/>
          <w:iCs/>
          <w:szCs w:val="18"/>
          <w:lang w:val="es-ES_tradnl"/>
        </w:rPr>
        <w:t>Black's Law Dictionary</w:t>
      </w:r>
      <w:r w:rsidRPr="00163098">
        <w:rPr>
          <w:szCs w:val="18"/>
          <w:lang w:val="es-ES_tradnl"/>
        </w:rPr>
        <w:t>, significa de su propio tipo o clase, único o peculiar.</w:t>
      </w:r>
    </w:p>
  </w:footnote>
  <w:footnote w:id="14">
    <w:p w:rsidR="002D6572" w:rsidRPr="00734F88" w:rsidRDefault="002D6572" w:rsidP="002D6572">
      <w:pPr>
        <w:rPr>
          <w:rFonts w:eastAsia="Times New Roman"/>
          <w:sz w:val="18"/>
          <w:szCs w:val="18"/>
          <w:lang w:val="en-US"/>
        </w:rPr>
      </w:pPr>
      <w:r w:rsidRPr="00163098">
        <w:rPr>
          <w:rStyle w:val="FootnoteReference"/>
          <w:sz w:val="18"/>
          <w:szCs w:val="18"/>
          <w:lang w:val="es-ES_tradnl"/>
        </w:rPr>
        <w:footnoteRef/>
      </w:r>
      <w:r w:rsidRPr="00163098">
        <w:rPr>
          <w:i/>
          <w:sz w:val="18"/>
          <w:szCs w:val="18"/>
          <w:lang w:val="es-ES_tradnl"/>
        </w:rPr>
        <w:t xml:space="preserve"> </w:t>
      </w:r>
      <w:r w:rsidRPr="00163098">
        <w:rPr>
          <w:sz w:val="18"/>
          <w:szCs w:val="18"/>
          <w:lang w:val="es-ES_tradnl"/>
        </w:rPr>
        <w:t xml:space="preserve">Declaración de las Naciones Unidas sobre los Derechos de los Pueblos Indígenas, art. 28.1); Natalie P Stoianoff y Alpana Roy, </w:t>
      </w:r>
      <w:r w:rsidRPr="00163098">
        <w:rPr>
          <w:i/>
          <w:sz w:val="18"/>
          <w:szCs w:val="18"/>
          <w:lang w:val="es-ES_tradnl"/>
        </w:rPr>
        <w:t>Indigenous Knowledge and Culture in Australia – The Case for Sui Generis Legislation</w:t>
      </w:r>
      <w:r w:rsidRPr="00163098">
        <w:rPr>
          <w:sz w:val="18"/>
          <w:szCs w:val="18"/>
          <w:lang w:val="es-ES_tradnl"/>
        </w:rPr>
        <w:t xml:space="preserve"> (SSRN Scholarly Paper No ID 2765827, Social Science Research Network, 31 de diciembre de 2015), 748. </w:t>
      </w:r>
      <w:r w:rsidRPr="00734F88">
        <w:rPr>
          <w:sz w:val="18"/>
          <w:szCs w:val="18"/>
          <w:lang w:val="en-US"/>
        </w:rPr>
        <w:t xml:space="preserve">&lt;https://papers.ssrn.com/abstract=2765827&gt;; Graham Dutfield, </w:t>
      </w:r>
      <w:r w:rsidR="00163098" w:rsidRPr="00734F88">
        <w:rPr>
          <w:sz w:val="18"/>
          <w:szCs w:val="18"/>
          <w:lang w:val="en-US"/>
        </w:rPr>
        <w:t>“</w:t>
      </w:r>
      <w:r w:rsidRPr="00734F88">
        <w:rPr>
          <w:sz w:val="18"/>
          <w:szCs w:val="18"/>
          <w:lang w:val="en-US"/>
        </w:rPr>
        <w:t>Legal and Economic Aspects of Traditional Knowledge</w:t>
      </w:r>
      <w:r w:rsidR="00163098" w:rsidRPr="00734F88">
        <w:rPr>
          <w:sz w:val="18"/>
          <w:szCs w:val="18"/>
          <w:lang w:val="en-US"/>
        </w:rPr>
        <w:t>”</w:t>
      </w:r>
      <w:r w:rsidRPr="00734F88">
        <w:rPr>
          <w:sz w:val="18"/>
          <w:szCs w:val="18"/>
          <w:lang w:val="en-US"/>
        </w:rPr>
        <w:t xml:space="preserve"> en Keith E Maskus y Jerome H Reichman (eds.), </w:t>
      </w:r>
      <w:r w:rsidRPr="00734F88">
        <w:rPr>
          <w:i/>
          <w:sz w:val="18"/>
          <w:szCs w:val="18"/>
          <w:lang w:val="en-US"/>
        </w:rPr>
        <w:t>International Public Goods and Transfer of Technology Under a Globalized Intellectual Property Regime</w:t>
      </w:r>
      <w:r w:rsidRPr="00734F88">
        <w:rPr>
          <w:sz w:val="18"/>
          <w:szCs w:val="18"/>
          <w:lang w:val="en-US"/>
        </w:rPr>
        <w:t xml:space="preserve"> (Cambridge University Press, 1.ª ed., 2005), 506.</w:t>
      </w:r>
    </w:p>
  </w:footnote>
  <w:footnote w:id="15">
    <w:p w:rsidR="002D6572" w:rsidRPr="00163098" w:rsidRDefault="002D6572" w:rsidP="002D6572">
      <w:pPr>
        <w:rPr>
          <w:rFonts w:eastAsia="Times New Roman"/>
          <w:sz w:val="18"/>
          <w:szCs w:val="18"/>
          <w:lang w:val="es-ES_tradnl"/>
        </w:rPr>
      </w:pPr>
      <w:r w:rsidRPr="00163098">
        <w:rPr>
          <w:rStyle w:val="FootnoteReference"/>
          <w:sz w:val="18"/>
          <w:szCs w:val="18"/>
          <w:lang w:val="es-ES_tradnl"/>
        </w:rPr>
        <w:footnoteRef/>
      </w:r>
      <w:r w:rsidR="0012386A" w:rsidRPr="00163098">
        <w:rPr>
          <w:sz w:val="18"/>
          <w:szCs w:val="18"/>
          <w:lang w:val="es-ES_tradnl"/>
        </w:rPr>
        <w:t xml:space="preserve"> </w:t>
      </w:r>
      <w:r w:rsidRPr="00163098">
        <w:rPr>
          <w:sz w:val="18"/>
          <w:szCs w:val="18"/>
          <w:lang w:val="es-ES_tradnl"/>
        </w:rPr>
        <w:t>Declaración de las Naciones Unidas sobre los Derechos de los Pueblos Indígenas, art. 28.1).</w:t>
      </w:r>
    </w:p>
  </w:footnote>
  <w:footnote w:id="16">
    <w:p w:rsidR="002D6572" w:rsidRPr="00163098" w:rsidRDefault="002D6572" w:rsidP="002D6572">
      <w:pPr>
        <w:rPr>
          <w:rFonts w:eastAsia="Times New Roman"/>
          <w:sz w:val="18"/>
          <w:szCs w:val="18"/>
          <w:lang w:val="es-ES_tradnl"/>
        </w:rPr>
      </w:pPr>
      <w:r w:rsidRPr="00163098">
        <w:rPr>
          <w:rStyle w:val="FootnoteReference"/>
          <w:sz w:val="18"/>
          <w:szCs w:val="18"/>
          <w:lang w:val="es-ES_tradnl"/>
        </w:rPr>
        <w:footnoteRef/>
      </w:r>
      <w:r w:rsidRPr="00734F88">
        <w:rPr>
          <w:sz w:val="18"/>
          <w:szCs w:val="18"/>
          <w:lang w:val="en-US"/>
        </w:rPr>
        <w:t xml:space="preserve"> Natalie P Stoianoff y Alpana Roy, </w:t>
      </w:r>
      <w:r w:rsidRPr="00734F88">
        <w:rPr>
          <w:i/>
          <w:sz w:val="18"/>
          <w:szCs w:val="18"/>
          <w:lang w:val="en-US"/>
        </w:rPr>
        <w:t>Indigenous Knowledge and Culture in Australia – The Case for Sui Generis Legislation</w:t>
      </w:r>
      <w:r w:rsidRPr="00734F88">
        <w:rPr>
          <w:sz w:val="18"/>
          <w:szCs w:val="18"/>
          <w:lang w:val="en-US"/>
        </w:rPr>
        <w:t xml:space="preserve"> (SSRN Scholarly Paper No ID 2765827, Social Science Research Network, 31 de diciembre de 2015), 748. </w:t>
      </w:r>
      <w:r w:rsidRPr="00163098">
        <w:rPr>
          <w:sz w:val="18"/>
          <w:szCs w:val="18"/>
          <w:lang w:val="es-ES_tradnl"/>
        </w:rPr>
        <w:t>&lt;https://papers.ssrn.com/abstract=2765827&gt;.</w:t>
      </w:r>
    </w:p>
  </w:footnote>
  <w:footnote w:id="17">
    <w:p w:rsidR="002D6572" w:rsidRPr="00163098" w:rsidRDefault="002D6572" w:rsidP="002D6572">
      <w:pPr>
        <w:rPr>
          <w:sz w:val="18"/>
          <w:szCs w:val="18"/>
          <w:lang w:val="es-ES_tradnl"/>
        </w:rPr>
      </w:pPr>
      <w:r w:rsidRPr="00163098">
        <w:rPr>
          <w:rStyle w:val="FootnoteReference"/>
          <w:sz w:val="18"/>
          <w:szCs w:val="18"/>
          <w:lang w:val="es-ES_tradnl"/>
        </w:rPr>
        <w:footnoteRef/>
      </w:r>
      <w:r w:rsidR="0012386A" w:rsidRPr="00163098">
        <w:rPr>
          <w:sz w:val="18"/>
          <w:szCs w:val="18"/>
          <w:lang w:val="es-ES_tradnl"/>
        </w:rPr>
        <w:t xml:space="preserve"> </w:t>
      </w:r>
      <w:r w:rsidRPr="00163098">
        <w:rPr>
          <w:sz w:val="18"/>
          <w:szCs w:val="18"/>
          <w:lang w:val="es-ES_tradnl"/>
        </w:rPr>
        <w:t>Declaración de las Naciones Unidas sobre los Derechos de los Pueblos Indígenas, art. 32.2), art. 18, art. 34; Informe sobre los registros de conocimientos tradicionales y bases de datos de conocimientos tradicionales conexos - UNEP/CBD/WG8J/4/INF/9.</w:t>
      </w:r>
    </w:p>
  </w:footnote>
  <w:footnote w:id="18">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 11.2), art. 28; Convención Internacional sobre la Eliminación de todas las Formas de Discriminación Racial </w:t>
      </w:r>
      <w:r w:rsidRPr="00163098">
        <w:rPr>
          <w:i/>
          <w:szCs w:val="18"/>
          <w:lang w:val="es-ES_tradnl"/>
        </w:rPr>
        <w:t>(ICERD)</w:t>
      </w:r>
      <w:r w:rsidRPr="00163098">
        <w:rPr>
          <w:szCs w:val="18"/>
          <w:lang w:val="es-ES_tradnl"/>
        </w:rPr>
        <w:t>, art. 2.2).</w:t>
      </w:r>
    </w:p>
  </w:footnote>
  <w:footnote w:id="19">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 11.2).</w:t>
      </w:r>
    </w:p>
  </w:footnote>
  <w:footnote w:id="20">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w:t>
      </w:r>
      <w:bookmarkStart w:id="4" w:name="_Hlk49439119"/>
      <w:r w:rsidRPr="00163098">
        <w:rPr>
          <w:szCs w:val="18"/>
          <w:lang w:val="es-ES_tradnl"/>
        </w:rPr>
        <w:t>Informe de la 35.ª sesión del CIG, celebrada del 12 al 23 de marzo de 2018, declaración de la Fundación Tebtebba en nombre del Grupo Oficioso de Representantes Indígenas, párrafo 23, documento OMPI/GRTKF/IC/35/10.</w:t>
      </w:r>
      <w:bookmarkEnd w:id="4"/>
    </w:p>
  </w:footnote>
  <w:footnote w:id="21">
    <w:p w:rsidR="002D6572" w:rsidRPr="00734F88" w:rsidRDefault="002D6572" w:rsidP="002D6572">
      <w:pPr>
        <w:pStyle w:val="FootnoteText"/>
        <w:rPr>
          <w:szCs w:val="18"/>
          <w:lang w:val="fr-CH"/>
        </w:rPr>
      </w:pPr>
      <w:r w:rsidRPr="00163098">
        <w:rPr>
          <w:rStyle w:val="FootnoteReference"/>
          <w:szCs w:val="18"/>
          <w:lang w:val="es-ES_tradnl"/>
        </w:rPr>
        <w:footnoteRef/>
      </w:r>
      <w:r w:rsidRPr="00734F88">
        <w:rPr>
          <w:szCs w:val="18"/>
          <w:lang w:val="fr-CH"/>
        </w:rPr>
        <w:t xml:space="preserve"> Véase: https://www.cbd.int/doc/guidelines/cbd-RutzolijirisaxikGuidelines-en.pdf.</w:t>
      </w:r>
    </w:p>
  </w:footnote>
  <w:footnote w:id="22">
    <w:p w:rsidR="002D6572" w:rsidRPr="00734F88" w:rsidRDefault="002D6572" w:rsidP="002D6572">
      <w:pPr>
        <w:pStyle w:val="FootnoteText"/>
        <w:rPr>
          <w:szCs w:val="18"/>
          <w:lang w:val="en-US"/>
        </w:rPr>
      </w:pPr>
      <w:r w:rsidRPr="00163098">
        <w:rPr>
          <w:rStyle w:val="FootnoteReference"/>
          <w:szCs w:val="18"/>
          <w:lang w:val="es-ES_tradnl"/>
        </w:rPr>
        <w:footnoteRef/>
      </w:r>
      <w:r w:rsidRPr="00734F88">
        <w:rPr>
          <w:szCs w:val="18"/>
          <w:lang w:val="en-US"/>
        </w:rPr>
        <w:t xml:space="preserve"> Directrices </w:t>
      </w:r>
      <w:r w:rsidRPr="00734F88">
        <w:rPr>
          <w:i/>
          <w:iCs/>
          <w:szCs w:val="18"/>
          <w:lang w:val="en-US"/>
        </w:rPr>
        <w:t>rutzolijirisaxik</w:t>
      </w:r>
      <w:r w:rsidRPr="00734F88">
        <w:rPr>
          <w:szCs w:val="18"/>
          <w:lang w:val="en-US"/>
        </w:rPr>
        <w:t>, párrafo 11.k).</w:t>
      </w:r>
    </w:p>
  </w:footnote>
  <w:footnote w:id="23">
    <w:p w:rsidR="002D6572" w:rsidRPr="00734F88" w:rsidRDefault="002D6572" w:rsidP="002D6572">
      <w:pPr>
        <w:pStyle w:val="FootnoteText"/>
        <w:rPr>
          <w:szCs w:val="18"/>
          <w:lang w:val="en-US"/>
        </w:rPr>
      </w:pPr>
      <w:r w:rsidRPr="00163098">
        <w:rPr>
          <w:rStyle w:val="FootnoteReference"/>
          <w:szCs w:val="18"/>
          <w:lang w:val="es-ES_tradnl"/>
        </w:rPr>
        <w:footnoteRef/>
      </w:r>
      <w:r w:rsidRPr="00734F88">
        <w:rPr>
          <w:szCs w:val="18"/>
          <w:lang w:val="en-US"/>
        </w:rPr>
        <w:t xml:space="preserve"> Véase el análisis de Patricia L. Judd, </w:t>
      </w:r>
      <w:r w:rsidR="00163098" w:rsidRPr="00734F88">
        <w:rPr>
          <w:szCs w:val="18"/>
          <w:lang w:val="en-US"/>
        </w:rPr>
        <w:t>“</w:t>
      </w:r>
      <w:r w:rsidRPr="00734F88">
        <w:rPr>
          <w:szCs w:val="18"/>
          <w:lang w:val="en-US"/>
        </w:rPr>
        <w:t>The Difficulties in Harmonizing Legal Protections for Traditional Knowledge and Intellectual Property</w:t>
      </w:r>
      <w:r w:rsidR="00163098" w:rsidRPr="00734F88">
        <w:rPr>
          <w:szCs w:val="18"/>
          <w:lang w:val="en-US"/>
        </w:rPr>
        <w:t>”</w:t>
      </w:r>
      <w:r w:rsidRPr="00734F88">
        <w:rPr>
          <w:szCs w:val="18"/>
          <w:lang w:val="en-US"/>
        </w:rPr>
        <w:t xml:space="preserve">. </w:t>
      </w:r>
      <w:r w:rsidRPr="00734F88">
        <w:rPr>
          <w:i/>
          <w:szCs w:val="18"/>
          <w:lang w:val="en-US"/>
        </w:rPr>
        <w:t xml:space="preserve">The Washburn Law Journal. </w:t>
      </w:r>
      <w:r w:rsidRPr="00734F88">
        <w:rPr>
          <w:szCs w:val="18"/>
          <w:lang w:val="en-US"/>
        </w:rPr>
        <w:t>Vol. 58, 2019, pág. 249-270.</w:t>
      </w:r>
    </w:p>
  </w:footnote>
  <w:footnote w:id="24">
    <w:p w:rsidR="002D6572" w:rsidRPr="00163098" w:rsidRDefault="002D6572" w:rsidP="002D6572">
      <w:pPr>
        <w:rPr>
          <w:sz w:val="18"/>
          <w:szCs w:val="18"/>
          <w:lang w:val="es-ES_tradnl"/>
        </w:rPr>
      </w:pPr>
      <w:r w:rsidRPr="00163098">
        <w:rPr>
          <w:rStyle w:val="FootnoteReference"/>
          <w:sz w:val="18"/>
          <w:szCs w:val="18"/>
          <w:lang w:val="es-ES_tradnl"/>
        </w:rPr>
        <w:footnoteRef/>
      </w:r>
      <w:r w:rsidRPr="00734F88">
        <w:rPr>
          <w:sz w:val="18"/>
          <w:szCs w:val="18"/>
          <w:lang w:val="en-US"/>
        </w:rPr>
        <w:t xml:space="preserve"> Ruth L. Okediji, </w:t>
      </w:r>
      <w:r w:rsidR="00163098" w:rsidRPr="00734F88">
        <w:rPr>
          <w:sz w:val="18"/>
          <w:szCs w:val="18"/>
          <w:lang w:val="en-US"/>
        </w:rPr>
        <w:t>“</w:t>
      </w:r>
      <w:r w:rsidRPr="00734F88">
        <w:rPr>
          <w:sz w:val="18"/>
          <w:szCs w:val="18"/>
          <w:lang w:val="en-US"/>
        </w:rPr>
        <w:t>Traditional Knowledge and the Public Domain</w:t>
      </w:r>
      <w:r w:rsidR="00163098" w:rsidRPr="00734F88">
        <w:rPr>
          <w:sz w:val="18"/>
          <w:szCs w:val="18"/>
          <w:lang w:val="en-US"/>
        </w:rPr>
        <w:t>”</w:t>
      </w:r>
      <w:r w:rsidRPr="00734F88">
        <w:rPr>
          <w:sz w:val="18"/>
          <w:szCs w:val="18"/>
          <w:lang w:val="en-US"/>
        </w:rPr>
        <w:t xml:space="preserve">. </w:t>
      </w:r>
      <w:r w:rsidRPr="00163098">
        <w:rPr>
          <w:i/>
          <w:sz w:val="18"/>
          <w:szCs w:val="18"/>
          <w:lang w:val="es-ES_tradnl"/>
        </w:rPr>
        <w:t>Documento del CIGI n.º 176 de junio de 2018</w:t>
      </w:r>
      <w:r w:rsidRPr="00163098">
        <w:rPr>
          <w:sz w:val="18"/>
          <w:szCs w:val="18"/>
          <w:lang w:val="es-ES_tradnl"/>
        </w:rPr>
        <w:t xml:space="preserve">, pág. 8, disponible en </w:t>
      </w:r>
      <w:hyperlink r:id="rId1" w:history="1">
        <w:r w:rsidRPr="00163098">
          <w:rPr>
            <w:rStyle w:val="Hyperlink"/>
            <w:color w:val="auto"/>
            <w:sz w:val="18"/>
            <w:szCs w:val="18"/>
            <w:u w:val="none"/>
            <w:lang w:val="es-ES_tradnl"/>
          </w:rPr>
          <w:t>https://www.cigionline.org/sites/default/files/documents/Paper no.176web.pdf</w:t>
        </w:r>
      </w:hyperlink>
      <w:r w:rsidRPr="00163098">
        <w:rPr>
          <w:rStyle w:val="Hyperlink"/>
          <w:color w:val="auto"/>
          <w:sz w:val="18"/>
          <w:szCs w:val="18"/>
          <w:u w:val="none"/>
          <w:lang w:val="es-ES_tradnl"/>
        </w:rPr>
        <w:t>.</w:t>
      </w:r>
    </w:p>
  </w:footnote>
  <w:footnote w:id="25">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w:t>
      </w:r>
      <w:bookmarkStart w:id="5" w:name="_Hlk49439153"/>
      <w:r w:rsidRPr="00163098">
        <w:rPr>
          <w:szCs w:val="18"/>
          <w:lang w:val="es-ES_tradnl"/>
        </w:rPr>
        <w:t xml:space="preserve">Véanse los párrafos 4 a 6 del </w:t>
      </w:r>
      <w:r w:rsidR="00163098">
        <w:rPr>
          <w:szCs w:val="18"/>
          <w:lang w:val="es-ES_tradnl"/>
        </w:rPr>
        <w:t>“</w:t>
      </w:r>
      <w:r w:rsidRPr="00163098">
        <w:rPr>
          <w:szCs w:val="18"/>
          <w:lang w:val="es-ES_tradnl"/>
        </w:rPr>
        <w:t>examen técnico</w:t>
      </w:r>
      <w:r w:rsidR="00163098">
        <w:rPr>
          <w:szCs w:val="18"/>
          <w:lang w:val="es-ES_tradnl"/>
        </w:rPr>
        <w:t>”</w:t>
      </w:r>
      <w:r w:rsidRPr="00163098">
        <w:rPr>
          <w:szCs w:val="18"/>
          <w:lang w:val="es-ES_tradnl"/>
        </w:rPr>
        <w:t xml:space="preserve"> disponible en </w:t>
      </w:r>
      <w:hyperlink r:id="rId2" w:history="1">
        <w:r w:rsidRPr="00163098">
          <w:rPr>
            <w:rStyle w:val="Hyperlink"/>
            <w:color w:val="auto"/>
            <w:szCs w:val="18"/>
            <w:u w:val="none"/>
            <w:lang w:val="es-ES_tradnl"/>
          </w:rPr>
          <w:t>https://www.wipo.int/edocs/mdocs/tk/es/wipo_grtkf_ic_29/wipo_grtkf_ic_29_inf_10.pdf</w:t>
        </w:r>
      </w:hyperlink>
      <w:r w:rsidRPr="00163098">
        <w:rPr>
          <w:szCs w:val="18"/>
          <w:lang w:val="es-ES_tradnl"/>
        </w:rPr>
        <w:t>.</w:t>
      </w:r>
    </w:p>
    <w:bookmarkEnd w:id="5"/>
  </w:footnote>
  <w:footnote w:id="26">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Bagley, </w:t>
      </w:r>
      <w:r w:rsidRPr="00163098">
        <w:rPr>
          <w:i/>
          <w:iCs/>
          <w:szCs w:val="18"/>
          <w:lang w:val="es-ES_tradnl"/>
        </w:rPr>
        <w:t>ibid</w:t>
      </w:r>
      <w:r w:rsidRPr="00163098">
        <w:rPr>
          <w:szCs w:val="18"/>
          <w:lang w:val="es-ES_tradnl"/>
        </w:rPr>
        <w:t>.</w:t>
      </w:r>
    </w:p>
  </w:footnote>
  <w:footnote w:id="27">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artículo 19.</w:t>
      </w:r>
    </w:p>
  </w:footnote>
  <w:footnote w:id="28">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Véase el </w:t>
      </w:r>
      <w:r w:rsidR="00163098">
        <w:rPr>
          <w:szCs w:val="18"/>
          <w:lang w:val="es-ES_tradnl"/>
        </w:rPr>
        <w:t>“</w:t>
      </w:r>
      <w:r w:rsidRPr="00163098">
        <w:rPr>
          <w:szCs w:val="18"/>
          <w:lang w:val="es-ES_tradnl"/>
        </w:rPr>
        <w:t>Estudio sobre las limitaciones y excepciones relativas al derecho de autor y a los derechos conexos en el entorno digital</w:t>
      </w:r>
      <w:r w:rsidR="00163098">
        <w:rPr>
          <w:szCs w:val="18"/>
          <w:lang w:val="es-ES_tradnl"/>
        </w:rPr>
        <w:t>”</w:t>
      </w:r>
      <w:r w:rsidRPr="00163098">
        <w:rPr>
          <w:szCs w:val="18"/>
          <w:lang w:val="es-ES_tradnl"/>
        </w:rPr>
        <w:t xml:space="preserve">. Comité Permanente de Derecho de Autor y Derechos Conexos de la OMPI. Ginebra, 23 a 27 de junio de 2003, disponible en </w:t>
      </w:r>
      <w:r w:rsidRPr="00163098">
        <w:rPr>
          <w:rStyle w:val="Hyperlink"/>
          <w:color w:val="auto"/>
          <w:szCs w:val="18"/>
          <w:u w:val="none"/>
          <w:lang w:val="es-ES_tradnl"/>
        </w:rPr>
        <w:t>https://www.wipo.int/edocs/mdocs/copyright/es/sccr_9/sccr_9_7.pdf.</w:t>
      </w:r>
    </w:p>
  </w:footnote>
  <w:footnote w:id="29">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w:t>
      </w:r>
      <w:bookmarkStart w:id="6" w:name="_Hlk49439170"/>
      <w:r w:rsidRPr="00163098">
        <w:rPr>
          <w:szCs w:val="18"/>
          <w:lang w:val="es-ES_tradnl"/>
        </w:rPr>
        <w:t xml:space="preserve">Véase WO/GA/51/12, anexo I, página 18, </w:t>
      </w:r>
      <w:r w:rsidR="00163098">
        <w:rPr>
          <w:szCs w:val="18"/>
          <w:lang w:val="es-ES_tradnl"/>
        </w:rPr>
        <w:t>“</w:t>
      </w:r>
      <w:r w:rsidRPr="00163098">
        <w:rPr>
          <w:szCs w:val="18"/>
          <w:lang w:val="es-ES_tradnl"/>
        </w:rPr>
        <w:t>Excepciones y limitaciones</w:t>
      </w:r>
      <w:r w:rsidR="00163098">
        <w:rPr>
          <w:szCs w:val="18"/>
          <w:lang w:val="es-ES_tradnl"/>
        </w:rPr>
        <w:t>”</w:t>
      </w:r>
      <w:r w:rsidRPr="00163098">
        <w:rPr>
          <w:szCs w:val="18"/>
          <w:lang w:val="es-ES_tradnl"/>
        </w:rPr>
        <w:t>.</w:t>
      </w:r>
      <w:bookmarkEnd w:id="6"/>
    </w:p>
  </w:footnote>
  <w:footnote w:id="30">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artículos 11.2) y 19.</w:t>
      </w:r>
    </w:p>
  </w:footnote>
  <w:footnote w:id="31">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Véase el artículo 32.5, disponible en </w:t>
      </w:r>
      <w:hyperlink r:id="rId3" w:history="1">
        <w:r w:rsidRPr="00163098">
          <w:rPr>
            <w:rStyle w:val="Hyperlink"/>
            <w:color w:val="auto"/>
            <w:sz w:val="18"/>
            <w:szCs w:val="18"/>
            <w:u w:val="none"/>
            <w:lang w:val="es-ES_tradnl"/>
          </w:rPr>
          <w:t>https://ustr.gov/sites/default/files/files/agreements/FTA/USMCA/Text/32_Exceptions_and_General_Provisions.pdf</w:t>
        </w:r>
      </w:hyperlink>
      <w:r w:rsidRPr="00163098">
        <w:rPr>
          <w:rStyle w:val="Hyperlink"/>
          <w:color w:val="auto"/>
          <w:sz w:val="18"/>
          <w:szCs w:val="18"/>
          <w:u w:val="none"/>
          <w:lang w:val="es-ES_tradnl"/>
        </w:rPr>
        <w:t>.</w:t>
      </w:r>
    </w:p>
  </w:footnote>
  <w:footnote w:id="32">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Informe de la 38.ª sesión del CIG, 10 a 14 de diciembre de 2018, declaración de CEM-Aymara en nombre del Grupo Oficioso de Representantes Indígenas, párrafos 197 y 215, documento WIPO/GRTKF/IC/38/16.</w:t>
      </w:r>
    </w:p>
  </w:footnote>
  <w:footnote w:id="33">
    <w:p w:rsidR="002D6572" w:rsidRPr="00163098" w:rsidRDefault="002D6572" w:rsidP="002D6572">
      <w:pPr>
        <w:pStyle w:val="FootnoteText"/>
        <w:rPr>
          <w:szCs w:val="18"/>
          <w:lang w:val="en-US"/>
        </w:rPr>
      </w:pPr>
      <w:r w:rsidRPr="00163098">
        <w:rPr>
          <w:rStyle w:val="FootnoteReference"/>
          <w:szCs w:val="18"/>
          <w:lang w:val="es-ES_tradnl"/>
        </w:rPr>
        <w:footnoteRef/>
      </w:r>
      <w:r w:rsidRPr="00163098">
        <w:rPr>
          <w:szCs w:val="18"/>
          <w:lang w:val="en-US"/>
        </w:rPr>
        <w:t xml:space="preserve"> Véase Anupam Chander y Madhavi Sunder, </w:t>
      </w:r>
      <w:r w:rsidR="00163098">
        <w:rPr>
          <w:szCs w:val="18"/>
          <w:lang w:val="en-US"/>
        </w:rPr>
        <w:t>“</w:t>
      </w:r>
      <w:r w:rsidRPr="00163098">
        <w:rPr>
          <w:szCs w:val="18"/>
          <w:lang w:val="en-US"/>
        </w:rPr>
        <w:t>The Romance of Public Domain</w:t>
      </w:r>
      <w:r w:rsidR="00163098">
        <w:rPr>
          <w:szCs w:val="18"/>
          <w:lang w:val="en-US"/>
        </w:rPr>
        <w:t>”</w:t>
      </w:r>
      <w:r w:rsidRPr="00163098">
        <w:rPr>
          <w:szCs w:val="18"/>
          <w:lang w:val="en-US"/>
        </w:rPr>
        <w:t xml:space="preserve">, </w:t>
      </w:r>
      <w:r w:rsidRPr="00163098">
        <w:rPr>
          <w:i/>
          <w:iCs/>
          <w:szCs w:val="18"/>
          <w:lang w:val="en-US"/>
        </w:rPr>
        <w:t>California Law Review</w:t>
      </w:r>
      <w:r w:rsidR="00163098" w:rsidRPr="00163098">
        <w:rPr>
          <w:szCs w:val="18"/>
          <w:lang w:val="en-US"/>
        </w:rPr>
        <w:t xml:space="preserve"> [Vol. </w:t>
      </w:r>
      <w:r w:rsidRPr="00163098">
        <w:rPr>
          <w:szCs w:val="18"/>
          <w:lang w:val="en-US"/>
        </w:rPr>
        <w:t>92:2004].</w:t>
      </w:r>
    </w:p>
  </w:footnote>
  <w:footnote w:id="34">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Decisión VIII/5 B de la Conferencia de las Partes en el CDB, párrafo 5; decisión IX/13 de la Conferencia de las Partes en el CDB. UNEP/CBD/COP/DEC/IX/13.</w:t>
      </w:r>
    </w:p>
  </w:footnote>
  <w:footnote w:id="35">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Informe de la 37.ª sesión del CIG, 27 a 31 de agosto de 2018, declaración del Arts Law Center en nombre del Grupo Oficioso de Representantes Indígenas, documento WIPO/GRTKF/IC/37/17, párrafo 253.</w:t>
      </w:r>
    </w:p>
  </w:footnote>
  <w:footnote w:id="36">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i/>
          <w:szCs w:val="18"/>
          <w:lang w:val="es-ES_tradnl"/>
        </w:rPr>
        <w:t xml:space="preserve"> </w:t>
      </w:r>
      <w:r w:rsidRPr="00163098">
        <w:rPr>
          <w:szCs w:val="18"/>
          <w:lang w:val="es-ES_tradnl"/>
        </w:rPr>
        <w:t>Declaración de las Naciones Unidas sobre los Derechos de los Pueblos Indígenas, art. 31.</w:t>
      </w:r>
    </w:p>
  </w:footnote>
  <w:footnote w:id="37">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 4, art. 32; documento WIPO/GRTKF/IC/29/INF/10, disponible en</w:t>
      </w:r>
      <w:r w:rsidRPr="00163098">
        <w:rPr>
          <w:rStyle w:val="Hyperlink"/>
          <w:color w:val="auto"/>
          <w:szCs w:val="18"/>
          <w:u w:val="none"/>
          <w:lang w:val="es-ES_tradnl"/>
        </w:rPr>
        <w:t>https://www.wipo.int/edocs/mdocs/tk/es/wipo_grtkf_ic_29/wipo_grtkf_ic_29_inf_10.pdf.</w:t>
      </w:r>
    </w:p>
  </w:footnote>
  <w:footnote w:id="38">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Documento WIPO/GRTKF/IC/29/INF/10, disponible en </w:t>
      </w:r>
      <w:hyperlink r:id="rId4" w:history="1">
        <w:r w:rsidRPr="00163098">
          <w:rPr>
            <w:rStyle w:val="Hyperlink"/>
            <w:color w:val="auto"/>
            <w:szCs w:val="18"/>
            <w:u w:val="none"/>
            <w:lang w:val="es-ES_tradnl"/>
          </w:rPr>
          <w:t>https://www.wipo.int/edocs/mdocs/tk/es/wipo_grtkf_ic_29/wipo_grtkf_ic_29_inf_10.pdf</w:t>
        </w:r>
      </w:hyperlink>
      <w:r w:rsidRPr="00163098">
        <w:rPr>
          <w:szCs w:val="18"/>
          <w:lang w:val="es-ES_tradnl"/>
        </w:rPr>
        <w:t>.</w:t>
      </w:r>
    </w:p>
  </w:footnote>
  <w:footnote w:id="39">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Protocolo de Nagoya, art. 6.3); informe nacional provisional sobre el acceso y la participación en los beneficios relativo a la aplicación del Protocolo de Nagoya. Análisis: desglose por regiones. Pregunta 38: </w:t>
      </w:r>
      <w:r w:rsidR="00163098">
        <w:rPr>
          <w:szCs w:val="18"/>
          <w:lang w:val="es-ES_tradnl"/>
        </w:rPr>
        <w:t>“</w:t>
      </w:r>
      <w:r w:rsidRPr="00163098">
        <w:rPr>
          <w:szCs w:val="18"/>
          <w:lang w:val="es-ES_tradnl"/>
        </w:rPr>
        <w:t>¿Tienen las comunidades indígenas y locales el derecho establecido de conceder acceso a los recursos genéticos en su legislación nacional?</w:t>
      </w:r>
      <w:r w:rsidR="00163098">
        <w:rPr>
          <w:szCs w:val="18"/>
          <w:lang w:val="es-ES_tradnl"/>
        </w:rPr>
        <w:t>”</w:t>
      </w:r>
      <w:r w:rsidRPr="00163098">
        <w:rPr>
          <w:szCs w:val="18"/>
          <w:lang w:val="es-ES_tradnl"/>
        </w:rPr>
        <w:t xml:space="preserve">. </w:t>
      </w:r>
      <w:hyperlink r:id="rId5" w:history="1">
        <w:r w:rsidRPr="00163098">
          <w:rPr>
            <w:rStyle w:val="Hyperlink"/>
            <w:color w:val="auto"/>
            <w:szCs w:val="18"/>
            <w:u w:val="none"/>
            <w:lang w:val="es-ES_tradnl"/>
          </w:rPr>
          <w:t>https://absch.cbd.int/reports/analyzer</w:t>
        </w:r>
      </w:hyperlink>
      <w:r w:rsidRPr="00163098">
        <w:rPr>
          <w:szCs w:val="18"/>
          <w:lang w:val="es-ES_tradnl"/>
        </w:rPr>
        <w:t>, 11 de mayo de 2020.</w:t>
      </w:r>
    </w:p>
  </w:footnote>
  <w:footnote w:id="40">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El analizador de los informes nacionales provisionales sobre el acceso y la participación en los beneficios relativos a la aplicación del Protocolo de Nagoya ofrece un desglose por regiones en respuesta a la pregunta 38: </w:t>
      </w:r>
      <w:r w:rsidR="00163098">
        <w:rPr>
          <w:szCs w:val="18"/>
          <w:lang w:val="es-ES_tradnl"/>
        </w:rPr>
        <w:t>“</w:t>
      </w:r>
      <w:r w:rsidRPr="00163098">
        <w:rPr>
          <w:szCs w:val="18"/>
          <w:lang w:val="es-ES_tradnl"/>
        </w:rPr>
        <w:t>¿Tienen las comunidades indígenas y locales el derecho establecido de conceder acceso a los recursos genéticos en su legislación nacional?</w:t>
      </w:r>
      <w:r w:rsidR="00163098">
        <w:rPr>
          <w:szCs w:val="18"/>
          <w:lang w:val="es-ES_tradnl"/>
        </w:rPr>
        <w:t>”</w:t>
      </w:r>
      <w:r w:rsidRPr="00163098">
        <w:rPr>
          <w:szCs w:val="18"/>
          <w:lang w:val="es-ES_tradnl"/>
        </w:rPr>
        <w:t xml:space="preserve">. </w:t>
      </w:r>
      <w:hyperlink r:id="rId6" w:history="1">
        <w:r w:rsidRPr="00163098">
          <w:rPr>
            <w:rStyle w:val="Hyperlink"/>
            <w:color w:val="auto"/>
            <w:szCs w:val="18"/>
            <w:u w:val="none"/>
            <w:lang w:val="es-ES_tradnl"/>
          </w:rPr>
          <w:t>https://absch.cbd.int/reports/analyzer</w:t>
        </w:r>
      </w:hyperlink>
      <w:r w:rsidRPr="00163098">
        <w:rPr>
          <w:szCs w:val="18"/>
          <w:lang w:val="es-ES_tradnl"/>
        </w:rPr>
        <w:t>, 11 de mayo de 2020.</w:t>
      </w:r>
    </w:p>
    <w:p w:rsidR="002D6572" w:rsidRPr="00163098" w:rsidRDefault="002D6572" w:rsidP="002D6572">
      <w:pPr>
        <w:pStyle w:val="FootnoteText"/>
        <w:rPr>
          <w:szCs w:val="18"/>
          <w:lang w:val="es-ES_tradnl"/>
        </w:rPr>
      </w:pPr>
      <w:r w:rsidRPr="00163098">
        <w:rPr>
          <w:szCs w:val="18"/>
          <w:lang w:val="es-ES_tradnl"/>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2D6572" w:rsidRPr="00163098" w:rsidRDefault="002D6572" w:rsidP="002D6572">
      <w:pPr>
        <w:pStyle w:val="FootnoteText"/>
        <w:rPr>
          <w:szCs w:val="18"/>
          <w:lang w:val="es-ES_tradnl"/>
        </w:rPr>
      </w:pPr>
      <w:r w:rsidRPr="00163098">
        <w:rPr>
          <w:rStyle w:val="FootnoteReference"/>
          <w:szCs w:val="18"/>
          <w:lang w:val="es-ES_tradnl"/>
        </w:rPr>
        <w:footnoteRef/>
      </w:r>
      <w:r w:rsidR="0012386A" w:rsidRPr="00163098">
        <w:rPr>
          <w:szCs w:val="18"/>
          <w:lang w:val="es-ES_tradnl"/>
        </w:rPr>
        <w:t xml:space="preserve"> </w:t>
      </w:r>
      <w:r w:rsidRPr="00163098">
        <w:rPr>
          <w:szCs w:val="18"/>
          <w:lang w:val="es-ES_tradnl"/>
        </w:rPr>
        <w:t>Grupo Especial de Expertos Técnicos en Información de Secuencias Digitales sobre Recursos Genéticos (AHTEG</w:t>
      </w:r>
      <w:r w:rsidR="00FD6CB8" w:rsidRPr="00163098">
        <w:rPr>
          <w:szCs w:val="18"/>
          <w:lang w:val="es-ES_tradnl"/>
        </w:rPr>
        <w:t xml:space="preserve"> DSI</w:t>
      </w:r>
      <w:r w:rsidRPr="00163098">
        <w:rPr>
          <w:szCs w:val="18"/>
          <w:lang w:val="es-ES_tradnl"/>
        </w:rPr>
        <w:t xml:space="preserve">); Manuel Ruiz Muller, </w:t>
      </w:r>
      <w:r w:rsidRPr="00163098">
        <w:rPr>
          <w:i/>
          <w:szCs w:val="18"/>
          <w:lang w:val="es-ES_tradnl"/>
        </w:rPr>
        <w:t>Access to Genetic Resources and Benefit Sharing 25 Years on: Progress and Challenges</w:t>
      </w:r>
      <w:r w:rsidRPr="00163098">
        <w:rPr>
          <w:szCs w:val="18"/>
          <w:lang w:val="es-ES_tradnl"/>
        </w:rPr>
        <w:t xml:space="preserve"> (Centro Internacional de Comercio y Desarrollo Sostenible, documento n.º 44, 2018), vii. &lt;</w:t>
      </w:r>
      <w:hyperlink r:id="rId7" w:history="1">
        <w:r w:rsidRPr="00163098">
          <w:rPr>
            <w:rStyle w:val="Hyperlink"/>
            <w:color w:val="auto"/>
            <w:szCs w:val="18"/>
            <w:u w:val="none"/>
            <w:lang w:val="es-ES_tradnl"/>
          </w:rPr>
          <w:t>https://www.voices4biojustice.org/wp-content/uploads/2018/12/Access-to-Genetic-Resources-and-Benefit-Sharing-25-Years-On-Progress-and-Challenges.pdf</w:t>
        </w:r>
      </w:hyperlink>
      <w:r w:rsidRPr="00163098">
        <w:rPr>
          <w:szCs w:val="18"/>
          <w:lang w:val="es-ES_tradnl"/>
        </w:rPr>
        <w:t>&gt;,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 31, art. 23.</w:t>
      </w:r>
    </w:p>
  </w:footnote>
  <w:footnote w:id="43">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CBD/COP/DEC/XIII/16, decisión adoptada por la Conferencia de las Partes en el CDB, 16 de diciembre de 2016; CBD/NP/MOP/DEC/2/14, decisión adoptada por las partes en el Protocolo de Nagoya, 16 de diciembre de 2016; texto de la Presidencia, artículo 9.</w:t>
      </w:r>
    </w:p>
  </w:footnote>
  <w:footnote w:id="44">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Texto de la Presidencia, notas sobre el artículo 9; Grupo Especial de Expertos Técnicos en Información de Secuencias Digitales sobre Recursos Genéticos del CDB (AHTEG DSI),</w:t>
      </w:r>
      <w:r w:rsidRPr="00163098">
        <w:rPr>
          <w:b/>
          <w:sz w:val="18"/>
          <w:szCs w:val="18"/>
          <w:lang w:val="es-ES_tradnl"/>
        </w:rPr>
        <w:t xml:space="preserve"> </w:t>
      </w:r>
      <w:r w:rsidRPr="00163098">
        <w:rPr>
          <w:sz w:val="18"/>
          <w:szCs w:val="18"/>
          <w:lang w:val="es-ES_tradnl"/>
        </w:rPr>
        <w:t>Montreal, Canadá, 13</w:t>
      </w:r>
      <w:r w:rsidR="00163098">
        <w:rPr>
          <w:sz w:val="18"/>
          <w:szCs w:val="18"/>
          <w:lang w:val="es-ES_tradnl"/>
        </w:rPr>
        <w:t xml:space="preserve"> a 16 de febrero de </w:t>
      </w:r>
      <w:r w:rsidRPr="00163098">
        <w:rPr>
          <w:sz w:val="18"/>
          <w:szCs w:val="18"/>
          <w:lang w:val="es-ES_tradnl"/>
        </w:rPr>
        <w:t>2018, CBD/DSI/AHTEG/2018/1/4.</w:t>
      </w:r>
    </w:p>
  </w:footnote>
  <w:footnote w:id="45">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Texto de la Presidencia, observaciones introductorias; texto consolidado, art.10.4.</w:t>
      </w:r>
    </w:p>
  </w:footnote>
  <w:footnote w:id="46">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Texto de la Presidencia, art. 3.1, art. 3.2; texto consolidado, art.10.4.</w:t>
      </w:r>
    </w:p>
  </w:footnote>
  <w:footnote w:id="47">
    <w:p w:rsidR="002D6572" w:rsidRPr="00734F88" w:rsidRDefault="002D6572" w:rsidP="002D6572">
      <w:pPr>
        <w:rPr>
          <w:rFonts w:eastAsia="Times New Roman"/>
          <w:sz w:val="18"/>
          <w:szCs w:val="18"/>
          <w:lang w:val="en-US"/>
        </w:rPr>
      </w:pPr>
      <w:r w:rsidRPr="00163098">
        <w:rPr>
          <w:rStyle w:val="FootnoteReference"/>
          <w:sz w:val="18"/>
          <w:szCs w:val="18"/>
          <w:lang w:val="es-ES_tradnl"/>
        </w:rPr>
        <w:footnoteRef/>
      </w:r>
      <w:r w:rsidRPr="00734F88">
        <w:rPr>
          <w:sz w:val="18"/>
          <w:szCs w:val="18"/>
          <w:lang w:val="en-US"/>
        </w:rPr>
        <w:t xml:space="preserve"> Texto de la Presidencia, art. 3, notas sobre el art. 3; Graham Dutfield, </w:t>
      </w:r>
      <w:r w:rsidR="00163098" w:rsidRPr="00734F88">
        <w:rPr>
          <w:sz w:val="18"/>
          <w:szCs w:val="18"/>
          <w:lang w:val="en-US"/>
        </w:rPr>
        <w:t>“</w:t>
      </w:r>
      <w:r w:rsidRPr="00734F88">
        <w:rPr>
          <w:sz w:val="18"/>
          <w:szCs w:val="18"/>
          <w:lang w:val="en-US"/>
        </w:rPr>
        <w:t>Legal and Economic Aspects of Traditional Knowledge</w:t>
      </w:r>
      <w:r w:rsidR="00163098" w:rsidRPr="00734F88">
        <w:rPr>
          <w:sz w:val="18"/>
          <w:szCs w:val="18"/>
          <w:lang w:val="en-US"/>
        </w:rPr>
        <w:t>”</w:t>
      </w:r>
      <w:r w:rsidRPr="00734F88">
        <w:rPr>
          <w:sz w:val="18"/>
          <w:szCs w:val="18"/>
          <w:lang w:val="en-US"/>
        </w:rPr>
        <w:t xml:space="preserve"> en Keith E Maskus y Jerome H Reichman (eds.), </w:t>
      </w:r>
      <w:r w:rsidRPr="00734F88">
        <w:rPr>
          <w:i/>
          <w:sz w:val="18"/>
          <w:szCs w:val="18"/>
          <w:lang w:val="en-US"/>
        </w:rPr>
        <w:t>International Public Goods and Transfer of Technology Under a Globalized Intellectual Property Regime</w:t>
      </w:r>
      <w:r w:rsidRPr="00734F88">
        <w:rPr>
          <w:sz w:val="18"/>
          <w:szCs w:val="18"/>
          <w:lang w:val="en-US"/>
        </w:rPr>
        <w:t xml:space="preserve"> (Cambridge University Press, 1.ª ed., 2005), 506.</w:t>
      </w:r>
    </w:p>
  </w:footnote>
  <w:footnote w:id="48">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2D6572" w:rsidRPr="00163098" w:rsidRDefault="002D6572" w:rsidP="002D6572">
      <w:pPr>
        <w:rPr>
          <w:sz w:val="18"/>
          <w:szCs w:val="18"/>
          <w:lang w:val="es-ES_tradnl"/>
        </w:rPr>
      </w:pPr>
      <w:r w:rsidRPr="00163098">
        <w:rPr>
          <w:rStyle w:val="FootnoteReference"/>
          <w:sz w:val="18"/>
          <w:szCs w:val="18"/>
          <w:lang w:val="es-ES_tradnl"/>
        </w:rPr>
        <w:footnoteRef/>
      </w:r>
      <w:r w:rsidRPr="00163098">
        <w:rPr>
          <w:sz w:val="18"/>
          <w:szCs w:val="18"/>
          <w:lang w:val="es-ES_tradnl"/>
        </w:rPr>
        <w:t xml:space="preserve"> AHTEG DSI del CDB, 13 a 16 de febrero de 2018, CBD/DSI/AHTEG/2018/1/4, párrafo 29.</w:t>
      </w:r>
    </w:p>
  </w:footnote>
  <w:footnote w:id="50">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Texto de la Presidencia, art. 6.5.</w:t>
      </w:r>
    </w:p>
  </w:footnote>
  <w:footnote w:id="51">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Texto consolidado, art. 6.4.</w:t>
      </w:r>
    </w:p>
  </w:footnote>
  <w:footnote w:id="52">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Declaración de las Naciones Unidas sobre los Derechos de los Pueblos Indígenas, art. 27, art. 39, art. 40; Pacto Internacional de Derechos Civiles y Políticos, observación general 23.</w:t>
      </w:r>
    </w:p>
  </w:footnote>
  <w:footnote w:id="53">
    <w:p w:rsidR="002D6572" w:rsidRPr="00163098" w:rsidRDefault="002D6572" w:rsidP="002D6572">
      <w:pPr>
        <w:rPr>
          <w:sz w:val="18"/>
          <w:szCs w:val="18"/>
          <w:lang w:val="en-US"/>
        </w:rPr>
      </w:pPr>
      <w:r w:rsidRPr="00163098">
        <w:rPr>
          <w:rStyle w:val="FootnoteReference"/>
          <w:sz w:val="18"/>
          <w:szCs w:val="18"/>
          <w:lang w:val="es-ES_tradnl"/>
        </w:rPr>
        <w:footnoteRef/>
      </w:r>
      <w:r w:rsidRPr="00163098">
        <w:rPr>
          <w:sz w:val="18"/>
          <w:szCs w:val="18"/>
          <w:lang w:val="es-ES_tradnl"/>
        </w:rPr>
        <w:t xml:space="preserve"> AHTEG DSI del CDB, 13 a 16 de febrero de 2018, CBD/DSI/AHTEG/2018/1/4, párrafo 29. </w:t>
      </w:r>
      <w:r w:rsidRPr="00163098">
        <w:rPr>
          <w:sz w:val="18"/>
          <w:szCs w:val="18"/>
          <w:lang w:val="en-US"/>
        </w:rPr>
        <w:t xml:space="preserve">Frederic Perron-Welch, </w:t>
      </w:r>
      <w:r w:rsidR="00163098" w:rsidRPr="00163098">
        <w:rPr>
          <w:sz w:val="18"/>
          <w:szCs w:val="18"/>
          <w:lang w:val="en-US"/>
        </w:rPr>
        <w:t>“</w:t>
      </w:r>
      <w:r w:rsidRPr="00163098">
        <w:rPr>
          <w:sz w:val="18"/>
          <w:szCs w:val="18"/>
          <w:lang w:val="en-US"/>
        </w:rPr>
        <w:t>Blockchain Technology and Access and Benefit Sharing</w:t>
      </w:r>
      <w:r w:rsidR="00163098" w:rsidRPr="00163098">
        <w:rPr>
          <w:sz w:val="18"/>
          <w:szCs w:val="18"/>
          <w:lang w:val="en-US"/>
        </w:rPr>
        <w:t>”</w:t>
      </w:r>
      <w:r w:rsidRPr="00163098">
        <w:rPr>
          <w:sz w:val="18"/>
          <w:szCs w:val="18"/>
          <w:lang w:val="en-US"/>
        </w:rPr>
        <w:t>, 7 de agosto de 2018.</w:t>
      </w:r>
    </w:p>
  </w:footnote>
  <w:footnote w:id="54">
    <w:p w:rsidR="002D6572" w:rsidRPr="00163098" w:rsidRDefault="002D6572" w:rsidP="002D6572">
      <w:pPr>
        <w:pStyle w:val="FootnoteText"/>
        <w:rPr>
          <w:szCs w:val="18"/>
          <w:lang w:val="es-ES_tradnl"/>
        </w:rPr>
      </w:pPr>
      <w:r w:rsidRPr="00163098">
        <w:rPr>
          <w:rStyle w:val="FootnoteReference"/>
          <w:szCs w:val="18"/>
          <w:lang w:val="es-ES_tradnl"/>
        </w:rPr>
        <w:footnoteRef/>
      </w:r>
      <w:r w:rsidRPr="00163098">
        <w:rPr>
          <w:szCs w:val="18"/>
          <w:lang w:val="es-ES_tradnl"/>
        </w:rPr>
        <w:t xml:space="preserve"> 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0F2AD2">
    <w:pPr>
      <w:jc w:val="right"/>
    </w:pPr>
    <w:r>
      <w:t>WIPO/GRTKF/IC/42/INF/8</w:t>
    </w:r>
  </w:p>
  <w:p w:rsidR="002D6572" w:rsidRDefault="002D6572" w:rsidP="000F2AD2">
    <w:pPr>
      <w:jc w:val="right"/>
    </w:pPr>
    <w:r>
      <w:t xml:space="preserve">página </w:t>
    </w:r>
    <w:r>
      <w:fldChar w:fldCharType="begin"/>
    </w:r>
    <w:r>
      <w:instrText xml:space="preserve"> PAGE  \* MERGEFORMAT </w:instrText>
    </w:r>
    <w:r>
      <w:fldChar w:fldCharType="separate"/>
    </w:r>
    <w:r>
      <w:t>2</w:t>
    </w:r>
    <w:r>
      <w:fldChar w:fldCharType="end"/>
    </w:r>
  </w:p>
  <w:p w:rsidR="002D6572" w:rsidRDefault="002D6572" w:rsidP="000F2AD2">
    <w:pPr>
      <w:jc w:val="right"/>
    </w:pPr>
  </w:p>
  <w:p w:rsidR="002D6572" w:rsidRDefault="002D657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477D6B">
    <w:pPr>
      <w:jc w:val="right"/>
    </w:pPr>
    <w:r>
      <w:t>WIPO/GRTKF/IC/41/INF/10</w:t>
    </w:r>
  </w:p>
  <w:p w:rsidR="002D6572" w:rsidRDefault="002D6572" w:rsidP="00477D6B">
    <w:pPr>
      <w:jc w:val="right"/>
    </w:pPr>
    <w:r>
      <w:t xml:space="preserve">página </w:t>
    </w:r>
    <w:r>
      <w:fldChar w:fldCharType="begin"/>
    </w:r>
    <w:r>
      <w:instrText xml:space="preserve"> PAGE  \* MERGEFORMAT </w:instrText>
    </w:r>
    <w:r>
      <w:fldChar w:fldCharType="separate"/>
    </w:r>
    <w:r w:rsidR="00734F88">
      <w:rPr>
        <w:noProof/>
      </w:rPr>
      <w:t>2</w:t>
    </w:r>
    <w:r>
      <w:fldChar w:fldCharType="end"/>
    </w:r>
  </w:p>
  <w:p w:rsidR="002D6572" w:rsidRDefault="002D6572" w:rsidP="00477D6B">
    <w:pPr>
      <w:jc w:val="right"/>
    </w:pPr>
  </w:p>
  <w:p w:rsidR="002D6572" w:rsidRDefault="002D657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2D6572" w:rsidP="000F2AD2">
    <w:pPr>
      <w:jc w:val="right"/>
    </w:pPr>
    <w:r>
      <w:t>WIPO/GRTKF/IC/42/INF/8</w:t>
    </w:r>
  </w:p>
  <w:p w:rsidR="000F2AD2" w:rsidRDefault="002D6572" w:rsidP="000F2AD2">
    <w:pPr>
      <w:jc w:val="right"/>
    </w:pPr>
    <w:r>
      <w:t xml:space="preserve">Anexo, página </w:t>
    </w:r>
    <w:r w:rsidR="000F2AD2">
      <w:fldChar w:fldCharType="begin"/>
    </w:r>
    <w:r w:rsidR="000F2AD2">
      <w:instrText xml:space="preserve"> PAGE  \* MERGEFORMAT </w:instrText>
    </w:r>
    <w:r w:rsidR="000F2AD2">
      <w:fldChar w:fldCharType="separate"/>
    </w:r>
    <w:r w:rsidR="005E1C93">
      <w:t>4</w:t>
    </w:r>
    <w:r w:rsidR="000F2AD2">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D6572" w:rsidP="00477D6B">
    <w:pPr>
      <w:jc w:val="right"/>
    </w:pPr>
    <w:bookmarkStart w:id="7" w:name="Code2"/>
    <w:bookmarkEnd w:id="7"/>
    <w:r>
      <w:t>WIPO/GRTKF/IC/42/INF/8</w:t>
    </w:r>
  </w:p>
  <w:p w:rsidR="00EC4E49" w:rsidRDefault="002D6572" w:rsidP="00477D6B">
    <w:pPr>
      <w:jc w:val="right"/>
    </w:pPr>
    <w:r>
      <w:t xml:space="preserve">Anexo, página </w:t>
    </w:r>
    <w:r w:rsidR="00EC4E49">
      <w:fldChar w:fldCharType="begin"/>
    </w:r>
    <w:r w:rsidR="00EC4E49">
      <w:instrText xml:space="preserve"> PAGE  \* MERGEFORMAT </w:instrText>
    </w:r>
    <w:r w:rsidR="00EC4E49">
      <w:fldChar w:fldCharType="separate"/>
    </w:r>
    <w:r w:rsidR="00734F88">
      <w:rPr>
        <w:noProof/>
      </w:rPr>
      <w:t>11</w:t>
    </w:r>
    <w:r w:rsidR="00EC4E49">
      <w:fldChar w:fldCharType="end"/>
    </w: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572" w:rsidRDefault="002D6572" w:rsidP="00C9451D">
    <w:pPr>
      <w:pStyle w:val="Header"/>
      <w:jc w:val="right"/>
    </w:pPr>
    <w:r>
      <w:t>WIPO/GRTKF/IC/42/INF/8</w:t>
    </w:r>
  </w:p>
  <w:p w:rsidR="002D6572" w:rsidRDefault="002D6572" w:rsidP="00C9451D">
    <w:pPr>
      <w:pStyle w:val="Header"/>
      <w:jc w:val="right"/>
    </w:pPr>
    <w:r>
      <w:t>ANEXO</w:t>
    </w:r>
  </w:p>
  <w:p w:rsidR="002D6572" w:rsidRDefault="002D6572" w:rsidP="00C9451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2386A"/>
    <w:rsid w:val="001362EE"/>
    <w:rsid w:val="00163098"/>
    <w:rsid w:val="001647D5"/>
    <w:rsid w:val="001832A6"/>
    <w:rsid w:val="0021217E"/>
    <w:rsid w:val="002634C4"/>
    <w:rsid w:val="002928D3"/>
    <w:rsid w:val="002D6572"/>
    <w:rsid w:val="002F1FE6"/>
    <w:rsid w:val="002F4E68"/>
    <w:rsid w:val="00307933"/>
    <w:rsid w:val="00312F7F"/>
    <w:rsid w:val="00355605"/>
    <w:rsid w:val="00361450"/>
    <w:rsid w:val="003673CF"/>
    <w:rsid w:val="003845C1"/>
    <w:rsid w:val="003A6F89"/>
    <w:rsid w:val="003B38C1"/>
    <w:rsid w:val="003F70F6"/>
    <w:rsid w:val="00423E3E"/>
    <w:rsid w:val="00427AF4"/>
    <w:rsid w:val="004647DA"/>
    <w:rsid w:val="00474062"/>
    <w:rsid w:val="00477D6B"/>
    <w:rsid w:val="004A52C6"/>
    <w:rsid w:val="005019FF"/>
    <w:rsid w:val="00521EFB"/>
    <w:rsid w:val="0053057A"/>
    <w:rsid w:val="00560A29"/>
    <w:rsid w:val="005C6649"/>
    <w:rsid w:val="005E1C93"/>
    <w:rsid w:val="00605827"/>
    <w:rsid w:val="00646050"/>
    <w:rsid w:val="006713CA"/>
    <w:rsid w:val="00676C5C"/>
    <w:rsid w:val="006C25EE"/>
    <w:rsid w:val="00734F88"/>
    <w:rsid w:val="007D1613"/>
    <w:rsid w:val="007E4C0E"/>
    <w:rsid w:val="007F32A3"/>
    <w:rsid w:val="008A134B"/>
    <w:rsid w:val="008B2CC1"/>
    <w:rsid w:val="008B60B2"/>
    <w:rsid w:val="0090731E"/>
    <w:rsid w:val="00916EE2"/>
    <w:rsid w:val="00966A22"/>
    <w:rsid w:val="0096722F"/>
    <w:rsid w:val="00980843"/>
    <w:rsid w:val="009E2791"/>
    <w:rsid w:val="009E3F6F"/>
    <w:rsid w:val="009E52CB"/>
    <w:rsid w:val="009E5A1D"/>
    <w:rsid w:val="009F499F"/>
    <w:rsid w:val="00A37342"/>
    <w:rsid w:val="00A42DAF"/>
    <w:rsid w:val="00A45BD8"/>
    <w:rsid w:val="00A869B7"/>
    <w:rsid w:val="00A90C6C"/>
    <w:rsid w:val="00AC205C"/>
    <w:rsid w:val="00AF0A6B"/>
    <w:rsid w:val="00B05A69"/>
    <w:rsid w:val="00B32CA7"/>
    <w:rsid w:val="00B4759F"/>
    <w:rsid w:val="00B7544B"/>
    <w:rsid w:val="00B9734B"/>
    <w:rsid w:val="00BA30E2"/>
    <w:rsid w:val="00BC7DD2"/>
    <w:rsid w:val="00C11BFE"/>
    <w:rsid w:val="00C5068F"/>
    <w:rsid w:val="00C86D74"/>
    <w:rsid w:val="00C92E4A"/>
    <w:rsid w:val="00CD04F1"/>
    <w:rsid w:val="00D21B9B"/>
    <w:rsid w:val="00D45252"/>
    <w:rsid w:val="00D71B4D"/>
    <w:rsid w:val="00D806B8"/>
    <w:rsid w:val="00D93D55"/>
    <w:rsid w:val="00DB76A2"/>
    <w:rsid w:val="00DD3F47"/>
    <w:rsid w:val="00E15015"/>
    <w:rsid w:val="00E335FE"/>
    <w:rsid w:val="00EA7D6E"/>
    <w:rsid w:val="00EC4E49"/>
    <w:rsid w:val="00ED77FB"/>
    <w:rsid w:val="00EE45FA"/>
    <w:rsid w:val="00F20773"/>
    <w:rsid w:val="00F66152"/>
    <w:rsid w:val="00FD6CB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ustr.gov/sites/default/files/files/agreements/FTA/USMCA/Text/32_Exceptions_and_General_Provisions.pdf" TargetMode="External"/><Relationship Id="rId7" Type="http://schemas.openxmlformats.org/officeDocument/2006/relationships/hyperlink" Target="https://www.voices4biojustice.org/wp-content/uploads/2018/12/Access-to-Genetic-Resources-and-Benefit-Sharing-25-Years-On-Progress-and-Challenges.pdf" TargetMode="External"/><Relationship Id="rId2" Type="http://schemas.openxmlformats.org/officeDocument/2006/relationships/hyperlink" Target="https://www.wipo.int/edocs/mdocs/tk/es/wipo_grtkf_ic_29/wipo_grtkf_ic_29_inf_10.pdf" TargetMode="External"/><Relationship Id="rId1" Type="http://schemas.openxmlformats.org/officeDocument/2006/relationships/hyperlink" Target="https://www.cigionline.org/sites/default/files/documents/Paper%20no.176web.pdf" TargetMode="External"/><Relationship Id="rId6" Type="http://schemas.openxmlformats.org/officeDocument/2006/relationships/hyperlink" Target="https://absch.cbd.int/reports/analyzer" TargetMode="External"/><Relationship Id="rId5" Type="http://schemas.openxmlformats.org/officeDocument/2006/relationships/hyperlink" Target="https://absch.cbd.int/reports/analyzer" TargetMode="External"/><Relationship Id="rId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FAD31-2EB6-4BC4-81AA-0B169BD39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3</TotalTime>
  <Pages>13</Pages>
  <Words>5327</Words>
  <Characters>29394</Characters>
  <Application>Microsoft Office Word</Application>
  <DocSecurity>0</DocSecurity>
  <Lines>517</Lines>
  <Paragraphs>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3</cp:revision>
  <cp:lastPrinted>2011-02-15T11:56:00Z</cp:lastPrinted>
  <dcterms:created xsi:type="dcterms:W3CDTF">2022-01-14T07:36:00Z</dcterms:created>
  <dcterms:modified xsi:type="dcterms:W3CDTF">2022-01-14T10:13:00Z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