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A0C0E" w:rsidRDefault="00DE7ECE" w:rsidP="0061479F">
      <w:pPr>
        <w:pBdr>
          <w:bottom w:val="single" w:sz="4" w:space="9" w:color="auto"/>
        </w:pBdr>
        <w:spacing w:after="120"/>
        <w:jc w:val="right"/>
        <w:rPr>
          <w:lang w:val="es-419"/>
        </w:rPr>
      </w:pPr>
      <w:bookmarkStart w:id="0" w:name="_GoBack"/>
      <w:bookmarkEnd w:id="0"/>
      <w:r w:rsidRPr="00FA0C0E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FA0C0E" w:rsidRDefault="00BB2E8C" w:rsidP="0040540C">
      <w:pPr>
        <w:jc w:val="right"/>
        <w:rPr>
          <w:rFonts w:ascii="Arial Black" w:hAnsi="Arial Black"/>
          <w:caps/>
          <w:sz w:val="15"/>
          <w:lang w:val="es-419"/>
        </w:rPr>
      </w:pPr>
      <w:r w:rsidRPr="00FA0C0E">
        <w:rPr>
          <w:rFonts w:ascii="Arial Black" w:hAnsi="Arial Black"/>
          <w:caps/>
          <w:sz w:val="15"/>
          <w:lang w:val="es-419"/>
        </w:rPr>
        <w:t>WIPO/GRTKF/IC/42</w:t>
      </w:r>
      <w:r w:rsidR="002A34EF" w:rsidRPr="00FA0C0E">
        <w:rPr>
          <w:rFonts w:ascii="Arial Black" w:hAnsi="Arial Black"/>
          <w:caps/>
          <w:sz w:val="15"/>
          <w:lang w:val="es-419"/>
        </w:rPr>
        <w:t>/</w:t>
      </w:r>
      <w:r w:rsidR="00485A29" w:rsidRPr="00FA0C0E">
        <w:rPr>
          <w:rFonts w:ascii="Arial Black" w:hAnsi="Arial Black"/>
          <w:caps/>
          <w:sz w:val="15"/>
          <w:lang w:val="es-419"/>
        </w:rPr>
        <w:t>1 PROV. 2</w:t>
      </w:r>
    </w:p>
    <w:p w:rsidR="008B2CC1" w:rsidRPr="00FA0C0E" w:rsidRDefault="00B1090C" w:rsidP="0040540C">
      <w:pPr>
        <w:jc w:val="right"/>
        <w:rPr>
          <w:lang w:val="es-419"/>
        </w:rPr>
      </w:pPr>
      <w:r w:rsidRPr="00FA0C0E">
        <w:rPr>
          <w:rFonts w:ascii="Arial Black" w:hAnsi="Arial Black"/>
          <w:caps/>
          <w:sz w:val="15"/>
          <w:lang w:val="es-419"/>
        </w:rPr>
        <w:t>ORIGINAL:</w:t>
      </w:r>
      <w:r w:rsidR="002956DE" w:rsidRPr="00FA0C0E">
        <w:rPr>
          <w:rFonts w:ascii="Arial Black" w:hAnsi="Arial Black"/>
          <w:caps/>
          <w:sz w:val="15"/>
          <w:lang w:val="es-419"/>
        </w:rPr>
        <w:t xml:space="preserve"> </w:t>
      </w:r>
      <w:bookmarkStart w:id="1" w:name="Original"/>
      <w:r w:rsidR="00485A29" w:rsidRPr="00FA0C0E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FA0C0E" w:rsidRDefault="00DE7ECE" w:rsidP="00B1090C">
      <w:pPr>
        <w:spacing w:after="1200"/>
        <w:jc w:val="right"/>
        <w:rPr>
          <w:lang w:val="es-419"/>
        </w:rPr>
      </w:pPr>
      <w:r w:rsidRPr="00FA0C0E">
        <w:rPr>
          <w:rFonts w:ascii="Arial Black" w:hAnsi="Arial Black"/>
          <w:caps/>
          <w:sz w:val="15"/>
          <w:lang w:val="es-419"/>
        </w:rPr>
        <w:t>FECHA</w:t>
      </w:r>
      <w:r w:rsidR="00B1090C" w:rsidRPr="00FA0C0E">
        <w:rPr>
          <w:rFonts w:ascii="Arial Black" w:hAnsi="Arial Black"/>
          <w:caps/>
          <w:sz w:val="15"/>
          <w:lang w:val="es-419"/>
        </w:rPr>
        <w:t>:</w:t>
      </w:r>
      <w:r w:rsidR="002956DE" w:rsidRPr="00FA0C0E">
        <w:rPr>
          <w:rFonts w:ascii="Arial Black" w:hAnsi="Arial Black"/>
          <w:caps/>
          <w:sz w:val="15"/>
          <w:lang w:val="es-419"/>
        </w:rPr>
        <w:t xml:space="preserve"> </w:t>
      </w:r>
      <w:bookmarkStart w:id="2" w:name="Date"/>
      <w:r w:rsidR="00485A29" w:rsidRPr="00FA0C0E">
        <w:rPr>
          <w:rFonts w:ascii="Arial Black" w:hAnsi="Arial Black"/>
          <w:caps/>
          <w:sz w:val="15"/>
          <w:lang w:val="es-419"/>
        </w:rPr>
        <w:t>7 DE FEBRERO DE 2022</w:t>
      </w:r>
    </w:p>
    <w:bookmarkEnd w:id="2"/>
    <w:p w:rsidR="003845C1" w:rsidRPr="00FA0C0E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419"/>
        </w:rPr>
      </w:pPr>
      <w:r w:rsidRPr="00FA0C0E">
        <w:rPr>
          <w:rFonts w:ascii="Arial" w:hAnsi="Arial"/>
          <w:b/>
          <w:spacing w:val="0"/>
          <w:sz w:val="28"/>
          <w:lang w:val="es-419"/>
        </w:rPr>
        <w:t>Comité Intergubernamental sobre Propiedad Intelectual y Recursos Genéticos, Conocimientos Tradicionales y Folclore</w:t>
      </w:r>
    </w:p>
    <w:p w:rsidR="00EA34B4" w:rsidRPr="00FA0C0E" w:rsidRDefault="00EA34B4" w:rsidP="00EA34B4">
      <w:pPr>
        <w:outlineLvl w:val="1"/>
        <w:rPr>
          <w:b/>
          <w:sz w:val="24"/>
          <w:szCs w:val="24"/>
          <w:lang w:val="es-419"/>
        </w:rPr>
      </w:pPr>
      <w:r w:rsidRPr="00FA0C0E">
        <w:rPr>
          <w:b/>
          <w:sz w:val="24"/>
          <w:szCs w:val="24"/>
          <w:lang w:val="es-419"/>
        </w:rPr>
        <w:t>Cuadragésima segunda sesión</w:t>
      </w:r>
    </w:p>
    <w:p w:rsidR="00EA34B4" w:rsidRPr="00FA0C0E" w:rsidRDefault="00EA34B4" w:rsidP="00EA34B4">
      <w:pPr>
        <w:spacing w:after="720"/>
        <w:outlineLvl w:val="1"/>
        <w:rPr>
          <w:b/>
          <w:sz w:val="24"/>
          <w:szCs w:val="24"/>
          <w:lang w:val="es-419"/>
        </w:rPr>
      </w:pPr>
      <w:r w:rsidRPr="00FA0C0E">
        <w:rPr>
          <w:b/>
          <w:sz w:val="24"/>
          <w:szCs w:val="24"/>
          <w:lang w:val="es-419"/>
        </w:rPr>
        <w:t>Ginebra, 28 de febrero a 4 de marzo de 2022</w:t>
      </w:r>
    </w:p>
    <w:p w:rsidR="00EA34B4" w:rsidRPr="00FA0C0E" w:rsidRDefault="00485A29" w:rsidP="00EA34B4">
      <w:pPr>
        <w:spacing w:after="360"/>
        <w:rPr>
          <w:caps/>
          <w:sz w:val="24"/>
          <w:lang w:val="es-419"/>
        </w:rPr>
      </w:pPr>
      <w:bookmarkStart w:id="3" w:name="TitleOfDoc"/>
      <w:r w:rsidRPr="00FA0C0E">
        <w:rPr>
          <w:caps/>
          <w:sz w:val="24"/>
          <w:lang w:val="es-419"/>
        </w:rPr>
        <w:t>PROYECTO DE ORDEN DEL DÍA</w:t>
      </w:r>
    </w:p>
    <w:p w:rsidR="00EA34B4" w:rsidRPr="00FA0C0E" w:rsidRDefault="00485A29" w:rsidP="000B257F">
      <w:pPr>
        <w:spacing w:after="960"/>
        <w:rPr>
          <w:i/>
          <w:lang w:val="es-419"/>
        </w:rPr>
      </w:pPr>
      <w:bookmarkStart w:id="4" w:name="Prepared"/>
      <w:bookmarkEnd w:id="3"/>
      <w:bookmarkEnd w:id="4"/>
      <w:r w:rsidRPr="00FA0C0E">
        <w:rPr>
          <w:i/>
          <w:lang w:val="es-419"/>
        </w:rPr>
        <w:t>preparado por la Secretaría</w:t>
      </w:r>
    </w:p>
    <w:p w:rsidR="00193AC7" w:rsidRPr="00FA0C0E" w:rsidRDefault="00193AC7" w:rsidP="00193AC7">
      <w:pPr>
        <w:pStyle w:val="ONUMFS"/>
        <w:rPr>
          <w:lang w:val="es-419"/>
        </w:rPr>
      </w:pPr>
      <w:r w:rsidRPr="00FA0C0E">
        <w:rPr>
          <w:lang w:val="es-419"/>
        </w:rPr>
        <w:t>Apertura de la sesión</w:t>
      </w:r>
    </w:p>
    <w:p w:rsidR="00193AC7" w:rsidRPr="00FA0C0E" w:rsidRDefault="00193AC7" w:rsidP="00193AC7">
      <w:pPr>
        <w:pStyle w:val="ONUMFS"/>
        <w:rPr>
          <w:lang w:val="es-419"/>
        </w:rPr>
      </w:pPr>
      <w:r w:rsidRPr="00FA0C0E">
        <w:rPr>
          <w:lang w:val="es-419"/>
        </w:rPr>
        <w:t>Elección de los integrantes de la Mesa</w:t>
      </w:r>
    </w:p>
    <w:p w:rsidR="00193AC7" w:rsidRPr="00FA0C0E" w:rsidRDefault="00193AC7" w:rsidP="00193AC7">
      <w:pPr>
        <w:pStyle w:val="ONUMFS"/>
        <w:spacing w:after="0"/>
        <w:rPr>
          <w:lang w:val="es-419"/>
        </w:rPr>
      </w:pPr>
      <w:r w:rsidRPr="00FA0C0E">
        <w:rPr>
          <w:lang w:val="es-419"/>
        </w:rPr>
        <w:t>Aprobación del orden del día</w:t>
      </w:r>
    </w:p>
    <w:p w:rsidR="00193AC7" w:rsidRPr="00FA0C0E" w:rsidRDefault="00193AC7" w:rsidP="000B257F">
      <w:pPr>
        <w:spacing w:after="240"/>
        <w:ind w:left="1134"/>
        <w:rPr>
          <w:lang w:val="es-419"/>
        </w:rPr>
      </w:pPr>
      <w:r w:rsidRPr="00FA0C0E">
        <w:rPr>
          <w:lang w:val="es-419"/>
        </w:rPr>
        <w:t>Véanse el presente documento y los documentos WIPO/GRTKF/IC/42/INF/2 y WIPO/GRTKF/IC/42/INF/3.</w:t>
      </w:r>
    </w:p>
    <w:p w:rsidR="00193AC7" w:rsidRPr="00FA0C0E" w:rsidRDefault="00193AC7" w:rsidP="00193AC7">
      <w:pPr>
        <w:pStyle w:val="ONUMFS"/>
        <w:spacing w:after="0"/>
        <w:rPr>
          <w:lang w:val="es-419"/>
        </w:rPr>
      </w:pPr>
      <w:r w:rsidRPr="00FA0C0E">
        <w:rPr>
          <w:lang w:val="es-419"/>
        </w:rPr>
        <w:t>Aprobación del informe de la cuadragésima primera sesión</w:t>
      </w:r>
    </w:p>
    <w:p w:rsidR="00193AC7" w:rsidRPr="00FA0C0E" w:rsidRDefault="00193AC7" w:rsidP="000B257F">
      <w:pPr>
        <w:spacing w:after="240"/>
        <w:ind w:left="1134"/>
        <w:rPr>
          <w:lang w:val="es-419"/>
        </w:rPr>
      </w:pPr>
      <w:r w:rsidRPr="00FA0C0E">
        <w:rPr>
          <w:lang w:val="es-419"/>
        </w:rPr>
        <w:t>Véase el documento WIPO/GRTKF/IC/41/4 Prov. 2.</w:t>
      </w:r>
    </w:p>
    <w:p w:rsidR="00193AC7" w:rsidRPr="00FA0C0E" w:rsidRDefault="00193AC7" w:rsidP="00193AC7">
      <w:pPr>
        <w:pStyle w:val="ONUMFS"/>
        <w:spacing w:after="0"/>
        <w:rPr>
          <w:lang w:val="es-419"/>
        </w:rPr>
      </w:pPr>
      <w:r w:rsidRPr="00FA0C0E">
        <w:rPr>
          <w:lang w:val="es-419"/>
        </w:rPr>
        <w:t>Acreditación de determinadas organizaciones</w:t>
      </w:r>
    </w:p>
    <w:p w:rsidR="00193AC7" w:rsidRPr="00FA0C0E" w:rsidRDefault="00193AC7" w:rsidP="000B257F">
      <w:pPr>
        <w:spacing w:after="240"/>
        <w:ind w:left="1134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WIPO/GRTKF/IC/42/2.</w:t>
      </w:r>
    </w:p>
    <w:p w:rsidR="00193AC7" w:rsidRPr="00FA0C0E" w:rsidRDefault="00193AC7" w:rsidP="00193AC7">
      <w:pPr>
        <w:pStyle w:val="ONUMFS"/>
        <w:rPr>
          <w:lang w:val="es-419"/>
        </w:rPr>
      </w:pPr>
      <w:r w:rsidRPr="00FA0C0E">
        <w:rPr>
          <w:snapToGrid w:val="0"/>
          <w:lang w:val="es-419"/>
        </w:rPr>
        <w:t>Participación de los pueblos indígenas y las comunidades locales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Informe actualizado sobre el funcionamiento del Fondo de Contribuciones Voluntarias</w:t>
      </w:r>
    </w:p>
    <w:p w:rsidR="00193AC7" w:rsidRPr="00FA0C0E" w:rsidRDefault="00193AC7" w:rsidP="000B257F">
      <w:pPr>
        <w:pStyle w:val="Footer"/>
        <w:ind w:firstLine="1701"/>
        <w:rPr>
          <w:szCs w:val="22"/>
          <w:lang w:val="es-419"/>
        </w:rPr>
      </w:pPr>
      <w:r w:rsidRPr="00FA0C0E">
        <w:rPr>
          <w:szCs w:val="22"/>
          <w:lang w:val="es-419"/>
        </w:rPr>
        <w:t xml:space="preserve">Véanse </w:t>
      </w:r>
      <w:r w:rsidRPr="00FA0C0E">
        <w:rPr>
          <w:snapToGrid w:val="0"/>
          <w:szCs w:val="22"/>
          <w:lang w:val="es-419"/>
        </w:rPr>
        <w:t xml:space="preserve">los documentos </w:t>
      </w:r>
      <w:r w:rsidRPr="00FA0C0E">
        <w:rPr>
          <w:szCs w:val="22"/>
          <w:lang w:val="es-419"/>
        </w:rPr>
        <w:t>WIPO/GRTKF/IC/42/3 y WIPO/GRTKF/IC/42/INF/4.</w:t>
      </w:r>
    </w:p>
    <w:p w:rsidR="00193AC7" w:rsidRPr="00FA0C0E" w:rsidRDefault="00193AC7" w:rsidP="00193AC7">
      <w:pPr>
        <w:rPr>
          <w:szCs w:val="22"/>
          <w:lang w:val="es-419"/>
        </w:rPr>
      </w:pPr>
      <w:r w:rsidRPr="00FA0C0E">
        <w:rPr>
          <w:szCs w:val="22"/>
          <w:lang w:val="es-419"/>
        </w:rPr>
        <w:br w:type="page"/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lastRenderedPageBreak/>
        <w:t>Nota informativa para la mesa redonda de los pueblos indígenas y las comunidades locales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ind w:left="1701"/>
        <w:rPr>
          <w:szCs w:val="22"/>
          <w:lang w:val="es-419"/>
        </w:rPr>
      </w:pPr>
      <w:r w:rsidRPr="00FA0C0E">
        <w:rPr>
          <w:snapToGrid w:val="0"/>
          <w:szCs w:val="22"/>
          <w:lang w:val="es-419"/>
        </w:rPr>
        <w:t xml:space="preserve">Véase el </w:t>
      </w:r>
      <w:r w:rsidRPr="00FA0C0E">
        <w:rPr>
          <w:szCs w:val="22"/>
          <w:lang w:val="es-419"/>
        </w:rPr>
        <w:t>documento</w:t>
      </w:r>
      <w:r w:rsidRPr="00FA0C0E">
        <w:rPr>
          <w:snapToGrid w:val="0"/>
          <w:szCs w:val="22"/>
          <w:lang w:val="es-419"/>
        </w:rPr>
        <w:t xml:space="preserve"> </w:t>
      </w:r>
      <w:r w:rsidRPr="00FA0C0E">
        <w:rPr>
          <w:szCs w:val="22"/>
          <w:lang w:val="es-419"/>
        </w:rPr>
        <w:t>WIPO/GRTKF/IC/42/INF/5.</w:t>
      </w:r>
    </w:p>
    <w:p w:rsidR="00193AC7" w:rsidRPr="00FA0C0E" w:rsidRDefault="00193AC7" w:rsidP="00193AC7">
      <w:pPr>
        <w:pStyle w:val="Footer"/>
        <w:tabs>
          <w:tab w:val="left" w:pos="567"/>
        </w:tabs>
        <w:rPr>
          <w:szCs w:val="22"/>
          <w:lang w:val="es-419"/>
        </w:rPr>
      </w:pPr>
    </w:p>
    <w:p w:rsidR="00193AC7" w:rsidRPr="00FA0C0E" w:rsidRDefault="00193AC7" w:rsidP="00193AC7">
      <w:pPr>
        <w:pStyle w:val="ONUMFS"/>
        <w:rPr>
          <w:lang w:val="es-419"/>
        </w:rPr>
      </w:pPr>
      <w:r w:rsidRPr="00FA0C0E">
        <w:rPr>
          <w:lang w:val="es-419"/>
        </w:rPr>
        <w:t>Recursos genéticos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Documento consolidado en relación con la propiedad intelectual y los recursos genéticos.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</w:t>
      </w:r>
      <w:r w:rsidRPr="00FA0C0E">
        <w:rPr>
          <w:snapToGrid w:val="0"/>
          <w:szCs w:val="22"/>
          <w:lang w:val="es-419"/>
        </w:rPr>
        <w:t xml:space="preserve"> </w:t>
      </w:r>
      <w:r w:rsidRPr="00FA0C0E">
        <w:rPr>
          <w:szCs w:val="22"/>
          <w:lang w:val="es-419"/>
        </w:rPr>
        <w:t>WIPO/GRTKF/IC/42/4.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lang w:val="es-419"/>
        </w:rPr>
        <w:t xml:space="preserve">Texto </w:t>
      </w:r>
      <w:r w:rsidRPr="00FA0C0E">
        <w:rPr>
          <w:szCs w:val="22"/>
          <w:lang w:val="es-419"/>
        </w:rPr>
        <w:t>del</w:t>
      </w:r>
      <w:r w:rsidRPr="00FA0C0E">
        <w:rPr>
          <w:lang w:val="es-419"/>
        </w:rPr>
        <w:t xml:space="preserve"> presidente sobre el </w:t>
      </w:r>
      <w:r w:rsidRPr="00FA0C0E">
        <w:rPr>
          <w:i/>
          <w:lang w:val="es-419"/>
        </w:rPr>
        <w:t>Proyecto de Instrumento jurídico internacional relativo a la propiedad intelectual, los recursos genéticos y los conocimientos tradicionales asociados a los recursos genéticos</w:t>
      </w:r>
      <w:r w:rsidRPr="00FA0C0E">
        <w:rPr>
          <w:lang w:val="es-419"/>
        </w:rPr>
        <w:t>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firstLine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WIPO/GRTKF/IC/42/5.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Informe sobre la compilación de materiales sobre las bases de datos relativas a los recursos genéticos y los conocimientos tradicionales conexos.</w:t>
      </w:r>
    </w:p>
    <w:p w:rsidR="00193AC7" w:rsidRPr="00FA0C0E" w:rsidRDefault="00193AC7" w:rsidP="000B257F">
      <w:pPr>
        <w:pStyle w:val="Footer"/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</w:t>
      </w:r>
      <w:r w:rsidRPr="00FA0C0E">
        <w:rPr>
          <w:snapToGrid w:val="0"/>
          <w:szCs w:val="22"/>
          <w:lang w:val="es-419"/>
        </w:rPr>
        <w:t xml:space="preserve"> </w:t>
      </w:r>
      <w:r w:rsidRPr="00FA0C0E">
        <w:rPr>
          <w:szCs w:val="22"/>
          <w:lang w:val="es-419"/>
        </w:rPr>
        <w:t>WIPO/GRTKF/IC/42/6.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Informe sobre la compilación de materiales sobre regímenes de divulgación relativos a los recursos genéticos y los conocimientos tradicionales conexos.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 xml:space="preserve">Véase </w:t>
      </w:r>
      <w:r w:rsidRPr="00FA0C0E">
        <w:rPr>
          <w:snapToGrid w:val="0"/>
          <w:szCs w:val="22"/>
          <w:lang w:val="es-419"/>
        </w:rPr>
        <w:t>el documento</w:t>
      </w:r>
      <w:r w:rsidRPr="00FA0C0E">
        <w:rPr>
          <w:szCs w:val="22"/>
          <w:lang w:val="es-419"/>
        </w:rPr>
        <w:t xml:space="preserve"> WIPO/GRTKF/IC/42/7.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Los efectos económicos de los retrasos y la incertidumbre en el patentamiento: inquietudes de los Estados Unidos de América respecto de las propuestas sobre los nuevos requisitos de divulgación en las solicitudes de patente.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 xml:space="preserve">Véase el </w:t>
      </w:r>
      <w:r w:rsidRPr="00FA0C0E">
        <w:rPr>
          <w:snapToGrid w:val="0"/>
          <w:szCs w:val="22"/>
          <w:lang w:val="es-419"/>
        </w:rPr>
        <w:t>documento</w:t>
      </w:r>
      <w:r w:rsidRPr="00FA0C0E">
        <w:rPr>
          <w:szCs w:val="22"/>
          <w:lang w:val="es-419"/>
        </w:rPr>
        <w:t xml:space="preserve"> WIPO/GRTKF/IC/42/8.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Recomendación conjunta sobre los recursos genéticos y los conocimientos tradicionales asociados.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WIPO/GRTKF/IC/42/9.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Recomendación conjunta sobre el uso de bases de datos para la protección preventiva de los recursos genéticos y los conocimientos tradicionales asociados a los recursos genéticos.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WIPO/GRTKF/IC/42/10.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Propuesta de mandato del estudio por la Secretaría de la OMPI sobre medidas para evitar la concesión errónea de patentes y fomentar el cumplimiento de los regímenes vigentes de acceso y participación en los beneficios.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WIPO/GRTKF/IC/42/11.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 xml:space="preserve">El requisito de divulgación internacional de la fuente de los recursos genéticos y conocimientos tradicionales conexos en las solicitudes de patente: </w:t>
      </w:r>
      <w:r w:rsidR="005A5F20" w:rsidRPr="00FA0C0E">
        <w:rPr>
          <w:szCs w:val="22"/>
          <w:lang w:val="es-419"/>
        </w:rPr>
        <w:t>u</w:t>
      </w:r>
      <w:r w:rsidRPr="00FA0C0E">
        <w:rPr>
          <w:szCs w:val="22"/>
          <w:lang w:val="es-419"/>
        </w:rPr>
        <w:t xml:space="preserve">na contribución al enfoque empírico 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WIPO/GRTKF/IC/42/12.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Glosario de los términos más importantes relacionados con la propiedad intelectual y los recursos genéticos, los conocimientos tradicionales y las expresiones culturales tradicionales.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WIPO/GRTKF/IC/42/INF/7.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lastRenderedPageBreak/>
        <w:t>Véase el documento WIPO/GRTKF/IC/42/INF/8.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Informe relativo a la compilación de información sobre regímenes sui géneris nacionales y regionales de protección de la PI de los conocimientos tradicionales y las expresiones culturales tradicionales.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WIPO/GRTKF/IC/42/INF/9.</w:t>
      </w:r>
    </w:p>
    <w:p w:rsidR="00193AC7" w:rsidRPr="00FA0C0E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419"/>
        </w:rPr>
      </w:pPr>
      <w:r w:rsidRPr="00FA0C0E">
        <w:rPr>
          <w:szCs w:val="22"/>
          <w:lang w:val="es-419"/>
        </w:rPr>
        <w:t>Recursos disponibles en las páginas del sitio web de la OMPI dedicadas a los conocimientos tradicionales, expresiones culturales tradicionales y recursos genéticos.</w:t>
      </w:r>
    </w:p>
    <w:p w:rsidR="00193AC7" w:rsidRPr="00FA0C0E" w:rsidRDefault="00193AC7" w:rsidP="000B257F">
      <w:pPr>
        <w:pStyle w:val="Footer"/>
        <w:tabs>
          <w:tab w:val="clear" w:pos="4320"/>
          <w:tab w:val="clear" w:pos="8640"/>
        </w:tabs>
        <w:spacing w:after="240"/>
        <w:ind w:left="1701"/>
        <w:rPr>
          <w:szCs w:val="22"/>
          <w:lang w:val="es-419"/>
        </w:rPr>
      </w:pPr>
      <w:r w:rsidRPr="00FA0C0E">
        <w:rPr>
          <w:szCs w:val="22"/>
          <w:lang w:val="es-419"/>
        </w:rPr>
        <w:t>Véase el documento WIPO/GRTKF/IC/42/INF/10.</w:t>
      </w:r>
    </w:p>
    <w:p w:rsidR="00193AC7" w:rsidRPr="00FA0C0E" w:rsidRDefault="00193AC7" w:rsidP="00193AC7">
      <w:pPr>
        <w:pStyle w:val="ONUMFS"/>
        <w:rPr>
          <w:szCs w:val="22"/>
          <w:lang w:val="es-419"/>
        </w:rPr>
      </w:pPr>
      <w:r w:rsidRPr="00FA0C0E">
        <w:rPr>
          <w:lang w:val="es-419"/>
        </w:rPr>
        <w:t xml:space="preserve">Establecimiento de uno o varios grupos de expertos </w:t>
      </w:r>
      <w:r w:rsidRPr="00FA0C0E">
        <w:rPr>
          <w:i/>
          <w:lang w:val="es-419"/>
        </w:rPr>
        <w:t>ad hoc</w:t>
      </w:r>
    </w:p>
    <w:p w:rsidR="00193AC7" w:rsidRPr="00FA0C0E" w:rsidRDefault="00193AC7" w:rsidP="00193AC7">
      <w:pPr>
        <w:pStyle w:val="ONUMFS"/>
        <w:rPr>
          <w:szCs w:val="22"/>
          <w:lang w:val="es-419"/>
        </w:rPr>
      </w:pPr>
      <w:r w:rsidRPr="00FA0C0E">
        <w:rPr>
          <w:szCs w:val="22"/>
          <w:lang w:val="es-419"/>
        </w:rPr>
        <w:t>Otros asuntos</w:t>
      </w:r>
    </w:p>
    <w:p w:rsidR="00193AC7" w:rsidRPr="00FA0C0E" w:rsidRDefault="00193AC7" w:rsidP="00193AC7">
      <w:pPr>
        <w:pStyle w:val="ONUMFS"/>
        <w:spacing w:after="600"/>
        <w:rPr>
          <w:szCs w:val="22"/>
          <w:lang w:val="es-419"/>
        </w:rPr>
      </w:pPr>
      <w:r w:rsidRPr="00FA0C0E">
        <w:rPr>
          <w:szCs w:val="22"/>
          <w:lang w:val="es-419"/>
        </w:rPr>
        <w:t>Clausura de la sesión</w:t>
      </w:r>
    </w:p>
    <w:p w:rsidR="00EA34B4" w:rsidRPr="00FA0C0E" w:rsidRDefault="00193AC7" w:rsidP="00193AC7">
      <w:pPr>
        <w:pStyle w:val="Endofdocument-Annex"/>
        <w:rPr>
          <w:lang w:val="es-419"/>
        </w:rPr>
      </w:pPr>
      <w:r w:rsidRPr="00FA0C0E">
        <w:rPr>
          <w:lang w:val="es-419"/>
        </w:rPr>
        <w:t>[Fin del documento]</w:t>
      </w:r>
    </w:p>
    <w:sectPr w:rsidR="00EA34B4" w:rsidRPr="00FA0C0E" w:rsidSect="00480A79">
      <w:headerReference w:type="default" r:id="rId9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F0" w:rsidRDefault="007534F0">
      <w:r>
        <w:separator/>
      </w:r>
    </w:p>
  </w:endnote>
  <w:endnote w:type="continuationSeparator" w:id="0">
    <w:p w:rsidR="007534F0" w:rsidRPr="009D30E6" w:rsidRDefault="007534F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34F0" w:rsidRPr="009D30E6" w:rsidRDefault="007534F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534F0" w:rsidRPr="009D30E6" w:rsidRDefault="007534F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F0" w:rsidRDefault="007534F0">
      <w:r>
        <w:separator/>
      </w:r>
    </w:p>
  </w:footnote>
  <w:footnote w:type="continuationSeparator" w:id="0">
    <w:p w:rsidR="007534F0" w:rsidRDefault="007534F0" w:rsidP="007461F1">
      <w:r>
        <w:separator/>
      </w:r>
    </w:p>
    <w:p w:rsidR="007534F0" w:rsidRPr="009D30E6" w:rsidRDefault="007534F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534F0" w:rsidRPr="009D30E6" w:rsidRDefault="007534F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0B257F" w:rsidRDefault="00EA34B4" w:rsidP="00477D6B">
    <w:pPr>
      <w:jc w:val="right"/>
      <w:rPr>
        <w:caps/>
        <w:lang w:val="es-ES_tradnl"/>
      </w:rPr>
    </w:pPr>
    <w:bookmarkStart w:id="5" w:name="Code2"/>
    <w:bookmarkEnd w:id="5"/>
    <w:r w:rsidRPr="000B257F">
      <w:rPr>
        <w:caps/>
        <w:lang w:val="es-ES_tradnl"/>
      </w:rPr>
      <w:t>WIPO/GRTKF/IC/42</w:t>
    </w:r>
    <w:r w:rsidR="006C5AC7" w:rsidRPr="000B257F">
      <w:rPr>
        <w:caps/>
        <w:lang w:val="es-ES_tradnl"/>
      </w:rPr>
      <w:t xml:space="preserve">/1 </w:t>
    </w:r>
    <w:r w:rsidR="000B257F" w:rsidRPr="000B257F">
      <w:rPr>
        <w:lang w:val="es-ES_tradnl"/>
      </w:rPr>
      <w:t>P</w:t>
    </w:r>
    <w:r w:rsidR="006C5AC7" w:rsidRPr="000B257F">
      <w:rPr>
        <w:lang w:val="es-ES_tradnl"/>
      </w:rPr>
      <w:t>rov</w:t>
    </w:r>
    <w:r w:rsidR="006C5AC7" w:rsidRPr="000B257F">
      <w:rPr>
        <w:caps/>
        <w:lang w:val="es-ES_tradnl"/>
      </w:rPr>
      <w:t>. 2</w:t>
    </w:r>
  </w:p>
  <w:p w:rsidR="00F16975" w:rsidRPr="000B257F" w:rsidRDefault="006C5AC7" w:rsidP="00477D6B">
    <w:pPr>
      <w:jc w:val="right"/>
      <w:rPr>
        <w:lang w:val="es-ES_tradnl"/>
      </w:rPr>
    </w:pPr>
    <w:r w:rsidRPr="000B257F">
      <w:rPr>
        <w:lang w:val="es-ES_tradnl"/>
      </w:rPr>
      <w:t xml:space="preserve">página </w:t>
    </w:r>
    <w:r w:rsidRPr="000B257F">
      <w:rPr>
        <w:lang w:val="es-ES_tradnl"/>
      </w:rPr>
      <w:fldChar w:fldCharType="begin"/>
    </w:r>
    <w:r w:rsidRPr="000B257F">
      <w:rPr>
        <w:lang w:val="es-ES_tradnl"/>
      </w:rPr>
      <w:instrText xml:space="preserve"> PAGE   \* MERGEFORMAT </w:instrText>
    </w:r>
    <w:r w:rsidRPr="000B257F">
      <w:rPr>
        <w:lang w:val="es-ES_tradnl"/>
      </w:rPr>
      <w:fldChar w:fldCharType="separate"/>
    </w:r>
    <w:r w:rsidR="0006301A">
      <w:rPr>
        <w:noProof/>
        <w:lang w:val="es-ES_tradnl"/>
      </w:rPr>
      <w:t>2</w:t>
    </w:r>
    <w:r w:rsidRPr="000B257F">
      <w:rPr>
        <w:noProof/>
        <w:lang w:val="es-ES_tradnl"/>
      </w:rPr>
      <w:fldChar w:fldCharType="end"/>
    </w:r>
  </w:p>
  <w:p w:rsidR="00F16975" w:rsidRPr="000B257F" w:rsidRDefault="00F16975" w:rsidP="00477D6B">
    <w:pPr>
      <w:jc w:val="right"/>
      <w:rPr>
        <w:lang w:val="es-ES_tradnl"/>
      </w:rPr>
    </w:pPr>
  </w:p>
  <w:p w:rsidR="00DB6F2D" w:rsidRPr="000B257F" w:rsidRDefault="00DB6F2D" w:rsidP="00EA34B4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1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B4"/>
    <w:rsid w:val="00011B7D"/>
    <w:rsid w:val="0006301A"/>
    <w:rsid w:val="00075432"/>
    <w:rsid w:val="0009458A"/>
    <w:rsid w:val="000B257F"/>
    <w:rsid w:val="000C04EA"/>
    <w:rsid w:val="000F5E56"/>
    <w:rsid w:val="001362EE"/>
    <w:rsid w:val="001832A6"/>
    <w:rsid w:val="00184BDC"/>
    <w:rsid w:val="00193AC7"/>
    <w:rsid w:val="00195C6E"/>
    <w:rsid w:val="001B266A"/>
    <w:rsid w:val="001B488E"/>
    <w:rsid w:val="001C6508"/>
    <w:rsid w:val="001D3D56"/>
    <w:rsid w:val="00215393"/>
    <w:rsid w:val="0023495E"/>
    <w:rsid w:val="00240654"/>
    <w:rsid w:val="002634C4"/>
    <w:rsid w:val="00265E63"/>
    <w:rsid w:val="002956DE"/>
    <w:rsid w:val="002A34EF"/>
    <w:rsid w:val="002D7258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80A79"/>
    <w:rsid w:val="00485A29"/>
    <w:rsid w:val="004B05CE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A5F20"/>
    <w:rsid w:val="005E6516"/>
    <w:rsid w:val="00605827"/>
    <w:rsid w:val="0061479F"/>
    <w:rsid w:val="00616155"/>
    <w:rsid w:val="00616671"/>
    <w:rsid w:val="006B0DB5"/>
    <w:rsid w:val="006C5AC7"/>
    <w:rsid w:val="006D315B"/>
    <w:rsid w:val="007461F1"/>
    <w:rsid w:val="007534F0"/>
    <w:rsid w:val="007D6961"/>
    <w:rsid w:val="007F07CB"/>
    <w:rsid w:val="00810CEF"/>
    <w:rsid w:val="0081208D"/>
    <w:rsid w:val="008827FC"/>
    <w:rsid w:val="008B2CC1"/>
    <w:rsid w:val="008E7930"/>
    <w:rsid w:val="008F6FD2"/>
    <w:rsid w:val="0090731E"/>
    <w:rsid w:val="00966A22"/>
    <w:rsid w:val="009700B4"/>
    <w:rsid w:val="00974CD6"/>
    <w:rsid w:val="009D30E6"/>
    <w:rsid w:val="009E3F6F"/>
    <w:rsid w:val="009F499F"/>
    <w:rsid w:val="00A11D74"/>
    <w:rsid w:val="00A120B5"/>
    <w:rsid w:val="00A45576"/>
    <w:rsid w:val="00AC0AE4"/>
    <w:rsid w:val="00AD61DB"/>
    <w:rsid w:val="00B0497E"/>
    <w:rsid w:val="00B1090C"/>
    <w:rsid w:val="00B35AF5"/>
    <w:rsid w:val="00B45C15"/>
    <w:rsid w:val="00BB2E8C"/>
    <w:rsid w:val="00BE0BE0"/>
    <w:rsid w:val="00C35990"/>
    <w:rsid w:val="00C35E05"/>
    <w:rsid w:val="00C664C8"/>
    <w:rsid w:val="00C9191E"/>
    <w:rsid w:val="00CF0460"/>
    <w:rsid w:val="00D43E0F"/>
    <w:rsid w:val="00D45252"/>
    <w:rsid w:val="00D71B4D"/>
    <w:rsid w:val="00D75C1E"/>
    <w:rsid w:val="00D93D55"/>
    <w:rsid w:val="00DB1C48"/>
    <w:rsid w:val="00DB68A0"/>
    <w:rsid w:val="00DB6F2D"/>
    <w:rsid w:val="00DD4917"/>
    <w:rsid w:val="00DD6A16"/>
    <w:rsid w:val="00DE7ECE"/>
    <w:rsid w:val="00E0091A"/>
    <w:rsid w:val="00E056C2"/>
    <w:rsid w:val="00E203AA"/>
    <w:rsid w:val="00E5217A"/>
    <w:rsid w:val="00E527A5"/>
    <w:rsid w:val="00E76456"/>
    <w:rsid w:val="00EA34B4"/>
    <w:rsid w:val="00EB018A"/>
    <w:rsid w:val="00EB2D45"/>
    <w:rsid w:val="00EB35AC"/>
    <w:rsid w:val="00EE64F1"/>
    <w:rsid w:val="00EE71CB"/>
    <w:rsid w:val="00F127FD"/>
    <w:rsid w:val="00F16975"/>
    <w:rsid w:val="00F50CA1"/>
    <w:rsid w:val="00F66152"/>
    <w:rsid w:val="00F91BE0"/>
    <w:rsid w:val="00FA0C0E"/>
    <w:rsid w:val="00FE19E9"/>
    <w:rsid w:val="00FF4371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339F175-DF26-449D-B3F3-EB940614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  <w:style w:type="paragraph" w:customStyle="1" w:styleId="Endofdocument">
    <w:name w:val="End of document"/>
    <w:basedOn w:val="Normal"/>
    <w:semiHidden/>
    <w:rsid w:val="00485A2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customStyle="1" w:styleId="FooterChar">
    <w:name w:val="Footer Char"/>
    <w:link w:val="Footer"/>
    <w:semiHidden/>
    <w:rsid w:val="00485A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3FDF-7ADB-4080-887F-2ED033D8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3554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CEVALLOS DUQUE Nilo</dc:creator>
  <cp:keywords>FOR OFFICIAL USE ONLY</cp:keywords>
  <cp:lastModifiedBy>MORENO PALESTINI Maria del Pilar</cp:lastModifiedBy>
  <cp:revision>4</cp:revision>
  <cp:lastPrinted>2011-05-19T12:37:00Z</cp:lastPrinted>
  <dcterms:created xsi:type="dcterms:W3CDTF">2022-02-10T07:53:00Z</dcterms:created>
  <dcterms:modified xsi:type="dcterms:W3CDTF">2022-02-10T10:41:00Z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