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B17" w:rsidRPr="000C2E9F" w:rsidRDefault="00DE7ECE" w:rsidP="0061479F">
      <w:pPr>
        <w:pBdr>
          <w:bottom w:val="single" w:sz="4" w:space="9" w:color="auto"/>
        </w:pBdr>
        <w:spacing w:after="120"/>
        <w:jc w:val="right"/>
        <w:rPr>
          <w:lang w:val="es-419"/>
        </w:rPr>
      </w:pPr>
      <w:r w:rsidRPr="000C2E9F">
        <w:rPr>
          <w:noProof/>
          <w:lang w:val="en-US" w:eastAsia="en-US"/>
        </w:rPr>
        <w:drawing>
          <wp:inline distT="0" distB="0" distL="0" distR="0" wp14:anchorId="0FD70A5B" wp14:editId="47B4FBD5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B17" w:rsidRPr="000C2E9F" w:rsidRDefault="00BB2E8C" w:rsidP="0040540C">
      <w:pPr>
        <w:jc w:val="right"/>
        <w:rPr>
          <w:rFonts w:ascii="Arial Black" w:hAnsi="Arial Black"/>
          <w:caps/>
          <w:sz w:val="15"/>
          <w:lang w:val="es-419"/>
        </w:rPr>
      </w:pPr>
      <w:r w:rsidRPr="000C2E9F">
        <w:rPr>
          <w:rFonts w:ascii="Arial Black" w:hAnsi="Arial Black"/>
          <w:caps/>
          <w:sz w:val="15"/>
          <w:lang w:val="es-419"/>
        </w:rPr>
        <w:t>WIPO/GRTKF/IC/42</w:t>
      </w:r>
      <w:bookmarkStart w:id="0" w:name="Code"/>
      <w:bookmarkEnd w:id="0"/>
      <w:r w:rsidR="009456A2" w:rsidRPr="000C2E9F">
        <w:rPr>
          <w:rFonts w:ascii="Arial Black" w:hAnsi="Arial Black"/>
          <w:caps/>
          <w:sz w:val="15"/>
          <w:lang w:val="es-419"/>
        </w:rPr>
        <w:t>/inf/10</w:t>
      </w:r>
    </w:p>
    <w:p w:rsidR="00203B17" w:rsidRPr="000C2E9F" w:rsidRDefault="00B1090C" w:rsidP="0040540C">
      <w:pPr>
        <w:jc w:val="right"/>
        <w:rPr>
          <w:lang w:val="es-419"/>
        </w:rPr>
      </w:pPr>
      <w:r w:rsidRPr="000C2E9F">
        <w:rPr>
          <w:rFonts w:ascii="Arial Black" w:hAnsi="Arial Black"/>
          <w:caps/>
          <w:sz w:val="15"/>
          <w:lang w:val="es-419"/>
        </w:rPr>
        <w:t>ORIGINAL:</w:t>
      </w:r>
      <w:r w:rsidR="002956DE" w:rsidRPr="000C2E9F">
        <w:rPr>
          <w:rFonts w:ascii="Arial Black" w:hAnsi="Arial Black"/>
          <w:caps/>
          <w:sz w:val="15"/>
          <w:lang w:val="es-419"/>
        </w:rPr>
        <w:t xml:space="preserve"> </w:t>
      </w:r>
      <w:bookmarkStart w:id="1" w:name="Original"/>
      <w:r w:rsidR="009456A2" w:rsidRPr="000C2E9F">
        <w:rPr>
          <w:rFonts w:ascii="Arial Black" w:hAnsi="Arial Black"/>
          <w:caps/>
          <w:sz w:val="15"/>
          <w:lang w:val="es-419"/>
        </w:rPr>
        <w:t>inglés</w:t>
      </w:r>
    </w:p>
    <w:bookmarkEnd w:id="1"/>
    <w:p w:rsidR="00203B17" w:rsidRPr="000C2E9F" w:rsidRDefault="00DE7ECE" w:rsidP="00B1090C">
      <w:pPr>
        <w:spacing w:after="1200"/>
        <w:jc w:val="right"/>
        <w:rPr>
          <w:lang w:val="es-419"/>
        </w:rPr>
      </w:pPr>
      <w:r w:rsidRPr="000C2E9F">
        <w:rPr>
          <w:rFonts w:ascii="Arial Black" w:hAnsi="Arial Black"/>
          <w:caps/>
          <w:sz w:val="15"/>
          <w:lang w:val="es-419"/>
        </w:rPr>
        <w:t>FECHA</w:t>
      </w:r>
      <w:r w:rsidR="00B1090C" w:rsidRPr="000C2E9F">
        <w:rPr>
          <w:rFonts w:ascii="Arial Black" w:hAnsi="Arial Black"/>
          <w:caps/>
          <w:sz w:val="15"/>
          <w:lang w:val="es-419"/>
        </w:rPr>
        <w:t>:</w:t>
      </w:r>
      <w:r w:rsidR="002956DE" w:rsidRPr="000C2E9F">
        <w:rPr>
          <w:rFonts w:ascii="Arial Black" w:hAnsi="Arial Black"/>
          <w:caps/>
          <w:sz w:val="15"/>
          <w:lang w:val="es-419"/>
        </w:rPr>
        <w:t xml:space="preserve"> </w:t>
      </w:r>
      <w:bookmarkStart w:id="2" w:name="Date"/>
      <w:r w:rsidR="009456A2" w:rsidRPr="000C2E9F">
        <w:rPr>
          <w:rFonts w:ascii="Arial Black" w:hAnsi="Arial Black"/>
          <w:caps/>
          <w:sz w:val="15"/>
          <w:lang w:val="es-419"/>
        </w:rPr>
        <w:t>28 de enero de 2022</w:t>
      </w:r>
    </w:p>
    <w:bookmarkEnd w:id="2"/>
    <w:p w:rsidR="00203B17" w:rsidRPr="000C2E9F" w:rsidRDefault="00DE7ECE" w:rsidP="00F127FD">
      <w:pPr>
        <w:pStyle w:val="Title"/>
        <w:spacing w:after="480"/>
        <w:contextualSpacing w:val="0"/>
        <w:rPr>
          <w:rFonts w:ascii="Arial" w:hAnsi="Arial"/>
          <w:b/>
          <w:spacing w:val="0"/>
          <w:sz w:val="28"/>
          <w:lang w:val="es-419"/>
        </w:rPr>
      </w:pPr>
      <w:r w:rsidRPr="000C2E9F">
        <w:rPr>
          <w:rFonts w:ascii="Arial" w:hAnsi="Arial"/>
          <w:b/>
          <w:spacing w:val="0"/>
          <w:sz w:val="28"/>
          <w:lang w:val="es-419"/>
        </w:rPr>
        <w:t>Comité Intergubernamental sobre Propiedad Intelectual y Recursos Genéticos, Conocimientos Tradicionales y Folclore</w:t>
      </w:r>
    </w:p>
    <w:p w:rsidR="00203B17" w:rsidRPr="000C2E9F" w:rsidRDefault="00EA34B4" w:rsidP="00EA34B4">
      <w:pPr>
        <w:outlineLvl w:val="1"/>
        <w:rPr>
          <w:b/>
          <w:sz w:val="24"/>
          <w:szCs w:val="24"/>
          <w:lang w:val="es-419"/>
        </w:rPr>
      </w:pPr>
      <w:r w:rsidRPr="000C2E9F">
        <w:rPr>
          <w:b/>
          <w:sz w:val="24"/>
          <w:szCs w:val="24"/>
          <w:lang w:val="es-419"/>
        </w:rPr>
        <w:t>Cuadragésima segunda sesión</w:t>
      </w:r>
    </w:p>
    <w:p w:rsidR="00203B17" w:rsidRPr="000C2E9F" w:rsidRDefault="00EA34B4" w:rsidP="00EA34B4">
      <w:pPr>
        <w:spacing w:after="720"/>
        <w:outlineLvl w:val="1"/>
        <w:rPr>
          <w:b/>
          <w:sz w:val="24"/>
          <w:szCs w:val="24"/>
          <w:lang w:val="es-419"/>
        </w:rPr>
      </w:pPr>
      <w:r w:rsidRPr="000C2E9F">
        <w:rPr>
          <w:b/>
          <w:sz w:val="24"/>
          <w:szCs w:val="24"/>
          <w:lang w:val="es-419"/>
        </w:rPr>
        <w:t>Ginebra, 28 de febrero a 4 de marzo de 2022</w:t>
      </w:r>
    </w:p>
    <w:p w:rsidR="00203B17" w:rsidRPr="000C2E9F" w:rsidRDefault="009456A2" w:rsidP="00EA34B4">
      <w:pPr>
        <w:spacing w:after="360"/>
        <w:rPr>
          <w:caps/>
          <w:sz w:val="24"/>
          <w:lang w:val="es-419"/>
        </w:rPr>
      </w:pPr>
      <w:bookmarkStart w:id="3" w:name="TitleOfDoc"/>
      <w:bookmarkStart w:id="4" w:name="_GoBack"/>
      <w:r w:rsidRPr="000C2E9F">
        <w:rPr>
          <w:sz w:val="24"/>
          <w:lang w:val="es-419"/>
        </w:rPr>
        <w:t>RECURSOS DISPONIBLES EN LAS PÁGINAS DEL SITIO WEB DE LA OMPI DEDICADAS A LOS CONOCIMIENTOS TRADICIONALES, LAS EXPRESIONES CULTURALES TRADICIONALES Y LOS RECURSOS GENÉTICOS</w:t>
      </w:r>
    </w:p>
    <w:p w:rsidR="00203B17" w:rsidRPr="000C2E9F" w:rsidRDefault="009456A2" w:rsidP="00EA34B4">
      <w:pPr>
        <w:spacing w:after="1040"/>
        <w:rPr>
          <w:i/>
          <w:lang w:val="es-419"/>
        </w:rPr>
      </w:pPr>
      <w:bookmarkStart w:id="5" w:name="Prepared"/>
      <w:bookmarkEnd w:id="3"/>
      <w:bookmarkEnd w:id="5"/>
      <w:bookmarkEnd w:id="4"/>
      <w:r w:rsidRPr="000C2E9F">
        <w:rPr>
          <w:i/>
          <w:lang w:val="es-419"/>
        </w:rPr>
        <w:t>Documento preparado por la Secretaría</w:t>
      </w:r>
    </w:p>
    <w:p w:rsidR="00203B17" w:rsidRPr="000C2E9F" w:rsidRDefault="009456A2" w:rsidP="009456A2">
      <w:pPr>
        <w:pStyle w:val="ONUMFS"/>
        <w:rPr>
          <w:lang w:val="es-419"/>
        </w:rPr>
      </w:pPr>
      <w:r w:rsidRPr="000C2E9F">
        <w:rPr>
          <w:lang w:val="es-419"/>
        </w:rPr>
        <w:t>En su vigésima sesión, celebrada del 14 al 22 de febrero de 2012, el Comité Intergubernamental sobre Propiedad Intelectual y Recursos Genéticos, Conocimientos Tradicionales y Folclore (“el CIG”) invitó a la Secretaría a elaborar un documento de información que describiera sucintamente los recursos disponibles en las páginas del sitio web de la OMPI dedicadas a los conocimientos tradicionales, las expresiones culturales tradicionales y los recursos genéticos (“páginas del sitio web de la OMPI sobre CC.TT.”)</w:t>
      </w:r>
      <w:r w:rsidRPr="000C2E9F">
        <w:rPr>
          <w:rStyle w:val="FootnoteReference"/>
          <w:szCs w:val="22"/>
          <w:lang w:val="es-419"/>
        </w:rPr>
        <w:t xml:space="preserve"> </w:t>
      </w:r>
      <w:r w:rsidRPr="000C2E9F">
        <w:rPr>
          <w:rStyle w:val="FootnoteReference"/>
          <w:szCs w:val="22"/>
          <w:lang w:val="es-419"/>
        </w:rPr>
        <w:footnoteReference w:id="2"/>
      </w:r>
      <w:r w:rsidRPr="000C2E9F">
        <w:rPr>
          <w:lang w:val="es-419"/>
        </w:rPr>
        <w:t>.</w:t>
      </w:r>
    </w:p>
    <w:p w:rsidR="00203B17" w:rsidRPr="000C2E9F" w:rsidRDefault="009456A2" w:rsidP="009456A2">
      <w:pPr>
        <w:pStyle w:val="ONUMFS"/>
        <w:rPr>
          <w:lang w:val="es-419" w:eastAsia="en-US"/>
        </w:rPr>
      </w:pPr>
      <w:r w:rsidRPr="000C2E9F">
        <w:rPr>
          <w:lang w:val="es-419" w:eastAsia="en-US"/>
        </w:rPr>
        <w:t>De acuerdo con dicha decisión, se preparó una descripción detallada de los recursos disponibles en las páginas del sitio web de la OMPI sobre CC.TT. (</w:t>
      </w:r>
      <w:hyperlink r:id="rId9" w:history="1">
        <w:r w:rsidRPr="000C2E9F">
          <w:rPr>
            <w:rStyle w:val="Hyperlink"/>
            <w:color w:val="auto"/>
            <w:lang w:val="es-419"/>
          </w:rPr>
          <w:t>https://www.wipo.int/tk/es/</w:t>
        </w:r>
      </w:hyperlink>
      <w:r w:rsidRPr="000C2E9F">
        <w:rPr>
          <w:lang w:val="es-419" w:eastAsia="en-US"/>
        </w:rPr>
        <w:t>) para todas las sesiones posteriores del CIG.</w:t>
      </w:r>
      <w:r w:rsidR="001050B4" w:rsidRPr="000C2E9F">
        <w:rPr>
          <w:lang w:val="es-419" w:eastAsia="en-US"/>
        </w:rPr>
        <w:t xml:space="preserve"> </w:t>
      </w:r>
      <w:r w:rsidRPr="000C2E9F">
        <w:rPr>
          <w:lang w:val="es-419" w:eastAsia="en-US"/>
        </w:rPr>
        <w:t>La última versión se incluyó en el documento WIPO/GRTKF/IC/35/INF/8.</w:t>
      </w:r>
    </w:p>
    <w:p w:rsidR="00203B17" w:rsidRPr="000C2E9F" w:rsidRDefault="009456A2" w:rsidP="009456A2">
      <w:pPr>
        <w:pStyle w:val="ONUMFS"/>
        <w:rPr>
          <w:lang w:val="es-419" w:eastAsia="en-US"/>
        </w:rPr>
      </w:pPr>
      <w:r w:rsidRPr="000C2E9F">
        <w:rPr>
          <w:lang w:val="es-419" w:eastAsia="en-US"/>
        </w:rPr>
        <w:t>Como se indica en el documento WIPO/GRTKF/IC/30/INF/8, preparado para la trigésima sesión del CIG, este documento de información se publicará una vez al año solamente o cuando se produzcan cambios significativos en el sitio web.</w:t>
      </w:r>
    </w:p>
    <w:p w:rsidR="00203B17" w:rsidRPr="000C2E9F" w:rsidRDefault="009456A2" w:rsidP="009456A2">
      <w:pPr>
        <w:rPr>
          <w:lang w:val="es-419" w:eastAsia="en-US"/>
        </w:rPr>
      </w:pPr>
      <w:r w:rsidRPr="000C2E9F">
        <w:rPr>
          <w:lang w:val="es-419" w:eastAsia="en-US"/>
        </w:rPr>
        <w:br w:type="page"/>
      </w:r>
    </w:p>
    <w:p w:rsidR="00203B17" w:rsidRPr="000C2E9F" w:rsidRDefault="009456A2" w:rsidP="009456A2">
      <w:pPr>
        <w:pStyle w:val="ONUMFS"/>
        <w:rPr>
          <w:lang w:val="es-419" w:eastAsia="en-US"/>
        </w:rPr>
      </w:pPr>
      <w:r w:rsidRPr="000C2E9F">
        <w:rPr>
          <w:szCs w:val="22"/>
          <w:lang w:val="es-419"/>
        </w:rPr>
        <w:lastRenderedPageBreak/>
        <w:t>En el presente Anexo figura una lista con las entradas principales de las páginas del sitio web de la OMPI sobre CC.TT. y se informa sobre los nuevos recursos introducidos desde enero de 201</w:t>
      </w:r>
      <w:r w:rsidR="000F1615" w:rsidRPr="000C2E9F">
        <w:rPr>
          <w:szCs w:val="22"/>
          <w:lang w:val="es-419"/>
        </w:rPr>
        <w:t>8</w:t>
      </w:r>
      <w:r w:rsidRPr="000C2E9F">
        <w:rPr>
          <w:lang w:val="es-419" w:eastAsia="en-US"/>
        </w:rPr>
        <w:t>, fecha en la que se actualizó por última vez esta información.</w:t>
      </w:r>
    </w:p>
    <w:p w:rsidR="00203B17" w:rsidRPr="000C2E9F" w:rsidRDefault="009456A2" w:rsidP="00223553">
      <w:pPr>
        <w:pStyle w:val="ONUMFS"/>
        <w:tabs>
          <w:tab w:val="left" w:pos="6096"/>
        </w:tabs>
        <w:spacing w:after="600"/>
        <w:ind w:left="5528"/>
        <w:rPr>
          <w:i/>
          <w:lang w:val="es-419"/>
        </w:rPr>
      </w:pPr>
      <w:r w:rsidRPr="000C2E9F">
        <w:rPr>
          <w:i/>
          <w:lang w:val="es-419"/>
        </w:rPr>
        <w:t xml:space="preserve">Se </w:t>
      </w:r>
      <w:r w:rsidRPr="000C2E9F">
        <w:rPr>
          <w:i/>
          <w:lang w:val="es-419" w:eastAsia="en-US"/>
        </w:rPr>
        <w:t>invita</w:t>
      </w:r>
      <w:r w:rsidRPr="000C2E9F">
        <w:rPr>
          <w:i/>
          <w:lang w:val="es-419"/>
        </w:rPr>
        <w:t xml:space="preserve"> al CIG a tomar nota del presente documento y de su Anexo.</w:t>
      </w:r>
    </w:p>
    <w:p w:rsidR="00203B17" w:rsidRPr="000C2E9F" w:rsidRDefault="009456A2" w:rsidP="009456A2">
      <w:pPr>
        <w:pStyle w:val="Endofdocument-Annex"/>
        <w:rPr>
          <w:lang w:val="es-419"/>
        </w:rPr>
      </w:pPr>
      <w:r w:rsidRPr="000C2E9F">
        <w:rPr>
          <w:lang w:val="es-419"/>
        </w:rPr>
        <w:t>[Sigue el Anexo]</w:t>
      </w:r>
    </w:p>
    <w:p w:rsidR="00203B17" w:rsidRPr="000C2E9F" w:rsidRDefault="00203B17" w:rsidP="009456A2">
      <w:pPr>
        <w:pStyle w:val="ONUMFS"/>
        <w:numPr>
          <w:ilvl w:val="0"/>
          <w:numId w:val="0"/>
        </w:numPr>
        <w:ind w:left="6663"/>
        <w:rPr>
          <w:lang w:val="es-419"/>
        </w:rPr>
      </w:pPr>
    </w:p>
    <w:p w:rsidR="009456A2" w:rsidRPr="000C2E9F" w:rsidRDefault="009456A2" w:rsidP="009456A2">
      <w:pPr>
        <w:rPr>
          <w:lang w:val="es-419"/>
        </w:rPr>
        <w:sectPr w:rsidR="009456A2" w:rsidRPr="000C2E9F" w:rsidSect="00966E80">
          <w:headerReference w:type="even" r:id="rId10"/>
          <w:headerReference w:type="default" r:id="rId11"/>
          <w:footerReference w:type="default" r:id="rId12"/>
          <w:head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03B17" w:rsidRPr="000C2E9F" w:rsidRDefault="009456A2" w:rsidP="00223553">
      <w:pPr>
        <w:spacing w:before="360"/>
        <w:rPr>
          <w:caps/>
          <w:szCs w:val="22"/>
          <w:lang w:val="es-419"/>
        </w:rPr>
      </w:pPr>
      <w:r w:rsidRPr="000C2E9F">
        <w:rPr>
          <w:szCs w:val="22"/>
          <w:lang w:val="es-419"/>
        </w:rPr>
        <w:lastRenderedPageBreak/>
        <w:t>RECURSOS DISPONIBLES EN LAS PÁGINAS DEL SITIO WEB DE LA OMPI DEDICADAS A LOS CONOCIMIENTOS TRADICIONALES, LAS EXPRESIONES CULTURALES TRADICIONALES Y LOS RECURSOS GENÉTICOS</w:t>
      </w:r>
    </w:p>
    <w:p w:rsidR="00203B17" w:rsidRPr="000C2E9F" w:rsidRDefault="00203B17" w:rsidP="009456A2">
      <w:pPr>
        <w:pStyle w:val="ONUMFS"/>
        <w:numPr>
          <w:ilvl w:val="0"/>
          <w:numId w:val="0"/>
        </w:numPr>
        <w:spacing w:after="0"/>
        <w:rPr>
          <w:lang w:val="es-419"/>
        </w:rPr>
      </w:pPr>
    </w:p>
    <w:p w:rsidR="00203B17" w:rsidRPr="000C2E9F" w:rsidRDefault="00203B17" w:rsidP="009456A2">
      <w:pPr>
        <w:pStyle w:val="ONUMFS"/>
        <w:numPr>
          <w:ilvl w:val="0"/>
          <w:numId w:val="0"/>
        </w:numPr>
        <w:spacing w:after="0"/>
        <w:rPr>
          <w:lang w:val="es-419"/>
        </w:rPr>
      </w:pPr>
    </w:p>
    <w:p w:rsidR="00203B17" w:rsidRPr="000C2E9F" w:rsidRDefault="009456A2" w:rsidP="009456A2">
      <w:pPr>
        <w:rPr>
          <w:szCs w:val="22"/>
          <w:lang w:val="es-419"/>
        </w:rPr>
      </w:pPr>
      <w:r w:rsidRPr="000C2E9F">
        <w:rPr>
          <w:szCs w:val="22"/>
          <w:lang w:val="es-419"/>
        </w:rPr>
        <w:fldChar w:fldCharType="begin"/>
      </w:r>
      <w:r w:rsidRPr="000C2E9F">
        <w:rPr>
          <w:szCs w:val="22"/>
          <w:lang w:val="es-419"/>
        </w:rPr>
        <w:instrText xml:space="preserve"> AUTONUM  </w:instrText>
      </w:r>
      <w:r w:rsidRPr="000C2E9F">
        <w:rPr>
          <w:szCs w:val="22"/>
          <w:lang w:val="es-419"/>
        </w:rPr>
        <w:fldChar w:fldCharType="end"/>
      </w:r>
      <w:r w:rsidRPr="000C2E9F">
        <w:rPr>
          <w:szCs w:val="22"/>
          <w:lang w:val="es-419"/>
        </w:rPr>
        <w:tab/>
        <w:t>En el presente Anexo figura una lista con las entradas principales de las páginas del sitio web de la OMPI sobre CC.TT. (</w:t>
      </w:r>
      <w:hyperlink r:id="rId14" w:history="1">
        <w:r w:rsidR="000F1615" w:rsidRPr="000C2E9F">
          <w:rPr>
            <w:rStyle w:val="Hyperlink"/>
            <w:color w:val="auto"/>
            <w:szCs w:val="22"/>
            <w:lang w:val="es-419"/>
          </w:rPr>
          <w:t>https://www.wipo.int/tk/es/</w:t>
        </w:r>
      </w:hyperlink>
      <w:r w:rsidRPr="000C2E9F">
        <w:rPr>
          <w:szCs w:val="22"/>
          <w:lang w:val="es-419"/>
        </w:rPr>
        <w:t>) y se informa sobre los nuevos recursos introducidos desde enero de 201</w:t>
      </w:r>
      <w:r w:rsidR="000F1615" w:rsidRPr="000C2E9F">
        <w:rPr>
          <w:szCs w:val="22"/>
          <w:lang w:val="es-419"/>
        </w:rPr>
        <w:t>8</w:t>
      </w:r>
      <w:r w:rsidRPr="000C2E9F">
        <w:rPr>
          <w:szCs w:val="22"/>
          <w:lang w:val="es-419"/>
        </w:rPr>
        <w:t>.</w:t>
      </w:r>
    </w:p>
    <w:p w:rsidR="00203B17" w:rsidRPr="000C2E9F" w:rsidRDefault="00203B17" w:rsidP="009456A2">
      <w:pPr>
        <w:pStyle w:val="ONUMFS"/>
        <w:numPr>
          <w:ilvl w:val="0"/>
          <w:numId w:val="0"/>
        </w:numPr>
        <w:spacing w:after="0"/>
        <w:rPr>
          <w:lang w:val="es-419"/>
        </w:rPr>
      </w:pPr>
    </w:p>
    <w:p w:rsidR="00203B17" w:rsidRPr="000C2E9F" w:rsidRDefault="000F1615" w:rsidP="00B46725">
      <w:pPr>
        <w:spacing w:after="240"/>
        <w:rPr>
          <w:szCs w:val="22"/>
          <w:lang w:val="es-419"/>
        </w:rPr>
      </w:pPr>
      <w:r w:rsidRPr="000C2E9F">
        <w:rPr>
          <w:szCs w:val="22"/>
          <w:lang w:val="es-419"/>
        </w:rPr>
        <w:t>2.</w:t>
      </w:r>
      <w:r w:rsidR="009456A2" w:rsidRPr="000C2E9F">
        <w:rPr>
          <w:szCs w:val="22"/>
          <w:lang w:val="es-419"/>
        </w:rPr>
        <w:tab/>
      </w:r>
      <w:r w:rsidR="00203B17" w:rsidRPr="000C2E9F">
        <w:rPr>
          <w:szCs w:val="22"/>
          <w:lang w:val="es-419"/>
        </w:rPr>
        <w:t xml:space="preserve">El sitio web de la OMPI sobre CC.TT. ha sido rediseñado para mostrar mejor los servicios que presta la División de Conocimientos Tradicionales. </w:t>
      </w:r>
      <w:r w:rsidR="004A1E60" w:rsidRPr="000C2E9F">
        <w:rPr>
          <w:szCs w:val="22"/>
          <w:lang w:val="es-419"/>
        </w:rPr>
        <w:t>Actualmente, hay siete entradas principales en el sitio web:</w:t>
      </w:r>
    </w:p>
    <w:p w:rsidR="00203B17" w:rsidRPr="000C2E9F" w:rsidRDefault="004A1E60" w:rsidP="004A1E60">
      <w:pPr>
        <w:numPr>
          <w:ilvl w:val="0"/>
          <w:numId w:val="12"/>
        </w:numPr>
        <w:rPr>
          <w:szCs w:val="22"/>
          <w:lang w:val="es-419"/>
        </w:rPr>
      </w:pPr>
      <w:r w:rsidRPr="000C2E9F">
        <w:rPr>
          <w:szCs w:val="22"/>
          <w:lang w:val="es-419"/>
        </w:rPr>
        <w:t xml:space="preserve">Facilitación de las negociaciones internacionales: </w:t>
      </w:r>
      <w:hyperlink r:id="rId15" w:history="1">
        <w:r w:rsidRPr="000C2E9F">
          <w:rPr>
            <w:rStyle w:val="Hyperlink"/>
            <w:color w:val="auto"/>
            <w:lang w:val="es-419"/>
          </w:rPr>
          <w:t>https://www.wipo.int/tk/es/igc/</w:t>
        </w:r>
      </w:hyperlink>
      <w:r w:rsidRPr="000C2E9F">
        <w:rPr>
          <w:szCs w:val="22"/>
          <w:lang w:val="es-419"/>
        </w:rPr>
        <w:t>.</w:t>
      </w:r>
      <w:r w:rsidR="00B46725" w:rsidRPr="000C2E9F">
        <w:rPr>
          <w:szCs w:val="22"/>
          <w:lang w:val="es-419"/>
        </w:rPr>
        <w:t xml:space="preserve"> </w:t>
      </w:r>
      <w:r w:rsidRPr="000C2E9F">
        <w:rPr>
          <w:szCs w:val="22"/>
          <w:lang w:val="es-419"/>
        </w:rPr>
        <w:t>Esta página constituye el punto de acceso más importante para los participantes del CIG que deseen obtener información pormenorizada.</w:t>
      </w:r>
    </w:p>
    <w:p w:rsidR="00203B17" w:rsidRPr="000C2E9F" w:rsidRDefault="00203B17" w:rsidP="000F1615">
      <w:pPr>
        <w:ind w:left="720"/>
        <w:rPr>
          <w:szCs w:val="22"/>
          <w:lang w:val="es-419"/>
        </w:rPr>
      </w:pPr>
    </w:p>
    <w:p w:rsidR="00203B17" w:rsidRPr="000C2E9F" w:rsidRDefault="004E4521" w:rsidP="0011518D">
      <w:pPr>
        <w:numPr>
          <w:ilvl w:val="0"/>
          <w:numId w:val="12"/>
        </w:numPr>
        <w:rPr>
          <w:szCs w:val="22"/>
          <w:lang w:val="es-419"/>
        </w:rPr>
      </w:pPr>
      <w:r w:rsidRPr="000C2E9F">
        <w:rPr>
          <w:lang w:val="es-419"/>
        </w:rPr>
        <w:t xml:space="preserve">Asesoramiento en materia </w:t>
      </w:r>
      <w:r w:rsidR="00B46725" w:rsidRPr="000C2E9F">
        <w:rPr>
          <w:lang w:val="es-419"/>
        </w:rPr>
        <w:t xml:space="preserve">legislativa y de políticas </w:t>
      </w:r>
      <w:r w:rsidRPr="000C2E9F">
        <w:rPr>
          <w:lang w:val="es-419"/>
        </w:rPr>
        <w:t>a las autor</w:t>
      </w:r>
      <w:r w:rsidR="00B46725" w:rsidRPr="000C2E9F">
        <w:rPr>
          <w:lang w:val="es-419"/>
        </w:rPr>
        <w:t>idades regionales y nacionales</w:t>
      </w:r>
      <w:r w:rsidRPr="000C2E9F">
        <w:rPr>
          <w:lang w:val="es-419"/>
        </w:rPr>
        <w:t xml:space="preserve">: </w:t>
      </w:r>
      <w:hyperlink r:id="rId16" w:history="1">
        <w:r w:rsidRPr="000C2E9F">
          <w:rPr>
            <w:rStyle w:val="Hyperlink"/>
            <w:color w:val="auto"/>
            <w:lang w:val="es-419"/>
          </w:rPr>
          <w:t>https://www.wipo.int/tk/es/policy_and_legislative_advice.html</w:t>
        </w:r>
      </w:hyperlink>
      <w:r w:rsidRPr="000C2E9F">
        <w:rPr>
          <w:lang w:val="es-419"/>
        </w:rPr>
        <w:t>.</w:t>
      </w:r>
      <w:r w:rsidR="00B0636E" w:rsidRPr="000C2E9F">
        <w:rPr>
          <w:lang w:val="es-419"/>
        </w:rPr>
        <w:t xml:space="preserve"> </w:t>
      </w:r>
      <w:r w:rsidR="0011518D" w:rsidRPr="000C2E9F">
        <w:rPr>
          <w:lang w:val="es-419"/>
        </w:rPr>
        <w:t>Esta página web contiene información y asistencia técnica facilitada por la División de Conocimientos Tradicionales de la OMPI relativa al desarrollo de políticas, estrategias, planes de acción y legislación relacionados con la propiedad intelectual y los recursos genéticos, los conocimientos tradicionales y las expresiones culturales tradicionales.</w:t>
      </w:r>
    </w:p>
    <w:p w:rsidR="00203B17" w:rsidRPr="000C2E9F" w:rsidRDefault="00203B17" w:rsidP="000F1615">
      <w:pPr>
        <w:rPr>
          <w:szCs w:val="22"/>
          <w:lang w:val="es-419"/>
        </w:rPr>
      </w:pPr>
    </w:p>
    <w:p w:rsidR="00203B17" w:rsidRPr="000C2E9F" w:rsidRDefault="0011518D" w:rsidP="0011518D">
      <w:pPr>
        <w:numPr>
          <w:ilvl w:val="0"/>
          <w:numId w:val="12"/>
        </w:numPr>
        <w:rPr>
          <w:szCs w:val="22"/>
          <w:lang w:val="es-419"/>
        </w:rPr>
      </w:pPr>
      <w:r w:rsidRPr="000C2E9F">
        <w:rPr>
          <w:szCs w:val="22"/>
          <w:lang w:val="es-419"/>
        </w:rPr>
        <w:t xml:space="preserve">Participación de los pueblos indígenas y las comunidades locales: </w:t>
      </w:r>
      <w:hyperlink r:id="rId17" w:history="1">
        <w:r w:rsidR="00B0636E" w:rsidRPr="000C2E9F">
          <w:rPr>
            <w:rStyle w:val="Hyperlink"/>
            <w:color w:val="auto"/>
            <w:lang w:val="es-419"/>
          </w:rPr>
          <w:t>https://www.wipo.int/tk/es/engagement.html</w:t>
        </w:r>
      </w:hyperlink>
      <w:r w:rsidRPr="000C2E9F">
        <w:rPr>
          <w:szCs w:val="22"/>
          <w:lang w:val="es-419"/>
        </w:rPr>
        <w:t>.</w:t>
      </w:r>
      <w:r w:rsidR="00B0636E" w:rsidRPr="000C2E9F">
        <w:rPr>
          <w:szCs w:val="22"/>
          <w:lang w:val="es-419"/>
        </w:rPr>
        <w:t xml:space="preserve"> </w:t>
      </w:r>
      <w:r w:rsidRPr="000C2E9F">
        <w:rPr>
          <w:szCs w:val="22"/>
          <w:lang w:val="es-419"/>
        </w:rPr>
        <w:t>Forma parte de los esfuerzos que realiza la Secretaría para mejorar el acceso a la información disponible para los pueblos indígenas y las comunidades locales que tiene que ver específicamente con ellos.</w:t>
      </w:r>
      <w:r w:rsidR="001050B4" w:rsidRPr="000C2E9F">
        <w:rPr>
          <w:szCs w:val="22"/>
          <w:lang w:val="es-419"/>
        </w:rPr>
        <w:t xml:space="preserve"> </w:t>
      </w:r>
      <w:r w:rsidR="00B0636E" w:rsidRPr="000C2E9F">
        <w:rPr>
          <w:szCs w:val="22"/>
          <w:lang w:val="es-419"/>
        </w:rPr>
        <w:t>En esta</w:t>
      </w:r>
      <w:r w:rsidRPr="000C2E9F">
        <w:rPr>
          <w:szCs w:val="22"/>
          <w:lang w:val="es-419"/>
        </w:rPr>
        <w:t xml:space="preserve"> página </w:t>
      </w:r>
      <w:r w:rsidR="00B0636E" w:rsidRPr="000C2E9F">
        <w:rPr>
          <w:szCs w:val="22"/>
          <w:lang w:val="es-419"/>
        </w:rPr>
        <w:t xml:space="preserve">web se </w:t>
      </w:r>
      <w:r w:rsidRPr="000C2E9F">
        <w:rPr>
          <w:szCs w:val="22"/>
          <w:lang w:val="es-419"/>
        </w:rPr>
        <w:t>ofrece</w:t>
      </w:r>
      <w:r w:rsidR="00B0636E" w:rsidRPr="000C2E9F">
        <w:rPr>
          <w:szCs w:val="22"/>
          <w:lang w:val="es-419"/>
        </w:rPr>
        <w:t>n</w:t>
      </w:r>
      <w:r w:rsidRPr="000C2E9F">
        <w:rPr>
          <w:szCs w:val="22"/>
          <w:lang w:val="es-419"/>
        </w:rPr>
        <w:t xml:space="preserve"> enlaces a talleres prácticos, recursos pertinentes de la OMPI e información sobre la acreditación ante el CIG y la parti</w:t>
      </w:r>
      <w:r w:rsidR="00B0636E" w:rsidRPr="000C2E9F">
        <w:rPr>
          <w:szCs w:val="22"/>
          <w:lang w:val="es-419"/>
        </w:rPr>
        <w:t>cipación en el proceso del CIG.</w:t>
      </w:r>
      <w:r w:rsidRPr="000C2E9F">
        <w:rPr>
          <w:szCs w:val="22"/>
          <w:lang w:val="es-419"/>
        </w:rPr>
        <w:t xml:space="preserve"> Además, </w:t>
      </w:r>
      <w:r w:rsidR="00B0636E" w:rsidRPr="000C2E9F">
        <w:rPr>
          <w:szCs w:val="22"/>
          <w:lang w:val="es-419"/>
        </w:rPr>
        <w:t xml:space="preserve">se </w:t>
      </w:r>
      <w:r w:rsidRPr="000C2E9F">
        <w:rPr>
          <w:szCs w:val="22"/>
          <w:lang w:val="es-419"/>
        </w:rPr>
        <w:t>proporciona acceso a enlaces externos que son de interés para los pueblos indígenas y las comunidades locales.</w:t>
      </w:r>
    </w:p>
    <w:p w:rsidR="00203B17" w:rsidRPr="000C2E9F" w:rsidRDefault="00203B17" w:rsidP="000F1615">
      <w:pPr>
        <w:rPr>
          <w:szCs w:val="22"/>
          <w:lang w:val="es-419"/>
        </w:rPr>
      </w:pPr>
    </w:p>
    <w:p w:rsidR="00203B17" w:rsidRPr="000C2E9F" w:rsidRDefault="0011518D" w:rsidP="0011518D">
      <w:pPr>
        <w:numPr>
          <w:ilvl w:val="0"/>
          <w:numId w:val="12"/>
        </w:numPr>
        <w:rPr>
          <w:szCs w:val="22"/>
          <w:lang w:val="es-419"/>
        </w:rPr>
      </w:pPr>
      <w:r w:rsidRPr="000C2E9F">
        <w:rPr>
          <w:szCs w:val="22"/>
          <w:lang w:val="es-419"/>
        </w:rPr>
        <w:t xml:space="preserve">Capacidad empresarial de las comunidades indígenas y locales: </w:t>
      </w:r>
      <w:hyperlink r:id="rId18" w:history="1">
        <w:r w:rsidR="00B0636E" w:rsidRPr="000C2E9F">
          <w:rPr>
            <w:rStyle w:val="Hyperlink"/>
            <w:color w:val="auto"/>
            <w:lang w:val="es-419"/>
          </w:rPr>
          <w:t>https://www.wipo.int/tk/es/entrepreneurship/index.html</w:t>
        </w:r>
      </w:hyperlink>
      <w:r w:rsidRPr="000C2E9F">
        <w:rPr>
          <w:szCs w:val="22"/>
          <w:lang w:val="es-419"/>
        </w:rPr>
        <w:t>.</w:t>
      </w:r>
      <w:r w:rsidR="00B0636E" w:rsidRPr="000C2E9F">
        <w:rPr>
          <w:szCs w:val="22"/>
          <w:lang w:val="es-419"/>
        </w:rPr>
        <w:t xml:space="preserve"> </w:t>
      </w:r>
      <w:r w:rsidRPr="000C2E9F">
        <w:rPr>
          <w:szCs w:val="22"/>
          <w:lang w:val="es-419"/>
        </w:rPr>
        <w:t>En esta página web se ofrece información sobre los talleres prácticos y los recursos pertinentes de la OMPI diseñados para contribuir a que los pueblos indígenas y las comunidades locales hagan un uso estratégico y eficaz de las herramientas de propiedad intelectual en sus empresas.</w:t>
      </w:r>
    </w:p>
    <w:p w:rsidR="00203B17" w:rsidRPr="000C2E9F" w:rsidRDefault="00203B17" w:rsidP="000F1615">
      <w:pPr>
        <w:rPr>
          <w:szCs w:val="22"/>
          <w:lang w:val="es-419"/>
        </w:rPr>
      </w:pPr>
    </w:p>
    <w:p w:rsidR="00203B17" w:rsidRPr="000C2E9F" w:rsidRDefault="0011518D" w:rsidP="008B1F4F">
      <w:pPr>
        <w:numPr>
          <w:ilvl w:val="0"/>
          <w:numId w:val="12"/>
        </w:numPr>
        <w:rPr>
          <w:szCs w:val="22"/>
          <w:lang w:val="es-419"/>
        </w:rPr>
      </w:pPr>
      <w:r w:rsidRPr="000C2E9F">
        <w:rPr>
          <w:szCs w:val="22"/>
          <w:lang w:val="es-419"/>
        </w:rPr>
        <w:t xml:space="preserve">Catalogación de los conocimientos tradicionales y las expresiones culturales tradicionales: </w:t>
      </w:r>
      <w:hyperlink r:id="rId19" w:history="1">
        <w:r w:rsidR="00B0636E" w:rsidRPr="000C2E9F">
          <w:rPr>
            <w:rStyle w:val="Hyperlink"/>
            <w:color w:val="auto"/>
            <w:lang w:val="es-419"/>
          </w:rPr>
          <w:t>https://www.wipo.int/tk/es/tk_and_tces.html</w:t>
        </w:r>
      </w:hyperlink>
      <w:r w:rsidRPr="000C2E9F">
        <w:rPr>
          <w:szCs w:val="22"/>
          <w:lang w:val="es-419"/>
        </w:rPr>
        <w:t>.</w:t>
      </w:r>
      <w:r w:rsidR="00B0636E" w:rsidRPr="000C2E9F">
        <w:rPr>
          <w:szCs w:val="22"/>
          <w:lang w:val="es-419"/>
        </w:rPr>
        <w:t xml:space="preserve"> </w:t>
      </w:r>
      <w:r w:rsidR="008B1F4F" w:rsidRPr="000C2E9F">
        <w:rPr>
          <w:szCs w:val="22"/>
          <w:lang w:val="es-419"/>
        </w:rPr>
        <w:t>Esta página web contiene información, herramientas prácticas y servicios de asistencia técnica que ofrece la División de Conocimientos Tradicionales de la OMPI en relación con la catalogación de los conocimientos tradicionales y las expresiones culturales tradicionales.</w:t>
      </w:r>
    </w:p>
    <w:p w:rsidR="00203B17" w:rsidRPr="000C2E9F" w:rsidRDefault="00203B17" w:rsidP="000F1615">
      <w:pPr>
        <w:rPr>
          <w:szCs w:val="22"/>
          <w:lang w:val="es-419"/>
        </w:rPr>
      </w:pPr>
    </w:p>
    <w:p w:rsidR="00203B17" w:rsidRPr="000C2E9F" w:rsidRDefault="008B1F4F" w:rsidP="008B1F4F">
      <w:pPr>
        <w:numPr>
          <w:ilvl w:val="0"/>
          <w:numId w:val="12"/>
        </w:numPr>
        <w:rPr>
          <w:szCs w:val="22"/>
          <w:lang w:val="es-419"/>
        </w:rPr>
      </w:pPr>
      <w:r w:rsidRPr="000C2E9F">
        <w:rPr>
          <w:szCs w:val="22"/>
          <w:lang w:val="es-419"/>
        </w:rPr>
        <w:t xml:space="preserve">Gestión de los derechos de PI sobre datos y recursos genéticos: </w:t>
      </w:r>
      <w:hyperlink r:id="rId20" w:history="1">
        <w:r w:rsidR="00B0636E" w:rsidRPr="000C2E9F">
          <w:rPr>
            <w:rStyle w:val="Hyperlink"/>
            <w:color w:val="auto"/>
            <w:lang w:val="es-419"/>
          </w:rPr>
          <w:t>https://www.wipo.int/tk/es/ip_rights_management.html</w:t>
        </w:r>
      </w:hyperlink>
      <w:r w:rsidRPr="000C2E9F">
        <w:rPr>
          <w:szCs w:val="22"/>
          <w:lang w:val="es-419"/>
        </w:rPr>
        <w:t>.</w:t>
      </w:r>
      <w:r w:rsidR="00B0636E" w:rsidRPr="000C2E9F">
        <w:rPr>
          <w:szCs w:val="22"/>
          <w:lang w:val="es-419"/>
        </w:rPr>
        <w:t xml:space="preserve"> </w:t>
      </w:r>
      <w:r w:rsidRPr="000C2E9F">
        <w:rPr>
          <w:szCs w:val="22"/>
          <w:lang w:val="es-419"/>
        </w:rPr>
        <w:t xml:space="preserve">En </w:t>
      </w:r>
      <w:r w:rsidR="00B0636E" w:rsidRPr="000C2E9F">
        <w:rPr>
          <w:szCs w:val="22"/>
          <w:lang w:val="es-419"/>
        </w:rPr>
        <w:t>esta página web</w:t>
      </w:r>
      <w:r w:rsidRPr="000C2E9F">
        <w:rPr>
          <w:szCs w:val="22"/>
          <w:lang w:val="es-419"/>
        </w:rPr>
        <w:t xml:space="preserve"> se incluye una breve descripción de los instrumentos prácticos y los servicios de asistencia técnica que ofrece la División de Conocimientos Tradicionales de la OMPI sobre la gestión de la propiedad intelectual en lo que concierne a los recursos genéticos, la información y los datos.</w:t>
      </w:r>
      <w:r w:rsidR="00B0636E" w:rsidRPr="000C2E9F">
        <w:rPr>
          <w:szCs w:val="22"/>
          <w:lang w:val="es-419"/>
        </w:rPr>
        <w:t xml:space="preserve"> </w:t>
      </w:r>
      <w:r w:rsidRPr="000C2E9F">
        <w:rPr>
          <w:szCs w:val="22"/>
          <w:lang w:val="es-419"/>
        </w:rPr>
        <w:t>La página web también contiene enlaces a recursos pertinentes.</w:t>
      </w:r>
    </w:p>
    <w:p w:rsidR="00203B17" w:rsidRPr="000C2E9F" w:rsidRDefault="00203B17" w:rsidP="000F1615">
      <w:pPr>
        <w:rPr>
          <w:szCs w:val="22"/>
          <w:lang w:val="es-419"/>
        </w:rPr>
      </w:pPr>
    </w:p>
    <w:p w:rsidR="00203B17" w:rsidRPr="000C2E9F" w:rsidRDefault="00B0636E" w:rsidP="00774C70">
      <w:pPr>
        <w:numPr>
          <w:ilvl w:val="0"/>
          <w:numId w:val="12"/>
        </w:numPr>
        <w:rPr>
          <w:szCs w:val="22"/>
          <w:lang w:val="es-419"/>
        </w:rPr>
      </w:pPr>
      <w:r w:rsidRPr="000C2E9F">
        <w:rPr>
          <w:szCs w:val="22"/>
          <w:lang w:val="es-419"/>
        </w:rPr>
        <w:lastRenderedPageBreak/>
        <w:t xml:space="preserve">Referencia </w:t>
      </w:r>
      <w:r w:rsidR="00774C70" w:rsidRPr="000C2E9F">
        <w:rPr>
          <w:szCs w:val="22"/>
          <w:lang w:val="es-419"/>
        </w:rPr>
        <w:t>mundial sobre PI y RR.GG., CC.TT. y ECT:</w:t>
      </w:r>
      <w:r w:rsidRPr="000C2E9F">
        <w:rPr>
          <w:szCs w:val="22"/>
          <w:lang w:val="es-419"/>
        </w:rPr>
        <w:t xml:space="preserve"> </w:t>
      </w:r>
      <w:hyperlink r:id="rId21" w:history="1">
        <w:r w:rsidRPr="000C2E9F">
          <w:rPr>
            <w:rStyle w:val="Hyperlink"/>
            <w:color w:val="auto"/>
            <w:lang w:val="es-419"/>
          </w:rPr>
          <w:t>https://www.wipo.int/tk/es/global_reference.html</w:t>
        </w:r>
      </w:hyperlink>
      <w:r w:rsidR="00774C70" w:rsidRPr="000C2E9F">
        <w:rPr>
          <w:szCs w:val="22"/>
          <w:lang w:val="es-419"/>
        </w:rPr>
        <w:t>.</w:t>
      </w:r>
      <w:r w:rsidR="001050B4" w:rsidRPr="000C2E9F">
        <w:rPr>
          <w:szCs w:val="22"/>
          <w:lang w:val="es-419"/>
        </w:rPr>
        <w:t xml:space="preserve"> </w:t>
      </w:r>
      <w:r w:rsidR="00774C70" w:rsidRPr="000C2E9F">
        <w:rPr>
          <w:szCs w:val="22"/>
          <w:lang w:val="es-419"/>
        </w:rPr>
        <w:t>Se ofrecen diversos recursos de información sobre propiedad intelectual y recursos genéticos, conocimientos tradicionales y expresiones culturales tradicionales.</w:t>
      </w:r>
    </w:p>
    <w:p w:rsidR="00203B17" w:rsidRPr="000C2E9F" w:rsidRDefault="00203B17" w:rsidP="000F1615">
      <w:pPr>
        <w:ind w:left="927"/>
        <w:rPr>
          <w:szCs w:val="22"/>
          <w:lang w:val="es-419"/>
        </w:rPr>
      </w:pPr>
    </w:p>
    <w:p w:rsidR="00203B17" w:rsidRPr="000C2E9F" w:rsidRDefault="00203B17" w:rsidP="000F1615">
      <w:pPr>
        <w:rPr>
          <w:szCs w:val="22"/>
          <w:lang w:val="es-419"/>
        </w:rPr>
      </w:pPr>
    </w:p>
    <w:p w:rsidR="00203B17" w:rsidRPr="000C2E9F" w:rsidRDefault="00774C70" w:rsidP="00774C70">
      <w:pPr>
        <w:pStyle w:val="ListParagraph"/>
        <w:numPr>
          <w:ilvl w:val="0"/>
          <w:numId w:val="15"/>
        </w:numPr>
        <w:rPr>
          <w:szCs w:val="22"/>
          <w:lang w:val="es-419"/>
        </w:rPr>
      </w:pPr>
      <w:r w:rsidRPr="000C2E9F">
        <w:rPr>
          <w:szCs w:val="22"/>
          <w:lang w:val="es-419"/>
        </w:rPr>
        <w:t>A continuación</w:t>
      </w:r>
      <w:r w:rsidR="008A2AF1" w:rsidRPr="000C2E9F">
        <w:rPr>
          <w:szCs w:val="22"/>
          <w:lang w:val="es-419"/>
        </w:rPr>
        <w:t>,</w:t>
      </w:r>
      <w:r w:rsidRPr="000C2E9F">
        <w:rPr>
          <w:szCs w:val="22"/>
          <w:lang w:val="es-419"/>
        </w:rPr>
        <w:t xml:space="preserve"> se detallan las principales novedades desde enero de 2018.</w:t>
      </w:r>
    </w:p>
    <w:p w:rsidR="00203B17" w:rsidRPr="000C2E9F" w:rsidRDefault="00203B17" w:rsidP="000F1615">
      <w:pPr>
        <w:ind w:left="720"/>
        <w:rPr>
          <w:szCs w:val="22"/>
          <w:lang w:val="es-419"/>
        </w:rPr>
      </w:pPr>
    </w:p>
    <w:p w:rsidR="00203B17" w:rsidRPr="000C2E9F" w:rsidRDefault="00774C70" w:rsidP="00774C70">
      <w:pPr>
        <w:rPr>
          <w:b/>
          <w:szCs w:val="22"/>
          <w:lang w:val="es-419"/>
        </w:rPr>
      </w:pPr>
      <w:r w:rsidRPr="000C2E9F">
        <w:rPr>
          <w:b/>
          <w:szCs w:val="22"/>
          <w:lang w:val="es-419"/>
        </w:rPr>
        <w:t>El CIG</w:t>
      </w:r>
    </w:p>
    <w:p w:rsidR="00203B17" w:rsidRPr="000C2E9F" w:rsidRDefault="00203B17" w:rsidP="000F1615">
      <w:pPr>
        <w:rPr>
          <w:szCs w:val="22"/>
          <w:lang w:val="es-419"/>
        </w:rPr>
      </w:pPr>
    </w:p>
    <w:p w:rsidR="001050B4" w:rsidRPr="000C2E9F" w:rsidRDefault="00B31B0A" w:rsidP="00B31B0A">
      <w:pPr>
        <w:pStyle w:val="ListParagraph"/>
        <w:numPr>
          <w:ilvl w:val="0"/>
          <w:numId w:val="15"/>
        </w:numPr>
        <w:ind w:left="0" w:firstLine="0"/>
        <w:rPr>
          <w:szCs w:val="22"/>
          <w:lang w:val="es-419"/>
        </w:rPr>
      </w:pPr>
      <w:r w:rsidRPr="000C2E9F">
        <w:rPr>
          <w:szCs w:val="22"/>
          <w:lang w:val="es-419"/>
        </w:rPr>
        <w:t xml:space="preserve">En la página web del </w:t>
      </w:r>
      <w:r w:rsidR="008A2AF1" w:rsidRPr="000C2E9F">
        <w:rPr>
          <w:szCs w:val="22"/>
          <w:lang w:val="es-419"/>
        </w:rPr>
        <w:t>CIG</w:t>
      </w:r>
      <w:r w:rsidRPr="000C2E9F">
        <w:rPr>
          <w:szCs w:val="22"/>
          <w:lang w:val="es-419"/>
        </w:rPr>
        <w:t xml:space="preserve"> se ofrecen</w:t>
      </w:r>
      <w:r w:rsidR="008A2AF1" w:rsidRPr="000C2E9F">
        <w:rPr>
          <w:szCs w:val="22"/>
          <w:lang w:val="es-419"/>
        </w:rPr>
        <w:t xml:space="preserve"> enlaces directos a, entre otros asuntos</w:t>
      </w:r>
      <w:r w:rsidRPr="000C2E9F">
        <w:rPr>
          <w:szCs w:val="22"/>
          <w:lang w:val="es-419"/>
        </w:rPr>
        <w:t xml:space="preserve">, el mandato renovado del CIG para el bienio 2022-2023: </w:t>
      </w:r>
      <w:hyperlink r:id="rId22" w:history="1">
        <w:r w:rsidRPr="000C2E9F">
          <w:rPr>
            <w:rStyle w:val="Hyperlink"/>
            <w:color w:val="auto"/>
            <w:lang w:val="es-419"/>
          </w:rPr>
          <w:t>https://www.wipo.int/export/sites/www/tk/en/documents/pdf/igc-mandate-2022-2023.pdf</w:t>
        </w:r>
      </w:hyperlink>
      <w:r w:rsidRPr="000C2E9F">
        <w:rPr>
          <w:szCs w:val="22"/>
          <w:lang w:val="es-419"/>
        </w:rPr>
        <w:t>.</w:t>
      </w:r>
    </w:p>
    <w:p w:rsidR="00203B17" w:rsidRPr="000C2E9F" w:rsidRDefault="00203B17" w:rsidP="000F1615">
      <w:pPr>
        <w:pStyle w:val="ListParagraph"/>
        <w:ind w:left="0"/>
        <w:rPr>
          <w:szCs w:val="22"/>
          <w:lang w:val="es-419"/>
        </w:rPr>
      </w:pPr>
    </w:p>
    <w:p w:rsidR="001050B4" w:rsidRPr="000C2E9F" w:rsidRDefault="00B31B0A" w:rsidP="00B31B0A">
      <w:pPr>
        <w:pStyle w:val="ListParagraph"/>
        <w:numPr>
          <w:ilvl w:val="0"/>
          <w:numId w:val="15"/>
        </w:numPr>
        <w:ind w:left="0" w:firstLine="0"/>
        <w:rPr>
          <w:szCs w:val="22"/>
          <w:lang w:val="es-419"/>
        </w:rPr>
      </w:pPr>
      <w:r w:rsidRPr="000C2E9F">
        <w:rPr>
          <w:szCs w:val="22"/>
          <w:lang w:val="es-419"/>
        </w:rPr>
        <w:t xml:space="preserve">Se añade un enlace directo a todos los seminarios relativos al CIG: </w:t>
      </w:r>
      <w:hyperlink r:id="rId23" w:history="1">
        <w:r w:rsidRPr="000C2E9F">
          <w:rPr>
            <w:rStyle w:val="Hyperlink"/>
            <w:color w:val="auto"/>
            <w:lang w:val="es-419"/>
          </w:rPr>
          <w:t>https://www.wipo.int/tk/en/igc/related_seminars.html</w:t>
        </w:r>
      </w:hyperlink>
      <w:r w:rsidRPr="000C2E9F">
        <w:rPr>
          <w:szCs w:val="22"/>
          <w:lang w:val="es-419"/>
        </w:rPr>
        <w:t>.</w:t>
      </w:r>
    </w:p>
    <w:p w:rsidR="00203B17" w:rsidRPr="000C2E9F" w:rsidRDefault="00203B17" w:rsidP="000F1615">
      <w:pPr>
        <w:pStyle w:val="ListParagraph"/>
        <w:ind w:left="0"/>
        <w:rPr>
          <w:szCs w:val="22"/>
          <w:lang w:val="es-419"/>
        </w:rPr>
      </w:pPr>
    </w:p>
    <w:p w:rsidR="00203B17" w:rsidRPr="000C2E9F" w:rsidRDefault="00B31B0A" w:rsidP="00B31B0A">
      <w:pPr>
        <w:pStyle w:val="ListParagraph"/>
        <w:numPr>
          <w:ilvl w:val="0"/>
          <w:numId w:val="15"/>
        </w:numPr>
        <w:ind w:left="0" w:firstLine="0"/>
        <w:rPr>
          <w:szCs w:val="22"/>
          <w:lang w:val="es-419"/>
        </w:rPr>
      </w:pPr>
      <w:r w:rsidRPr="000C2E9F">
        <w:rPr>
          <w:szCs w:val="22"/>
          <w:lang w:val="es-419"/>
        </w:rPr>
        <w:t xml:space="preserve">La lista completa de los documentos disponibles relativos a la cuadragésima segunda sesión del CIG puede consultarse en: </w:t>
      </w:r>
      <w:hyperlink r:id="rId24" w:history="1">
        <w:r w:rsidRPr="000C2E9F">
          <w:rPr>
            <w:rStyle w:val="Hyperlink"/>
            <w:color w:val="auto"/>
            <w:lang w:val="es-419"/>
          </w:rPr>
          <w:t>https://www.wipo.int/meetings/en/details.jsp?meeting_id=68408</w:t>
        </w:r>
      </w:hyperlink>
      <w:hyperlink r:id="rId25" w:history="1">
        <w:r w:rsidRPr="000C2E9F">
          <w:rPr>
            <w:rStyle w:val="Hyperlink"/>
            <w:color w:val="auto"/>
            <w:u w:val="none"/>
            <w:lang w:val="es-419"/>
          </w:rPr>
          <w:t>.</w:t>
        </w:r>
      </w:hyperlink>
    </w:p>
    <w:p w:rsidR="00203B17" w:rsidRPr="000C2E9F" w:rsidRDefault="00203B17" w:rsidP="000F1615">
      <w:pPr>
        <w:rPr>
          <w:b/>
          <w:szCs w:val="22"/>
          <w:lang w:val="es-419"/>
        </w:rPr>
      </w:pPr>
    </w:p>
    <w:p w:rsidR="001050B4" w:rsidRPr="000C2E9F" w:rsidRDefault="00B31B0A" w:rsidP="00B31B0A">
      <w:pPr>
        <w:rPr>
          <w:b/>
          <w:szCs w:val="22"/>
          <w:lang w:val="es-419"/>
        </w:rPr>
      </w:pPr>
      <w:r w:rsidRPr="000C2E9F">
        <w:rPr>
          <w:b/>
          <w:szCs w:val="22"/>
          <w:lang w:val="es-419"/>
        </w:rPr>
        <w:t>Programa de la OMPI de formación y asesoramiento, basado en proyectos, en materia de propiedad intelectual para empresarias de pueblos indígenas y comunidades locales</w:t>
      </w:r>
    </w:p>
    <w:p w:rsidR="00203B17" w:rsidRPr="000C2E9F" w:rsidRDefault="00203B17" w:rsidP="000F1615">
      <w:pPr>
        <w:rPr>
          <w:szCs w:val="22"/>
          <w:lang w:val="es-419"/>
        </w:rPr>
      </w:pPr>
    </w:p>
    <w:p w:rsidR="001050B4" w:rsidRPr="000C2E9F" w:rsidRDefault="000B5BEC" w:rsidP="000B5BEC">
      <w:pPr>
        <w:pStyle w:val="ListParagraph"/>
        <w:numPr>
          <w:ilvl w:val="0"/>
          <w:numId w:val="15"/>
        </w:numPr>
        <w:ind w:left="0" w:firstLine="0"/>
        <w:rPr>
          <w:szCs w:val="22"/>
          <w:lang w:val="es-419"/>
        </w:rPr>
      </w:pPr>
      <w:r w:rsidRPr="000C2E9F">
        <w:rPr>
          <w:szCs w:val="22"/>
          <w:lang w:val="es-419"/>
        </w:rPr>
        <w:t xml:space="preserve">La Secretaría de la OMPI puso en marcha en 2019 </w:t>
      </w:r>
      <w:r w:rsidR="008A2AF1" w:rsidRPr="000C2E9F">
        <w:rPr>
          <w:szCs w:val="22"/>
          <w:lang w:val="es-419"/>
        </w:rPr>
        <w:t>el</w:t>
      </w:r>
      <w:r w:rsidRPr="000C2E9F">
        <w:rPr>
          <w:szCs w:val="22"/>
          <w:lang w:val="es-419"/>
        </w:rPr>
        <w:t xml:space="preserve"> Programa de la OMPI de formación y asesoramiento, basado en proyectos, en materia de propiedad intelectual para empresarias de pueblos indígenas y comunidades locales </w:t>
      </w:r>
      <w:r w:rsidR="008A2AF1" w:rsidRPr="000C2E9F">
        <w:rPr>
          <w:szCs w:val="22"/>
          <w:lang w:val="es-419"/>
        </w:rPr>
        <w:t>con el objetivo de fortalecer la capacidad de las empresarias de los pueblos indígenas y las comunidades locales para hacer un uso estratégico y eficaz de los derechos de propiedad intelectual en apoyo de</w:t>
      </w:r>
      <w:r w:rsidRPr="000C2E9F">
        <w:rPr>
          <w:szCs w:val="22"/>
          <w:lang w:val="es-419"/>
        </w:rPr>
        <w:t xml:space="preserve"> proyectos basados en los conocimientos tradicionales, las expresiones culturales tradicionales y los recursos genéticos.</w:t>
      </w:r>
      <w:r w:rsidR="001050B4" w:rsidRPr="000C2E9F">
        <w:rPr>
          <w:szCs w:val="22"/>
          <w:lang w:val="es-419"/>
        </w:rPr>
        <w:t xml:space="preserve"> </w:t>
      </w:r>
      <w:r w:rsidRPr="000C2E9F">
        <w:rPr>
          <w:szCs w:val="22"/>
          <w:lang w:val="es-419"/>
        </w:rPr>
        <w:t xml:space="preserve">El Programa </w:t>
      </w:r>
      <w:r w:rsidR="008A2AF1" w:rsidRPr="000C2E9F">
        <w:rPr>
          <w:szCs w:val="22"/>
          <w:lang w:val="es-419"/>
        </w:rPr>
        <w:t>volvió a organizarse</w:t>
      </w:r>
      <w:r w:rsidRPr="000C2E9F">
        <w:rPr>
          <w:szCs w:val="22"/>
          <w:lang w:val="es-419"/>
        </w:rPr>
        <w:t xml:space="preserve"> en 2021.</w:t>
      </w:r>
      <w:r w:rsidR="001050B4" w:rsidRPr="000C2E9F">
        <w:rPr>
          <w:szCs w:val="22"/>
          <w:lang w:val="es-419"/>
        </w:rPr>
        <w:t xml:space="preserve"> </w:t>
      </w:r>
      <w:r w:rsidRPr="000C2E9F">
        <w:rPr>
          <w:szCs w:val="22"/>
          <w:lang w:val="es-419"/>
        </w:rPr>
        <w:t xml:space="preserve">Puede consultarse más información sobre este programa en: </w:t>
      </w:r>
      <w:hyperlink r:id="rId26" w:history="1">
        <w:r w:rsidR="008A2AF1" w:rsidRPr="000C2E9F">
          <w:rPr>
            <w:rStyle w:val="Hyperlink"/>
            <w:color w:val="auto"/>
            <w:lang w:val="es-419"/>
          </w:rPr>
          <w:t>https://www.wipo.int/tk/es/women_entrepreneurs/index.html</w:t>
        </w:r>
      </w:hyperlink>
      <w:r w:rsidRPr="000C2E9F">
        <w:rPr>
          <w:szCs w:val="22"/>
          <w:lang w:val="es-419"/>
        </w:rPr>
        <w:t>.</w:t>
      </w:r>
    </w:p>
    <w:p w:rsidR="00203B17" w:rsidRPr="000C2E9F" w:rsidRDefault="00203B17" w:rsidP="000F1615">
      <w:pPr>
        <w:pStyle w:val="ListParagraph"/>
        <w:ind w:left="0"/>
        <w:rPr>
          <w:szCs w:val="22"/>
          <w:lang w:val="es-419"/>
        </w:rPr>
      </w:pPr>
    </w:p>
    <w:p w:rsidR="00203B17" w:rsidRPr="000C2E9F" w:rsidRDefault="00DD5F23" w:rsidP="000B5BEC">
      <w:pPr>
        <w:pStyle w:val="ListParagraph"/>
        <w:ind w:left="0"/>
        <w:rPr>
          <w:b/>
          <w:szCs w:val="22"/>
          <w:lang w:val="es-419"/>
        </w:rPr>
      </w:pPr>
      <w:r w:rsidRPr="000C2E9F">
        <w:rPr>
          <w:b/>
          <w:szCs w:val="22"/>
          <w:lang w:val="es-419"/>
        </w:rPr>
        <w:t>Premio de fotografía de la OMPI para los jóvenes de pueblos indígenas y comunidades locales 2021-2022</w:t>
      </w:r>
    </w:p>
    <w:p w:rsidR="00203B17" w:rsidRPr="000C2E9F" w:rsidRDefault="00203B17" w:rsidP="000F1615">
      <w:pPr>
        <w:pStyle w:val="ListParagraph"/>
        <w:ind w:left="0"/>
        <w:rPr>
          <w:szCs w:val="22"/>
          <w:lang w:val="es-419"/>
        </w:rPr>
      </w:pPr>
    </w:p>
    <w:p w:rsidR="00203B17" w:rsidRPr="000C2E9F" w:rsidRDefault="002A5020" w:rsidP="002A5020">
      <w:pPr>
        <w:pStyle w:val="ListParagraph"/>
        <w:numPr>
          <w:ilvl w:val="0"/>
          <w:numId w:val="15"/>
        </w:numPr>
        <w:ind w:left="0" w:firstLine="0"/>
        <w:rPr>
          <w:szCs w:val="22"/>
          <w:lang w:val="es-419"/>
        </w:rPr>
      </w:pPr>
      <w:r w:rsidRPr="000C2E9F">
        <w:rPr>
          <w:szCs w:val="22"/>
          <w:lang w:val="es-419"/>
        </w:rPr>
        <w:t xml:space="preserve">La Secretaría de la OMPI puso en marcha el </w:t>
      </w:r>
      <w:r w:rsidR="00DD5F23" w:rsidRPr="000C2E9F">
        <w:rPr>
          <w:szCs w:val="22"/>
          <w:lang w:val="es-419"/>
        </w:rPr>
        <w:t>Premio de fotografía de la OMPI para los jóvenes de pueblos indígenas y comunidades locales 2021-2022</w:t>
      </w:r>
      <w:r w:rsidRPr="000C2E9F">
        <w:rPr>
          <w:szCs w:val="22"/>
          <w:lang w:val="es-419"/>
        </w:rPr>
        <w:t xml:space="preserve"> con el objetivo de celebrar y mostrar la creatividad de los pueblos indígenas y los jóvenes de las comunidades locales a través de la fotografía; promover el reconocimiento de la protección del derecho de autor; y dar a esos jóvenes la oportunidad de expresarse sobre el cambio climático y la acción climática,</w:t>
      </w:r>
      <w:r w:rsidR="008A2AF1" w:rsidRPr="000C2E9F">
        <w:rPr>
          <w:szCs w:val="22"/>
          <w:lang w:val="es-419"/>
        </w:rPr>
        <w:t xml:space="preserve"> que son</w:t>
      </w:r>
      <w:r w:rsidRPr="000C2E9F">
        <w:rPr>
          <w:szCs w:val="22"/>
          <w:lang w:val="es-419"/>
        </w:rPr>
        <w:t xml:space="preserve"> temas de profunda importancia para los pueblos indígenas y las comunidades locales de todo el mundo: </w:t>
      </w:r>
      <w:hyperlink r:id="rId27" w:history="1">
        <w:r w:rsidR="00DD5F23" w:rsidRPr="000C2E9F">
          <w:rPr>
            <w:rStyle w:val="Hyperlink"/>
            <w:color w:val="auto"/>
            <w:lang w:val="es-419"/>
          </w:rPr>
          <w:t>https://www.wipo.int/tk/es/youth_prize.html</w:t>
        </w:r>
      </w:hyperlink>
      <w:r w:rsidRPr="000C2E9F">
        <w:rPr>
          <w:szCs w:val="22"/>
          <w:lang w:val="es-419"/>
        </w:rPr>
        <w:t>.</w:t>
      </w:r>
    </w:p>
    <w:p w:rsidR="00203B17" w:rsidRPr="000C2E9F" w:rsidRDefault="00203B17" w:rsidP="000F1615">
      <w:pPr>
        <w:pStyle w:val="ListParagraph"/>
        <w:ind w:left="0"/>
        <w:rPr>
          <w:szCs w:val="22"/>
          <w:lang w:val="es-419"/>
        </w:rPr>
      </w:pPr>
    </w:p>
    <w:p w:rsidR="00203B17" w:rsidRPr="000C2E9F" w:rsidRDefault="002A5020" w:rsidP="002A5020">
      <w:pPr>
        <w:rPr>
          <w:b/>
          <w:szCs w:val="22"/>
          <w:lang w:val="es-419"/>
        </w:rPr>
      </w:pPr>
      <w:r w:rsidRPr="000C2E9F">
        <w:rPr>
          <w:b/>
          <w:szCs w:val="22"/>
          <w:lang w:val="es-419"/>
        </w:rPr>
        <w:t>Nuevos recursos</w:t>
      </w:r>
    </w:p>
    <w:p w:rsidR="00203B17" w:rsidRPr="000C2E9F" w:rsidRDefault="00203B17" w:rsidP="000F1615">
      <w:pPr>
        <w:rPr>
          <w:szCs w:val="22"/>
          <w:lang w:val="es-419"/>
        </w:rPr>
      </w:pPr>
    </w:p>
    <w:p w:rsidR="00203B17" w:rsidRPr="000C2E9F" w:rsidRDefault="00F13A66" w:rsidP="00F13A66">
      <w:pPr>
        <w:pStyle w:val="ListParagraph"/>
        <w:numPr>
          <w:ilvl w:val="0"/>
          <w:numId w:val="15"/>
        </w:numPr>
        <w:ind w:left="0" w:firstLine="0"/>
        <w:rPr>
          <w:lang w:val="es-419"/>
        </w:rPr>
      </w:pPr>
      <w:r w:rsidRPr="000C2E9F">
        <w:rPr>
          <w:lang w:val="es-419"/>
        </w:rPr>
        <w:t xml:space="preserve">El cortometraje de animación </w:t>
      </w:r>
      <w:r w:rsidR="00DD5F23" w:rsidRPr="000C2E9F">
        <w:rPr>
          <w:lang w:val="es-419"/>
        </w:rPr>
        <w:t>“</w:t>
      </w:r>
      <w:r w:rsidRPr="000C2E9F">
        <w:rPr>
          <w:lang w:val="es-419"/>
        </w:rPr>
        <w:t xml:space="preserve">Un viaje por los conocimientos tradicionales y la PI: </w:t>
      </w:r>
      <w:r w:rsidR="00DD5F23" w:rsidRPr="000C2E9F">
        <w:rPr>
          <w:lang w:val="es-419"/>
        </w:rPr>
        <w:t>Las aventuras de los yakuanoi</w:t>
      </w:r>
      <w:r w:rsidRPr="000C2E9F">
        <w:rPr>
          <w:lang w:val="es-419"/>
        </w:rPr>
        <w:t>" cuenta la historia del pueblo yakuanoi, una comunidad indígena ficticia y su forma de proteger sus activos de conocimientos tradicionales, y ha sido presenta</w:t>
      </w:r>
      <w:r w:rsidR="00DD5F23" w:rsidRPr="000C2E9F">
        <w:rPr>
          <w:lang w:val="es-419"/>
        </w:rPr>
        <w:t>do en diversos idiomas, incluida</w:t>
      </w:r>
      <w:r w:rsidRPr="000C2E9F">
        <w:rPr>
          <w:lang w:val="es-419"/>
        </w:rPr>
        <w:t xml:space="preserve">s varias lenguas indígenas: </w:t>
      </w:r>
      <w:hyperlink r:id="rId28" w:history="1">
        <w:r w:rsidR="00DD5F23" w:rsidRPr="000C2E9F">
          <w:rPr>
            <w:rStyle w:val="Hyperlink"/>
            <w:color w:val="auto"/>
            <w:lang w:val="es-419"/>
          </w:rPr>
          <w:t>https://www.wipo.int/tk/es/tk/yakuanoi.html</w:t>
        </w:r>
      </w:hyperlink>
      <w:r w:rsidRPr="000C2E9F">
        <w:rPr>
          <w:lang w:val="es-419"/>
        </w:rPr>
        <w:t>.</w:t>
      </w:r>
    </w:p>
    <w:p w:rsidR="00203B17" w:rsidRPr="000C2E9F" w:rsidRDefault="00203B17" w:rsidP="000F1615">
      <w:pPr>
        <w:pStyle w:val="ListParagraph"/>
        <w:ind w:left="0"/>
        <w:rPr>
          <w:lang w:val="es-419"/>
        </w:rPr>
      </w:pPr>
    </w:p>
    <w:p w:rsidR="001050B4" w:rsidRPr="000C2E9F" w:rsidRDefault="00F13A66" w:rsidP="00F13A66">
      <w:pPr>
        <w:pStyle w:val="ListParagraph"/>
        <w:numPr>
          <w:ilvl w:val="0"/>
          <w:numId w:val="15"/>
        </w:numPr>
        <w:ind w:left="0" w:firstLine="0"/>
        <w:rPr>
          <w:szCs w:val="22"/>
          <w:lang w:val="es-419"/>
        </w:rPr>
      </w:pPr>
      <w:r w:rsidRPr="000C2E9F">
        <w:rPr>
          <w:szCs w:val="22"/>
          <w:lang w:val="es-419"/>
        </w:rPr>
        <w:t xml:space="preserve">La Secretaría de la OMPI organizó una serie de </w:t>
      </w:r>
      <w:r w:rsidR="00DD5F23" w:rsidRPr="000C2E9F">
        <w:rPr>
          <w:szCs w:val="22"/>
          <w:lang w:val="es-419"/>
        </w:rPr>
        <w:t>seminarios web</w:t>
      </w:r>
      <w:r w:rsidRPr="000C2E9F">
        <w:rPr>
          <w:szCs w:val="22"/>
          <w:lang w:val="es-419"/>
        </w:rPr>
        <w:t xml:space="preserve"> </w:t>
      </w:r>
      <w:r w:rsidR="00DD5F23" w:rsidRPr="000C2E9F">
        <w:rPr>
          <w:szCs w:val="22"/>
          <w:lang w:val="es-419"/>
        </w:rPr>
        <w:t xml:space="preserve">que </w:t>
      </w:r>
      <w:r w:rsidRPr="000C2E9F">
        <w:rPr>
          <w:szCs w:val="22"/>
          <w:lang w:val="es-419"/>
        </w:rPr>
        <w:t xml:space="preserve">se centra en las herramientas de propiedad intelectual que pueden ser útiles para los pueblos indígenas y las comunidades locales en la protección y promoción de su riqueza de conocimientos </w:t>
      </w:r>
      <w:r w:rsidRPr="000C2E9F">
        <w:rPr>
          <w:szCs w:val="22"/>
          <w:lang w:val="es-419"/>
        </w:rPr>
        <w:lastRenderedPageBreak/>
        <w:t xml:space="preserve">tradicionales y expresiones culturales tradicionales: </w:t>
      </w:r>
      <w:hyperlink r:id="rId29" w:history="1">
        <w:r w:rsidR="00DD5F23" w:rsidRPr="000C2E9F">
          <w:rPr>
            <w:rStyle w:val="Hyperlink"/>
            <w:color w:val="auto"/>
            <w:lang w:val="es-419"/>
          </w:rPr>
          <w:t>https://www.wipo.int/tk/es/protect_and_promote.html</w:t>
        </w:r>
      </w:hyperlink>
      <w:r w:rsidRPr="000C2E9F">
        <w:rPr>
          <w:szCs w:val="22"/>
          <w:lang w:val="es-419"/>
        </w:rPr>
        <w:t>.</w:t>
      </w:r>
    </w:p>
    <w:p w:rsidR="00203B17" w:rsidRPr="000C2E9F" w:rsidRDefault="00203B17" w:rsidP="000F1615">
      <w:pPr>
        <w:pStyle w:val="ListParagraph"/>
        <w:ind w:left="0"/>
        <w:rPr>
          <w:szCs w:val="22"/>
          <w:lang w:val="es-419"/>
        </w:rPr>
      </w:pPr>
    </w:p>
    <w:p w:rsidR="00203B17" w:rsidRPr="000C2E9F" w:rsidRDefault="005702F8" w:rsidP="005702F8">
      <w:pPr>
        <w:pStyle w:val="ListParagraph"/>
        <w:numPr>
          <w:ilvl w:val="0"/>
          <w:numId w:val="15"/>
        </w:numPr>
        <w:ind w:left="0" w:firstLine="0"/>
        <w:rPr>
          <w:szCs w:val="22"/>
          <w:lang w:val="es-419"/>
        </w:rPr>
      </w:pPr>
      <w:r w:rsidRPr="000C2E9F">
        <w:rPr>
          <w:szCs w:val="22"/>
          <w:lang w:val="es-419"/>
        </w:rPr>
        <w:t xml:space="preserve">La Secretaría de la OMPI puso en marcha un curso de enseñanza a distancia sobre propiedad intelectual y recursos genéticos en las biociencias, con el que se introduce la gestión de los derechos estratégicos en la comercialización de la propiedad intelectual y los recursos genéticos y los datos, y sienta las bases de la formación avanzada de la OMPI y el uso de los servicios de la OMPI sobre la gestión de la propiedad intelectual para los recursos y datos genéticos en las biociencias: </w:t>
      </w:r>
      <w:hyperlink r:id="rId30" w:history="1">
        <w:r w:rsidRPr="000C2E9F">
          <w:rPr>
            <w:rStyle w:val="Hyperlink"/>
            <w:color w:val="auto"/>
            <w:lang w:val="es-419"/>
          </w:rPr>
          <w:t>https://welc.wipo.int/dl427/</w:t>
        </w:r>
      </w:hyperlink>
      <w:r w:rsidRPr="000C2E9F">
        <w:rPr>
          <w:szCs w:val="22"/>
          <w:lang w:val="es-419"/>
        </w:rPr>
        <w:t>.</w:t>
      </w:r>
    </w:p>
    <w:p w:rsidR="00203B17" w:rsidRPr="000C2E9F" w:rsidRDefault="00203B17" w:rsidP="000F1615">
      <w:pPr>
        <w:rPr>
          <w:lang w:val="es-419"/>
        </w:rPr>
      </w:pPr>
    </w:p>
    <w:p w:rsidR="00203B17" w:rsidRPr="000C2E9F" w:rsidRDefault="004B6BFC" w:rsidP="00415173">
      <w:pPr>
        <w:pStyle w:val="ListParagraph"/>
        <w:numPr>
          <w:ilvl w:val="0"/>
          <w:numId w:val="15"/>
        </w:numPr>
        <w:ind w:left="0" w:firstLine="0"/>
        <w:rPr>
          <w:szCs w:val="22"/>
          <w:lang w:val="es-419"/>
        </w:rPr>
      </w:pPr>
      <w:r w:rsidRPr="000C2E9F">
        <w:rPr>
          <w:szCs w:val="22"/>
          <w:lang w:val="es-419"/>
        </w:rPr>
        <w:t>En octubre de 2019, cuando la Asamblea General de la OMPI renovó el mandato del CIG, se pidió a la Secretaría que siguiera reuniendo y compilando información sobre los regímenes sui géneris nacionales y regionales de protección de la propiedad intelectual de los conocimientos tradicionales y las expresiones culturales tradicionales.</w:t>
      </w:r>
      <w:r w:rsidR="000F1615" w:rsidRPr="000C2E9F">
        <w:rPr>
          <w:szCs w:val="22"/>
          <w:lang w:val="es-419"/>
        </w:rPr>
        <w:t xml:space="preserve"> </w:t>
      </w:r>
      <w:r w:rsidR="00415173" w:rsidRPr="000C2E9F">
        <w:rPr>
          <w:szCs w:val="22"/>
          <w:lang w:val="es-419"/>
        </w:rPr>
        <w:t xml:space="preserve">Se ha </w:t>
      </w:r>
      <w:r w:rsidR="003C3B8F" w:rsidRPr="000C2E9F">
        <w:rPr>
          <w:szCs w:val="22"/>
          <w:lang w:val="es-419"/>
        </w:rPr>
        <w:t>elaborado</w:t>
      </w:r>
      <w:r w:rsidR="00415173" w:rsidRPr="000C2E9F">
        <w:rPr>
          <w:szCs w:val="22"/>
          <w:lang w:val="es-419"/>
        </w:rPr>
        <w:t xml:space="preserve"> una </w:t>
      </w:r>
      <w:r w:rsidR="002B1639" w:rsidRPr="000C2E9F">
        <w:rPr>
          <w:szCs w:val="22"/>
          <w:lang w:val="es-419"/>
        </w:rPr>
        <w:t>compilación</w:t>
      </w:r>
      <w:r w:rsidR="00415173" w:rsidRPr="000C2E9F">
        <w:rPr>
          <w:szCs w:val="22"/>
          <w:lang w:val="es-419"/>
        </w:rPr>
        <w:t xml:space="preserve"> preliminar en línea de regímene</w:t>
      </w:r>
      <w:r w:rsidR="00966E80" w:rsidRPr="000C2E9F">
        <w:rPr>
          <w:szCs w:val="22"/>
          <w:lang w:val="es-419"/>
        </w:rPr>
        <w:t>s nacionales y regionales sui gé</w:t>
      </w:r>
      <w:r w:rsidR="00415173" w:rsidRPr="000C2E9F">
        <w:rPr>
          <w:szCs w:val="22"/>
          <w:lang w:val="es-419"/>
        </w:rPr>
        <w:t>neris para la protección de la propiedad intelectual de los conocimientos tradicionales y las expresiones culturales tradicionales:</w:t>
      </w:r>
      <w:r w:rsidR="000F1615" w:rsidRPr="000C2E9F">
        <w:rPr>
          <w:szCs w:val="22"/>
          <w:lang w:val="es-419"/>
        </w:rPr>
        <w:t xml:space="preserve"> </w:t>
      </w:r>
      <w:hyperlink r:id="rId31" w:history="1">
        <w:r w:rsidR="00DD5F23" w:rsidRPr="000C2E9F">
          <w:rPr>
            <w:szCs w:val="22"/>
            <w:u w:val="single"/>
            <w:lang w:val="es-419"/>
          </w:rPr>
          <w:t>https://www.wipo.int/export/sites/www/tk/en/resources/pdf/compilation_sui_generis_regimes.pdf</w:t>
        </w:r>
      </w:hyperlink>
      <w:r w:rsidR="00415173" w:rsidRPr="000C2E9F">
        <w:rPr>
          <w:szCs w:val="22"/>
          <w:lang w:val="es-419"/>
        </w:rPr>
        <w:t>.</w:t>
      </w:r>
    </w:p>
    <w:p w:rsidR="00203B17" w:rsidRPr="000C2E9F" w:rsidRDefault="00203B17" w:rsidP="000F1615">
      <w:pPr>
        <w:pStyle w:val="ListParagraph"/>
        <w:ind w:left="0"/>
        <w:rPr>
          <w:szCs w:val="22"/>
          <w:lang w:val="es-419"/>
        </w:rPr>
      </w:pPr>
    </w:p>
    <w:p w:rsidR="00203B17" w:rsidRPr="000C2E9F" w:rsidRDefault="00415173" w:rsidP="00415173">
      <w:pPr>
        <w:pStyle w:val="ListParagraph"/>
        <w:numPr>
          <w:ilvl w:val="0"/>
          <w:numId w:val="15"/>
        </w:numPr>
        <w:ind w:left="0" w:firstLine="0"/>
        <w:rPr>
          <w:szCs w:val="22"/>
          <w:lang w:val="es-419"/>
        </w:rPr>
      </w:pPr>
      <w:r w:rsidRPr="000C2E9F">
        <w:rPr>
          <w:szCs w:val="22"/>
          <w:lang w:val="es-419"/>
        </w:rPr>
        <w:t>Se han actualizado las siguientes publicaciones:</w:t>
      </w:r>
    </w:p>
    <w:p w:rsidR="00203B17" w:rsidRPr="000C2E9F" w:rsidRDefault="00203B17" w:rsidP="000F1615">
      <w:pPr>
        <w:rPr>
          <w:szCs w:val="22"/>
          <w:lang w:val="es-419"/>
        </w:rPr>
      </w:pPr>
    </w:p>
    <w:p w:rsidR="001050B4" w:rsidRPr="000C2E9F" w:rsidRDefault="00415173" w:rsidP="00415173">
      <w:pPr>
        <w:numPr>
          <w:ilvl w:val="0"/>
          <w:numId w:val="14"/>
        </w:numPr>
        <w:rPr>
          <w:lang w:val="es-419"/>
        </w:rPr>
      </w:pPr>
      <w:r w:rsidRPr="000C2E9F">
        <w:rPr>
          <w:lang w:val="es-419"/>
        </w:rPr>
        <w:t xml:space="preserve">Cuadro de requisitos de divulgación: </w:t>
      </w:r>
      <w:hyperlink r:id="rId32" w:history="1">
        <w:r w:rsidRPr="000C2E9F">
          <w:rPr>
            <w:rStyle w:val="Hyperlink"/>
            <w:color w:val="auto"/>
            <w:lang w:val="es-419"/>
          </w:rPr>
          <w:t>https://www.wipo.int/export/sites/www/tk/en/documents/pdf/genetic_resources_disclosure.pdf</w:t>
        </w:r>
      </w:hyperlink>
    </w:p>
    <w:p w:rsidR="00203B17" w:rsidRPr="000C2E9F" w:rsidRDefault="00203B17" w:rsidP="000F1615">
      <w:pPr>
        <w:ind w:left="927"/>
        <w:rPr>
          <w:szCs w:val="22"/>
          <w:lang w:val="es-419"/>
        </w:rPr>
      </w:pPr>
    </w:p>
    <w:p w:rsidR="00203B17" w:rsidRPr="000C2E9F" w:rsidRDefault="00415173" w:rsidP="00415173">
      <w:pPr>
        <w:numPr>
          <w:ilvl w:val="0"/>
          <w:numId w:val="14"/>
        </w:numPr>
        <w:rPr>
          <w:szCs w:val="22"/>
          <w:lang w:val="es-419"/>
        </w:rPr>
      </w:pPr>
      <w:r w:rsidRPr="000C2E9F">
        <w:rPr>
          <w:szCs w:val="22"/>
          <w:lang w:val="es-419"/>
        </w:rPr>
        <w:t xml:space="preserve">Cuestiones clave sobre </w:t>
      </w:r>
      <w:r w:rsidR="00DD5F23" w:rsidRPr="000C2E9F">
        <w:rPr>
          <w:szCs w:val="22"/>
          <w:lang w:val="es-419"/>
        </w:rPr>
        <w:t>el requisito de divulgación de recursos genéticos y conocimientos tradicionales en las solicitudes de patente:</w:t>
      </w:r>
      <w:r w:rsidRPr="000C2E9F">
        <w:rPr>
          <w:szCs w:val="22"/>
          <w:lang w:val="es-419"/>
        </w:rPr>
        <w:t xml:space="preserve"> </w:t>
      </w:r>
      <w:hyperlink r:id="rId33" w:history="1">
        <w:r w:rsidR="00DD5F23" w:rsidRPr="000C2E9F">
          <w:rPr>
            <w:rStyle w:val="Hyperlink"/>
            <w:color w:val="auto"/>
            <w:lang w:val="es-419"/>
          </w:rPr>
          <w:t>https://www.wipo.int/edocs/pubdocs/es/wipo_pub_1047_19.pdf</w:t>
        </w:r>
      </w:hyperlink>
      <w:r w:rsidRPr="000C2E9F">
        <w:rPr>
          <w:szCs w:val="22"/>
          <w:lang w:val="es-419"/>
        </w:rPr>
        <w:t>; y</w:t>
      </w:r>
    </w:p>
    <w:p w:rsidR="00203B17" w:rsidRPr="000C2E9F" w:rsidRDefault="00203B17" w:rsidP="000F1615">
      <w:pPr>
        <w:pStyle w:val="ListParagraph"/>
        <w:rPr>
          <w:szCs w:val="22"/>
          <w:lang w:val="es-419"/>
        </w:rPr>
      </w:pPr>
    </w:p>
    <w:p w:rsidR="00203B17" w:rsidRPr="000C2E9F" w:rsidRDefault="00B024C7" w:rsidP="00223553">
      <w:pPr>
        <w:numPr>
          <w:ilvl w:val="0"/>
          <w:numId w:val="14"/>
        </w:numPr>
        <w:spacing w:after="600"/>
        <w:ind w:left="924" w:hanging="357"/>
        <w:rPr>
          <w:szCs w:val="22"/>
          <w:lang w:val="es-419"/>
        </w:rPr>
      </w:pPr>
      <w:r w:rsidRPr="000C2E9F">
        <w:rPr>
          <w:szCs w:val="22"/>
          <w:lang w:val="es-419"/>
        </w:rPr>
        <w:t xml:space="preserve">Reseña N.º 10: </w:t>
      </w:r>
      <w:r w:rsidR="00621124" w:rsidRPr="000C2E9F">
        <w:rPr>
          <w:szCs w:val="22"/>
          <w:lang w:val="es-419"/>
        </w:rPr>
        <w:t xml:space="preserve">Propiedad intelectual y recursos genéticos: </w:t>
      </w:r>
      <w:hyperlink r:id="rId34" w:history="1">
        <w:r w:rsidR="00DA4770" w:rsidRPr="000C2E9F">
          <w:rPr>
            <w:rStyle w:val="Hyperlink"/>
            <w:color w:val="auto"/>
            <w:lang w:val="es-419"/>
          </w:rPr>
          <w:t>https://www.wipo.int/edocs/pubdocs/es/wipo_pub_tk_10.pdf</w:t>
        </w:r>
      </w:hyperlink>
      <w:r w:rsidR="00621124" w:rsidRPr="000C2E9F">
        <w:rPr>
          <w:szCs w:val="22"/>
          <w:lang w:val="es-419"/>
        </w:rPr>
        <w:t>.</w:t>
      </w:r>
    </w:p>
    <w:p w:rsidR="00EA34B4" w:rsidRPr="000C2E9F" w:rsidRDefault="00621124" w:rsidP="001050B4">
      <w:pPr>
        <w:pStyle w:val="Endofdocument-Annex"/>
        <w:rPr>
          <w:lang w:val="es-419"/>
        </w:rPr>
      </w:pPr>
      <w:r w:rsidRPr="000C2E9F">
        <w:rPr>
          <w:lang w:val="es-419"/>
        </w:rPr>
        <w:t>[Fin del Anexo y del documento]</w:t>
      </w:r>
    </w:p>
    <w:sectPr w:rsidR="00EA34B4" w:rsidRPr="000C2E9F" w:rsidSect="00480A79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D83" w:rsidRDefault="00097D83">
      <w:r>
        <w:separator/>
      </w:r>
    </w:p>
  </w:endnote>
  <w:endnote w:type="continuationSeparator" w:id="0">
    <w:p w:rsidR="00097D83" w:rsidRPr="009D30E6" w:rsidRDefault="00097D83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97D83" w:rsidRPr="009D30E6" w:rsidRDefault="00097D83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097D83" w:rsidRPr="009D30E6" w:rsidRDefault="00097D83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E80" w:rsidRDefault="00966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E80" w:rsidRDefault="00966E80" w:rsidP="00966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E80" w:rsidRDefault="00966E8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E80" w:rsidRDefault="00966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D83" w:rsidRDefault="00097D83">
      <w:r>
        <w:separator/>
      </w:r>
    </w:p>
  </w:footnote>
  <w:footnote w:type="continuationSeparator" w:id="0">
    <w:p w:rsidR="00097D83" w:rsidRDefault="00097D83" w:rsidP="007461F1">
      <w:r>
        <w:separator/>
      </w:r>
    </w:p>
    <w:p w:rsidR="00097D83" w:rsidRPr="009D30E6" w:rsidRDefault="00097D83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097D83" w:rsidRPr="009D30E6" w:rsidRDefault="00097D83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9456A2" w:rsidRPr="003A35FA" w:rsidRDefault="009456A2" w:rsidP="009456A2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3A35FA">
        <w:rPr>
          <w:lang w:val="es-ES"/>
        </w:rPr>
        <w:t xml:space="preserve"> </w:t>
      </w:r>
      <w:r w:rsidRPr="00092C47">
        <w:rPr>
          <w:lang w:val="es-ES_tradnl"/>
        </w:rPr>
        <w:t>Véase el párrafo 801.f) del informe de la vigésima sesión (documento WIPO/GRTKF/IC/20/10).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E80" w:rsidRPr="000767BC" w:rsidRDefault="00966E80" w:rsidP="00966E80">
    <w:pPr>
      <w:jc w:val="right"/>
      <w:rPr>
        <w:lang w:val="es-ES"/>
      </w:rPr>
    </w:pPr>
    <w:r w:rsidRPr="000767BC">
      <w:rPr>
        <w:lang w:val="es-ES"/>
      </w:rPr>
      <w:t>WIPO/GRTKF/IC/</w:t>
    </w:r>
    <w:r>
      <w:rPr>
        <w:lang w:val="es-ES"/>
      </w:rPr>
      <w:t>42</w:t>
    </w:r>
    <w:r w:rsidRPr="000767BC">
      <w:rPr>
        <w:lang w:val="es-ES"/>
      </w:rPr>
      <w:t>/</w:t>
    </w:r>
    <w:r>
      <w:rPr>
        <w:lang w:val="es-ES"/>
      </w:rPr>
      <w:t>INF/10</w:t>
    </w:r>
  </w:p>
  <w:p w:rsidR="00966E80" w:rsidRPr="000767BC" w:rsidRDefault="00966E80" w:rsidP="00966E80">
    <w:pPr>
      <w:jc w:val="right"/>
      <w:rPr>
        <w:lang w:val="es-ES"/>
      </w:rPr>
    </w:pPr>
    <w:r w:rsidRPr="000767BC">
      <w:rPr>
        <w:lang w:val="es-ES"/>
      </w:rPr>
      <w:t xml:space="preserve">página </w:t>
    </w:r>
    <w:r w:rsidRPr="000767BC">
      <w:rPr>
        <w:lang w:val="es-ES"/>
      </w:rPr>
      <w:fldChar w:fldCharType="begin"/>
    </w:r>
    <w:r w:rsidRPr="000767BC">
      <w:rPr>
        <w:lang w:val="es-ES"/>
      </w:rPr>
      <w:instrText xml:space="preserve"> PAGE  \* MERGEFORMAT </w:instrText>
    </w:r>
    <w:r w:rsidRPr="000767BC">
      <w:rPr>
        <w:lang w:val="es-ES"/>
      </w:rPr>
      <w:fldChar w:fldCharType="separate"/>
    </w:r>
    <w:r w:rsidR="001A7BBA">
      <w:rPr>
        <w:noProof/>
        <w:lang w:val="es-ES"/>
      </w:rPr>
      <w:t>2</w:t>
    </w:r>
    <w:r w:rsidRPr="000767BC">
      <w:rPr>
        <w:lang w:val="es-ES"/>
      </w:rPr>
      <w:fldChar w:fldCharType="end"/>
    </w:r>
  </w:p>
  <w:p w:rsidR="00966E80" w:rsidRPr="000767BC" w:rsidRDefault="00966E80" w:rsidP="00966E80">
    <w:pPr>
      <w:jc w:val="right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6A2" w:rsidRPr="000767BC" w:rsidRDefault="009456A2" w:rsidP="00477D6B">
    <w:pPr>
      <w:jc w:val="right"/>
      <w:rPr>
        <w:lang w:val="es-ES"/>
      </w:rPr>
    </w:pPr>
    <w:r w:rsidRPr="000767BC">
      <w:rPr>
        <w:lang w:val="es-ES"/>
      </w:rPr>
      <w:t>WIPO/GRTKF/IC/</w:t>
    </w:r>
    <w:r w:rsidR="00621124">
      <w:rPr>
        <w:lang w:val="es-ES"/>
      </w:rPr>
      <w:t>42</w:t>
    </w:r>
    <w:r w:rsidRPr="000767BC">
      <w:rPr>
        <w:lang w:val="es-ES"/>
      </w:rPr>
      <w:t>/</w:t>
    </w:r>
    <w:r>
      <w:rPr>
        <w:lang w:val="es-ES"/>
      </w:rPr>
      <w:t>INF/</w:t>
    </w:r>
    <w:r w:rsidR="00621124">
      <w:rPr>
        <w:lang w:val="es-ES"/>
      </w:rPr>
      <w:t>10</w:t>
    </w:r>
  </w:p>
  <w:p w:rsidR="009456A2" w:rsidRPr="000767BC" w:rsidRDefault="009456A2" w:rsidP="00477D6B">
    <w:pPr>
      <w:jc w:val="right"/>
      <w:rPr>
        <w:lang w:val="es-ES"/>
      </w:rPr>
    </w:pPr>
    <w:r w:rsidRPr="000767BC">
      <w:rPr>
        <w:lang w:val="es-ES"/>
      </w:rPr>
      <w:t xml:space="preserve">página </w:t>
    </w:r>
    <w:r w:rsidRPr="000767BC">
      <w:rPr>
        <w:lang w:val="es-ES"/>
      </w:rPr>
      <w:fldChar w:fldCharType="begin"/>
    </w:r>
    <w:r w:rsidRPr="000767BC">
      <w:rPr>
        <w:lang w:val="es-ES"/>
      </w:rPr>
      <w:instrText xml:space="preserve"> PAGE  \* MERGEFORMAT </w:instrText>
    </w:r>
    <w:r w:rsidRPr="000767BC">
      <w:rPr>
        <w:lang w:val="es-ES"/>
      </w:rPr>
      <w:fldChar w:fldCharType="separate"/>
    </w:r>
    <w:r w:rsidR="00966E80">
      <w:rPr>
        <w:noProof/>
        <w:lang w:val="es-ES"/>
      </w:rPr>
      <w:t>2</w:t>
    </w:r>
    <w:r w:rsidRPr="000767BC">
      <w:rPr>
        <w:lang w:val="es-ES"/>
      </w:rPr>
      <w:fldChar w:fldCharType="end"/>
    </w:r>
  </w:p>
  <w:p w:rsidR="009456A2" w:rsidRPr="000767BC" w:rsidRDefault="009456A2" w:rsidP="00477D6B">
    <w:pPr>
      <w:jc w:val="right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E80" w:rsidRDefault="00966E8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E80" w:rsidRPr="001050B4" w:rsidRDefault="00966E80" w:rsidP="00966E80">
    <w:pPr>
      <w:jc w:val="right"/>
      <w:rPr>
        <w:caps/>
        <w:lang w:val="es-ES"/>
      </w:rPr>
    </w:pPr>
    <w:r w:rsidRPr="001050B4">
      <w:rPr>
        <w:caps/>
        <w:lang w:val="es-ES"/>
      </w:rPr>
      <w:t>WIPO/GRTKF/IC/42/inf/10</w:t>
    </w:r>
  </w:p>
  <w:p w:rsidR="00966E80" w:rsidRPr="001050B4" w:rsidRDefault="00966E80" w:rsidP="00966E80">
    <w:pPr>
      <w:jc w:val="right"/>
      <w:rPr>
        <w:lang w:val="es-ES"/>
      </w:rPr>
    </w:pPr>
    <w:r w:rsidRPr="001050B4">
      <w:rPr>
        <w:lang w:val="es-ES"/>
      </w:rPr>
      <w:t xml:space="preserve">Anexo, página </w:t>
    </w:r>
    <w:r w:rsidRPr="001050B4">
      <w:rPr>
        <w:lang w:val="es-ES"/>
      </w:rPr>
      <w:fldChar w:fldCharType="begin"/>
    </w:r>
    <w:r w:rsidRPr="001050B4">
      <w:rPr>
        <w:lang w:val="es-ES"/>
      </w:rPr>
      <w:instrText xml:space="preserve"> PAGE   \* MERGEFORMAT </w:instrText>
    </w:r>
    <w:r w:rsidRPr="001050B4">
      <w:rPr>
        <w:lang w:val="es-ES"/>
      </w:rPr>
      <w:fldChar w:fldCharType="separate"/>
    </w:r>
    <w:r w:rsidR="001A7BBA">
      <w:rPr>
        <w:noProof/>
        <w:lang w:val="es-ES"/>
      </w:rPr>
      <w:t>2</w:t>
    </w:r>
    <w:r w:rsidRPr="001050B4">
      <w:rPr>
        <w:noProof/>
        <w:lang w:val="es-ES"/>
      </w:rPr>
      <w:fldChar w:fldCharType="end"/>
    </w:r>
  </w:p>
  <w:p w:rsidR="00966E80" w:rsidRPr="001050B4" w:rsidRDefault="00966E80" w:rsidP="00966E80">
    <w:pPr>
      <w:jc w:val="right"/>
      <w:rPr>
        <w:lang w:val="es-E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1050B4" w:rsidRDefault="00EA34B4" w:rsidP="00477D6B">
    <w:pPr>
      <w:jc w:val="right"/>
      <w:rPr>
        <w:caps/>
        <w:lang w:val="es-ES"/>
      </w:rPr>
    </w:pPr>
    <w:bookmarkStart w:id="6" w:name="Code2"/>
    <w:bookmarkEnd w:id="6"/>
    <w:r w:rsidRPr="001050B4">
      <w:rPr>
        <w:caps/>
        <w:lang w:val="es-ES"/>
      </w:rPr>
      <w:t>WIPO/GRTKF/IC/42</w:t>
    </w:r>
    <w:r w:rsidR="00621124" w:rsidRPr="001050B4">
      <w:rPr>
        <w:caps/>
        <w:lang w:val="es-ES"/>
      </w:rPr>
      <w:t>/inf/10</w:t>
    </w:r>
  </w:p>
  <w:p w:rsidR="00F16975" w:rsidRPr="001050B4" w:rsidRDefault="00621124" w:rsidP="00477D6B">
    <w:pPr>
      <w:jc w:val="right"/>
      <w:rPr>
        <w:lang w:val="es-ES"/>
      </w:rPr>
    </w:pPr>
    <w:r w:rsidRPr="001050B4">
      <w:rPr>
        <w:lang w:val="es-ES"/>
      </w:rPr>
      <w:t>Anexo, p</w:t>
    </w:r>
    <w:r w:rsidR="001050B4" w:rsidRPr="001050B4">
      <w:rPr>
        <w:lang w:val="es-ES"/>
      </w:rPr>
      <w:t xml:space="preserve">ágina </w:t>
    </w:r>
    <w:r w:rsidR="001050B4" w:rsidRPr="001050B4">
      <w:rPr>
        <w:lang w:val="es-ES"/>
      </w:rPr>
      <w:fldChar w:fldCharType="begin"/>
    </w:r>
    <w:r w:rsidR="001050B4" w:rsidRPr="001050B4">
      <w:rPr>
        <w:lang w:val="es-ES"/>
      </w:rPr>
      <w:instrText xml:space="preserve"> PAGE   \* MERGEFORMAT </w:instrText>
    </w:r>
    <w:r w:rsidR="001050B4" w:rsidRPr="001050B4">
      <w:rPr>
        <w:lang w:val="es-ES"/>
      </w:rPr>
      <w:fldChar w:fldCharType="separate"/>
    </w:r>
    <w:r w:rsidR="001A7BBA">
      <w:rPr>
        <w:noProof/>
        <w:lang w:val="es-ES"/>
      </w:rPr>
      <w:t>3</w:t>
    </w:r>
    <w:r w:rsidR="001050B4" w:rsidRPr="001050B4">
      <w:rPr>
        <w:noProof/>
        <w:lang w:val="es-ES"/>
      </w:rPr>
      <w:fldChar w:fldCharType="end"/>
    </w:r>
  </w:p>
  <w:p w:rsidR="00DB6F2D" w:rsidRPr="001050B4" w:rsidRDefault="00DB6F2D" w:rsidP="00EA34B4">
    <w:pPr>
      <w:jc w:val="right"/>
      <w:rPr>
        <w:lang w:val="es-E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124" w:rsidRPr="001A7BBA" w:rsidRDefault="00621124" w:rsidP="00621124">
    <w:pPr>
      <w:jc w:val="right"/>
      <w:rPr>
        <w:caps/>
        <w:lang w:val="en-US"/>
      </w:rPr>
    </w:pPr>
    <w:r w:rsidRPr="001A7BBA">
      <w:rPr>
        <w:caps/>
        <w:lang w:val="en-US"/>
      </w:rPr>
      <w:t>WIPO/GRTKF/IC/42/INF/10</w:t>
    </w:r>
  </w:p>
  <w:p w:rsidR="00621124" w:rsidRPr="001A7BBA" w:rsidRDefault="00621124" w:rsidP="00621124">
    <w:pPr>
      <w:jc w:val="right"/>
      <w:rPr>
        <w:lang w:val="en-US"/>
      </w:rPr>
    </w:pPr>
    <w:r w:rsidRPr="001A7BBA">
      <w:rPr>
        <w:lang w:val="en-US"/>
      </w:rPr>
      <w:t>ANEXO</w:t>
    </w:r>
  </w:p>
  <w:p w:rsidR="00621124" w:rsidRPr="001A7BBA" w:rsidRDefault="00621124" w:rsidP="00223553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1560D8"/>
    <w:multiLevelType w:val="hybridMultilevel"/>
    <w:tmpl w:val="1A826362"/>
    <w:lvl w:ilvl="0" w:tplc="97EA61F2">
      <w:start w:val="1"/>
      <w:numFmt w:val="decimal"/>
      <w:pStyle w:val="6"/>
      <w:lvlText w:val="6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F70C3"/>
    <w:multiLevelType w:val="hybridMultilevel"/>
    <w:tmpl w:val="6E902AB0"/>
    <w:lvl w:ilvl="0" w:tplc="5576EF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631266"/>
    <w:multiLevelType w:val="hybridMultilevel"/>
    <w:tmpl w:val="7E8A04D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7E1039"/>
    <w:multiLevelType w:val="hybridMultilevel"/>
    <w:tmpl w:val="011ABDCA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246146D"/>
    <w:multiLevelType w:val="hybridMultilevel"/>
    <w:tmpl w:val="64684EF2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69E3F35"/>
    <w:multiLevelType w:val="hybridMultilevel"/>
    <w:tmpl w:val="2D6CDF4C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6AB092E"/>
    <w:multiLevelType w:val="hybridMultilevel"/>
    <w:tmpl w:val="D77E9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156253"/>
    <w:multiLevelType w:val="multilevel"/>
    <w:tmpl w:val="A172FC2E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5FEA51CA"/>
    <w:multiLevelType w:val="hybridMultilevel"/>
    <w:tmpl w:val="0BCC009A"/>
    <w:lvl w:ilvl="0" w:tplc="A1DC0878">
      <w:start w:val="1"/>
      <w:numFmt w:val="bullet"/>
      <w:lvlText w:val=""/>
      <w:lvlJc w:val="left"/>
      <w:pPr>
        <w:tabs>
          <w:tab w:val="num" w:pos="927"/>
        </w:tabs>
        <w:ind w:left="984" w:hanging="62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2"/>
  </w:num>
  <w:num w:numId="5">
    <w:abstractNumId w:val="1"/>
  </w:num>
  <w:num w:numId="6">
    <w:abstractNumId w:val="7"/>
  </w:num>
  <w:num w:numId="7">
    <w:abstractNumId w:val="14"/>
  </w:num>
  <w:num w:numId="8">
    <w:abstractNumId w:val="13"/>
  </w:num>
  <w:num w:numId="9">
    <w:abstractNumId w:val="5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rademarks|Team Server TMs\Spanish|TextBase TMs\WorkspaceSTS\Outreach\POW Main|TextBase TMs\WorkspaceSTS\Brands, Designs &amp; DN\T Instruments|TextBase TMs\WorkspaceSTS\Brands, Designs &amp; DN\Trademark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912886"/>
    <w:rsid w:val="00011B7D"/>
    <w:rsid w:val="0006572D"/>
    <w:rsid w:val="00075432"/>
    <w:rsid w:val="0009458A"/>
    <w:rsid w:val="00097D83"/>
    <w:rsid w:val="000B4801"/>
    <w:rsid w:val="000B5BEC"/>
    <w:rsid w:val="000C04EA"/>
    <w:rsid w:val="000C2E9F"/>
    <w:rsid w:val="000F1615"/>
    <w:rsid w:val="000F5E56"/>
    <w:rsid w:val="001050B4"/>
    <w:rsid w:val="0011518D"/>
    <w:rsid w:val="001362EE"/>
    <w:rsid w:val="001832A6"/>
    <w:rsid w:val="00184BDC"/>
    <w:rsid w:val="00195C6E"/>
    <w:rsid w:val="001A7BBA"/>
    <w:rsid w:val="001B266A"/>
    <w:rsid w:val="001B488E"/>
    <w:rsid w:val="001C6508"/>
    <w:rsid w:val="001D3D56"/>
    <w:rsid w:val="00203B17"/>
    <w:rsid w:val="00215393"/>
    <w:rsid w:val="00223553"/>
    <w:rsid w:val="00240654"/>
    <w:rsid w:val="002467E1"/>
    <w:rsid w:val="002634C4"/>
    <w:rsid w:val="00265E63"/>
    <w:rsid w:val="002956DE"/>
    <w:rsid w:val="002A5020"/>
    <w:rsid w:val="002B1639"/>
    <w:rsid w:val="002D7258"/>
    <w:rsid w:val="002E4D1A"/>
    <w:rsid w:val="002F16BC"/>
    <w:rsid w:val="002F4E68"/>
    <w:rsid w:val="00322C0B"/>
    <w:rsid w:val="003807FC"/>
    <w:rsid w:val="00381798"/>
    <w:rsid w:val="003845C1"/>
    <w:rsid w:val="003A67A3"/>
    <w:rsid w:val="003C3B8F"/>
    <w:rsid w:val="004008A2"/>
    <w:rsid w:val="004025DF"/>
    <w:rsid w:val="0040540C"/>
    <w:rsid w:val="00415173"/>
    <w:rsid w:val="00423E3E"/>
    <w:rsid w:val="00427AF4"/>
    <w:rsid w:val="004647DA"/>
    <w:rsid w:val="00477D6B"/>
    <w:rsid w:val="00480A79"/>
    <w:rsid w:val="004A0425"/>
    <w:rsid w:val="004A1E60"/>
    <w:rsid w:val="004B05CE"/>
    <w:rsid w:val="004B6BFC"/>
    <w:rsid w:val="004D6471"/>
    <w:rsid w:val="004E4521"/>
    <w:rsid w:val="0051455D"/>
    <w:rsid w:val="00525B63"/>
    <w:rsid w:val="00525E59"/>
    <w:rsid w:val="00541348"/>
    <w:rsid w:val="005421DD"/>
    <w:rsid w:val="00554FA5"/>
    <w:rsid w:val="00567A4C"/>
    <w:rsid w:val="005702F8"/>
    <w:rsid w:val="00574036"/>
    <w:rsid w:val="00595F07"/>
    <w:rsid w:val="005E6516"/>
    <w:rsid w:val="00605827"/>
    <w:rsid w:val="0061479F"/>
    <w:rsid w:val="00616671"/>
    <w:rsid w:val="00621124"/>
    <w:rsid w:val="0062568D"/>
    <w:rsid w:val="00685DC3"/>
    <w:rsid w:val="006B0DB5"/>
    <w:rsid w:val="007461F1"/>
    <w:rsid w:val="00774C70"/>
    <w:rsid w:val="007D6961"/>
    <w:rsid w:val="007F07CB"/>
    <w:rsid w:val="00810CEF"/>
    <w:rsid w:val="0081208D"/>
    <w:rsid w:val="008827FC"/>
    <w:rsid w:val="008A2AF1"/>
    <w:rsid w:val="008B1F4F"/>
    <w:rsid w:val="008B2CC1"/>
    <w:rsid w:val="008E7930"/>
    <w:rsid w:val="008F6FD2"/>
    <w:rsid w:val="0090731E"/>
    <w:rsid w:val="00912886"/>
    <w:rsid w:val="009456A2"/>
    <w:rsid w:val="00966A22"/>
    <w:rsid w:val="00966E80"/>
    <w:rsid w:val="009700B4"/>
    <w:rsid w:val="00974CD6"/>
    <w:rsid w:val="009D30E6"/>
    <w:rsid w:val="009E3F6F"/>
    <w:rsid w:val="009F499F"/>
    <w:rsid w:val="00A11D74"/>
    <w:rsid w:val="00A120B5"/>
    <w:rsid w:val="00A519F9"/>
    <w:rsid w:val="00A70506"/>
    <w:rsid w:val="00AC08F0"/>
    <w:rsid w:val="00AC0AE4"/>
    <w:rsid w:val="00AD61DB"/>
    <w:rsid w:val="00B024C7"/>
    <w:rsid w:val="00B0497E"/>
    <w:rsid w:val="00B0636E"/>
    <w:rsid w:val="00B1090C"/>
    <w:rsid w:val="00B31B0A"/>
    <w:rsid w:val="00B35AF5"/>
    <w:rsid w:val="00B45C15"/>
    <w:rsid w:val="00B46725"/>
    <w:rsid w:val="00BB2E8C"/>
    <w:rsid w:val="00BE0BE0"/>
    <w:rsid w:val="00C3571D"/>
    <w:rsid w:val="00C35990"/>
    <w:rsid w:val="00C35E05"/>
    <w:rsid w:val="00C664C8"/>
    <w:rsid w:val="00C9191E"/>
    <w:rsid w:val="00CB00CF"/>
    <w:rsid w:val="00CF0460"/>
    <w:rsid w:val="00D43E0F"/>
    <w:rsid w:val="00D45252"/>
    <w:rsid w:val="00D71B4D"/>
    <w:rsid w:val="00D75C1E"/>
    <w:rsid w:val="00D93D55"/>
    <w:rsid w:val="00DA4770"/>
    <w:rsid w:val="00DB1C48"/>
    <w:rsid w:val="00DB68A0"/>
    <w:rsid w:val="00DB6F2D"/>
    <w:rsid w:val="00DD4917"/>
    <w:rsid w:val="00DD5F23"/>
    <w:rsid w:val="00DD6A16"/>
    <w:rsid w:val="00DE7ECE"/>
    <w:rsid w:val="00E0091A"/>
    <w:rsid w:val="00E056C2"/>
    <w:rsid w:val="00E203AA"/>
    <w:rsid w:val="00E5217A"/>
    <w:rsid w:val="00E527A5"/>
    <w:rsid w:val="00E76456"/>
    <w:rsid w:val="00EA34B4"/>
    <w:rsid w:val="00EB018A"/>
    <w:rsid w:val="00EB2D45"/>
    <w:rsid w:val="00EE64F1"/>
    <w:rsid w:val="00EE71CB"/>
    <w:rsid w:val="00F127FD"/>
    <w:rsid w:val="00F13A66"/>
    <w:rsid w:val="00F16975"/>
    <w:rsid w:val="00F50CA1"/>
    <w:rsid w:val="00F66152"/>
    <w:rsid w:val="00F91BE0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BD436C6B-4E3F-484F-985B-728EA4F8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Normal"/>
    <w:next w:val="Normal"/>
    <w:link w:val="TitleChar"/>
    <w:qFormat/>
    <w:rsid w:val="00F127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127FD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EA34B4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EA34B4"/>
  </w:style>
  <w:style w:type="paragraph" w:styleId="ListParagraph">
    <w:name w:val="List Paragraph"/>
    <w:basedOn w:val="Normal"/>
    <w:uiPriority w:val="34"/>
    <w:qFormat/>
    <w:rsid w:val="009456A2"/>
    <w:pPr>
      <w:ind w:left="720"/>
    </w:pPr>
    <w:rPr>
      <w:lang w:val="en-US"/>
    </w:rPr>
  </w:style>
  <w:style w:type="character" w:styleId="FootnoteReference">
    <w:name w:val="footnote reference"/>
    <w:rsid w:val="009456A2"/>
    <w:rPr>
      <w:vertAlign w:val="superscript"/>
    </w:rPr>
  </w:style>
  <w:style w:type="character" w:customStyle="1" w:styleId="FooterChar">
    <w:name w:val="Footer Char"/>
    <w:basedOn w:val="DefaultParagraphFont"/>
    <w:link w:val="Footer"/>
    <w:semiHidden/>
    <w:rsid w:val="009456A2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aliases w:val="Footnote ak Char"/>
    <w:link w:val="FootnoteText"/>
    <w:semiHidden/>
    <w:rsid w:val="009456A2"/>
    <w:rPr>
      <w:rFonts w:ascii="Arial" w:eastAsia="SimSun" w:hAnsi="Arial" w:cs="Arial"/>
      <w:sz w:val="18"/>
      <w:lang w:eastAsia="zh-CN"/>
    </w:rPr>
  </w:style>
  <w:style w:type="paragraph" w:customStyle="1" w:styleId="6">
    <w:name w:val="6."/>
    <w:basedOn w:val="Normal"/>
    <w:qFormat/>
    <w:rsid w:val="009456A2"/>
    <w:pPr>
      <w:numPr>
        <w:numId w:val="11"/>
      </w:numPr>
      <w:autoSpaceDE w:val="0"/>
      <w:autoSpaceDN w:val="0"/>
      <w:adjustRightInd w:val="0"/>
      <w:ind w:left="0" w:firstLine="0"/>
    </w:pPr>
    <w:rPr>
      <w:szCs w:val="22"/>
      <w:lang w:val="en-US"/>
    </w:rPr>
  </w:style>
  <w:style w:type="character" w:styleId="Hyperlink">
    <w:name w:val="Hyperlink"/>
    <w:basedOn w:val="DefaultParagraphFont"/>
    <w:rsid w:val="009456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8B1F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www.wipo.int/tk/es/entrepreneurship/index.html" TargetMode="External"/><Relationship Id="rId26" Type="http://schemas.openxmlformats.org/officeDocument/2006/relationships/hyperlink" Target="https://www.wipo.int/tk/es/women_entrepreneurs/index.html" TargetMode="External"/><Relationship Id="rId39" Type="http://schemas.openxmlformats.org/officeDocument/2006/relationships/header" Target="header6.xml"/><Relationship Id="rId21" Type="http://schemas.openxmlformats.org/officeDocument/2006/relationships/hyperlink" Target="https://www.wipo.int/tk/es/global_reference.html" TargetMode="External"/><Relationship Id="rId34" Type="http://schemas.openxmlformats.org/officeDocument/2006/relationships/hyperlink" Target="https://www.wipo.int/edocs/pubdocs/es/wipo_pub_tk_10.pdf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wipo.int/tk/es/policy_and_legislative_advice.html" TargetMode="External"/><Relationship Id="rId20" Type="http://schemas.openxmlformats.org/officeDocument/2006/relationships/hyperlink" Target="https://www.wipo.int/tk/es/ip_rights_management.html" TargetMode="External"/><Relationship Id="rId29" Type="http://schemas.openxmlformats.org/officeDocument/2006/relationships/hyperlink" Target="https://www.wipo.int/tk/es/protect_and_promote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www.wipo.int/meetings/en/details.jsp?meeting_id=68408" TargetMode="External"/><Relationship Id="rId32" Type="http://schemas.openxmlformats.org/officeDocument/2006/relationships/hyperlink" Target="https://www.wipo.int/export/sites/www/tk/en/documents/pdf/genetic_resources_disclosure.pdf" TargetMode="External"/><Relationship Id="rId37" Type="http://schemas.openxmlformats.org/officeDocument/2006/relationships/footer" Target="footer2.xml"/><Relationship Id="rId40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tk/es/igc/" TargetMode="External"/><Relationship Id="rId23" Type="http://schemas.openxmlformats.org/officeDocument/2006/relationships/hyperlink" Target="https://www.wipo.int/tk/en/igc/related_seminars.html" TargetMode="External"/><Relationship Id="rId28" Type="http://schemas.openxmlformats.org/officeDocument/2006/relationships/hyperlink" Target="https://www.wipo.int/tk/es/tk/yakuanoi.html" TargetMode="External"/><Relationship Id="rId36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yperlink" Target="https://www.wipo.int/tk/es/tk_and_tces.html" TargetMode="External"/><Relationship Id="rId31" Type="http://schemas.openxmlformats.org/officeDocument/2006/relationships/hyperlink" Target="https://www.wipo.int/export/sites/www/tk/en/resources/pdf/compilation_sui_generis_regim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tk/es/" TargetMode="External"/><Relationship Id="rId14" Type="http://schemas.openxmlformats.org/officeDocument/2006/relationships/hyperlink" Target="https://www.wipo.int/tk/es/" TargetMode="External"/><Relationship Id="rId22" Type="http://schemas.openxmlformats.org/officeDocument/2006/relationships/hyperlink" Target="https://www.wipo.int/export/sites/www/tk/en/documents/pdf/igc-mandate-2022-2023.pdf" TargetMode="External"/><Relationship Id="rId27" Type="http://schemas.openxmlformats.org/officeDocument/2006/relationships/hyperlink" Target="https://www.wipo.int/tk/es/youth_prize.html" TargetMode="External"/><Relationship Id="rId30" Type="http://schemas.openxmlformats.org/officeDocument/2006/relationships/hyperlink" Target="https://welc.wipo.int/dl427/" TargetMode="External"/><Relationship Id="rId35" Type="http://schemas.openxmlformats.org/officeDocument/2006/relationships/header" Target="header4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s://www.wipo.int/tk/es/engagement.html" TargetMode="External"/><Relationship Id="rId25" Type="http://schemas.openxmlformats.org/officeDocument/2006/relationships/hyperlink" Target="https://www.wipo.int/meetings/en/details.jsp?meeting_id=68408" TargetMode="External"/><Relationship Id="rId33" Type="http://schemas.openxmlformats.org/officeDocument/2006/relationships/hyperlink" Target="https://www.wipo.int/edocs/pubdocs/es/wipo_pub_1047_19.pdf" TargetMode="External"/><Relationship Id="rId38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ueira\Desktop\WIPO_GRTKF_42_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B263F-6A27-4BBC-ACD1-7352DF11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WIPO_GRTKF_42_ES</Template>
  <TotalTime>1</TotalTime>
  <Pages>5</Pages>
  <Words>1391</Words>
  <Characters>8673</Characters>
  <Application>Microsoft Office Word</Application>
  <DocSecurity>0</DocSecurity>
  <Lines>175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WIPO/GRTKF/IC/42/INF/10</vt:lpstr>
    </vt:vector>
  </TitlesOfParts>
  <Company>WIPO</Company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WIPO/GRTKF/IC/42/INF/10</dc:title>
  <dc:creator>REGUEIRA MIRA Claudia</dc:creator>
  <cp:keywords>FOR OFFICIAL USE ONLY</cp:keywords>
  <cp:lastModifiedBy>MORENO PALESTINI Maria del Pilar</cp:lastModifiedBy>
  <cp:revision>4</cp:revision>
  <cp:lastPrinted>2011-05-19T12:37:00Z</cp:lastPrinted>
  <dcterms:created xsi:type="dcterms:W3CDTF">2022-02-10T14:14:00Z</dcterms:created>
  <dcterms:modified xsi:type="dcterms:W3CDTF">2022-02-11T10:21:00Z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