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B0497E" w:rsidRDefault="00DE7ECE" w:rsidP="0061479F">
      <w:pPr>
        <w:pBdr>
          <w:bottom w:val="single" w:sz="4" w:space="9" w:color="auto"/>
        </w:pBdr>
        <w:spacing w:after="120"/>
        <w:jc w:val="right"/>
        <w:rPr>
          <w:lang w:val="es-419"/>
        </w:rPr>
      </w:pPr>
      <w:bookmarkStart w:id="0" w:name="_GoBack"/>
      <w:bookmarkEnd w:id="0"/>
      <w:r w:rsidRPr="00B0497E">
        <w:rPr>
          <w:noProof/>
          <w:lang w:val="en-US" w:eastAsia="en-US"/>
        </w:rPr>
        <w:drawing>
          <wp:inline distT="0" distB="0" distL="0" distR="0" wp14:anchorId="0FD70A5B" wp14:editId="47B4FBD5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B0497E" w:rsidRDefault="00915A45" w:rsidP="0040540C">
      <w:pPr>
        <w:jc w:val="right"/>
        <w:rPr>
          <w:rFonts w:ascii="Arial Black" w:hAnsi="Arial Black"/>
          <w:caps/>
          <w:sz w:val="15"/>
          <w:lang w:val="es-419"/>
        </w:rPr>
      </w:pPr>
      <w:r>
        <w:rPr>
          <w:rFonts w:ascii="Arial Black" w:hAnsi="Arial Black"/>
          <w:caps/>
          <w:sz w:val="15"/>
          <w:lang w:val="es-419"/>
        </w:rPr>
        <w:t>WIPO/GRTKF/IC/43</w:t>
      </w:r>
      <w:r w:rsidR="008827FC" w:rsidRPr="00B0497E">
        <w:rPr>
          <w:rFonts w:ascii="Arial Black" w:hAnsi="Arial Black"/>
          <w:caps/>
          <w:sz w:val="15"/>
          <w:lang w:val="es-419"/>
        </w:rPr>
        <w:t>/</w:t>
      </w:r>
      <w:bookmarkStart w:id="1" w:name="Code"/>
      <w:bookmarkEnd w:id="1"/>
      <w:r w:rsidR="00F16F70">
        <w:rPr>
          <w:rFonts w:ascii="Arial Black" w:hAnsi="Arial Black"/>
          <w:caps/>
          <w:sz w:val="15"/>
          <w:lang w:val="es-419"/>
        </w:rPr>
        <w:t>9</w:t>
      </w:r>
    </w:p>
    <w:p w:rsidR="008B2CC1" w:rsidRPr="00B0497E" w:rsidRDefault="00B1090C" w:rsidP="0040540C">
      <w:pPr>
        <w:jc w:val="right"/>
        <w:rPr>
          <w:lang w:val="es-419"/>
        </w:rPr>
      </w:pPr>
      <w:r w:rsidRPr="00B0497E">
        <w:rPr>
          <w:rFonts w:ascii="Arial Black" w:hAnsi="Arial Black"/>
          <w:caps/>
          <w:sz w:val="15"/>
          <w:lang w:val="es-419"/>
        </w:rPr>
        <w:t>ORIGINAL:</w:t>
      </w:r>
      <w:r w:rsidR="002956DE" w:rsidRPr="00B0497E">
        <w:rPr>
          <w:rFonts w:ascii="Arial Black" w:hAnsi="Arial Black"/>
          <w:caps/>
          <w:sz w:val="15"/>
          <w:lang w:val="es-419"/>
        </w:rPr>
        <w:t xml:space="preserve"> </w:t>
      </w:r>
      <w:bookmarkStart w:id="2" w:name="Original"/>
      <w:r w:rsidR="00F16F70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8B2CC1" w:rsidRPr="00B0497E" w:rsidRDefault="00DE7ECE" w:rsidP="00B1090C">
      <w:pPr>
        <w:spacing w:after="1200"/>
        <w:jc w:val="right"/>
        <w:rPr>
          <w:lang w:val="es-419"/>
        </w:rPr>
      </w:pPr>
      <w:r w:rsidRPr="00B0497E">
        <w:rPr>
          <w:rFonts w:ascii="Arial Black" w:hAnsi="Arial Black"/>
          <w:caps/>
          <w:sz w:val="15"/>
          <w:lang w:val="es-419"/>
        </w:rPr>
        <w:t>FECHA</w:t>
      </w:r>
      <w:r w:rsidR="00B1090C" w:rsidRPr="00B0497E">
        <w:rPr>
          <w:rFonts w:ascii="Arial Black" w:hAnsi="Arial Black"/>
          <w:caps/>
          <w:sz w:val="15"/>
          <w:lang w:val="es-419"/>
        </w:rPr>
        <w:t>:</w:t>
      </w:r>
      <w:r w:rsidR="002956DE" w:rsidRPr="00B0497E">
        <w:rPr>
          <w:rFonts w:ascii="Arial Black" w:hAnsi="Arial Black"/>
          <w:caps/>
          <w:sz w:val="15"/>
          <w:lang w:val="es-419"/>
        </w:rPr>
        <w:t xml:space="preserve"> </w:t>
      </w:r>
      <w:bookmarkStart w:id="3" w:name="Date"/>
      <w:r w:rsidR="001F5A1E">
        <w:rPr>
          <w:rFonts w:ascii="Arial Black" w:hAnsi="Arial Black"/>
          <w:caps/>
          <w:sz w:val="15"/>
          <w:lang w:val="es-419"/>
        </w:rPr>
        <w:t>19</w:t>
      </w:r>
      <w:r w:rsidR="00F16F70">
        <w:rPr>
          <w:rFonts w:ascii="Arial Black" w:hAnsi="Arial Black"/>
          <w:caps/>
          <w:sz w:val="15"/>
          <w:lang w:val="es-419"/>
        </w:rPr>
        <w:t xml:space="preserve"> de </w:t>
      </w:r>
      <w:r w:rsidR="001F5A1E">
        <w:rPr>
          <w:rFonts w:ascii="Arial Black" w:hAnsi="Arial Black"/>
          <w:caps/>
          <w:sz w:val="15"/>
          <w:lang w:val="es-419"/>
        </w:rPr>
        <w:t xml:space="preserve">mayo </w:t>
      </w:r>
      <w:r w:rsidR="00F16F70">
        <w:rPr>
          <w:rFonts w:ascii="Arial Black" w:hAnsi="Arial Black"/>
          <w:caps/>
          <w:sz w:val="15"/>
          <w:lang w:val="es-419"/>
        </w:rPr>
        <w:t>de 2022</w:t>
      </w:r>
    </w:p>
    <w:bookmarkEnd w:id="3"/>
    <w:p w:rsidR="003845C1" w:rsidRPr="00B0497E" w:rsidRDefault="00DE7ECE" w:rsidP="00F127FD">
      <w:pPr>
        <w:pStyle w:val="Title"/>
        <w:spacing w:after="480"/>
        <w:contextualSpacing w:val="0"/>
        <w:rPr>
          <w:rFonts w:ascii="Arial" w:hAnsi="Arial"/>
          <w:b/>
          <w:spacing w:val="0"/>
          <w:sz w:val="28"/>
          <w:lang w:val="es-419"/>
        </w:rPr>
      </w:pPr>
      <w:r w:rsidRPr="00B0497E">
        <w:rPr>
          <w:rFonts w:ascii="Arial" w:hAnsi="Arial"/>
          <w:b/>
          <w:spacing w:val="0"/>
          <w:sz w:val="28"/>
          <w:lang w:val="es-419"/>
        </w:rPr>
        <w:t>Comité Intergubernamental sobre Propiedad Intelectual y Recursos Genéticos, Conocimientos Tradicionales y Folclore</w:t>
      </w:r>
    </w:p>
    <w:p w:rsidR="00EA34B4" w:rsidRPr="00B0497E" w:rsidRDefault="00EA34B4" w:rsidP="00EA34B4">
      <w:pPr>
        <w:outlineLvl w:val="1"/>
        <w:rPr>
          <w:b/>
          <w:sz w:val="24"/>
          <w:szCs w:val="24"/>
          <w:lang w:val="es-419"/>
        </w:rPr>
      </w:pPr>
      <w:r w:rsidRPr="00B0497E">
        <w:rPr>
          <w:b/>
          <w:sz w:val="24"/>
          <w:szCs w:val="24"/>
          <w:lang w:val="es-419"/>
        </w:rPr>
        <w:t xml:space="preserve">Cuadragésima </w:t>
      </w:r>
      <w:r w:rsidR="001F5A1E">
        <w:rPr>
          <w:b/>
          <w:sz w:val="24"/>
          <w:szCs w:val="24"/>
          <w:lang w:val="es-419"/>
        </w:rPr>
        <w:t>tercera</w:t>
      </w:r>
      <w:r w:rsidRPr="00B0497E">
        <w:rPr>
          <w:b/>
          <w:sz w:val="24"/>
          <w:szCs w:val="24"/>
          <w:lang w:val="es-419"/>
        </w:rPr>
        <w:t xml:space="preserve"> sesión</w:t>
      </w:r>
    </w:p>
    <w:p w:rsidR="00EA34B4" w:rsidRPr="00B0497E" w:rsidRDefault="00EA34B4" w:rsidP="00EA34B4">
      <w:pPr>
        <w:spacing w:after="720"/>
        <w:outlineLvl w:val="1"/>
        <w:rPr>
          <w:b/>
          <w:sz w:val="24"/>
          <w:szCs w:val="24"/>
          <w:lang w:val="es-419"/>
        </w:rPr>
      </w:pPr>
      <w:r w:rsidRPr="00B0497E">
        <w:rPr>
          <w:b/>
          <w:sz w:val="24"/>
          <w:szCs w:val="24"/>
          <w:lang w:val="es-419"/>
        </w:rPr>
        <w:t xml:space="preserve">Ginebra, </w:t>
      </w:r>
      <w:r w:rsidR="001F5A1E">
        <w:rPr>
          <w:b/>
          <w:sz w:val="24"/>
          <w:szCs w:val="24"/>
          <w:lang w:val="es-419"/>
        </w:rPr>
        <w:t>30</w:t>
      </w:r>
      <w:r w:rsidRPr="00B0497E">
        <w:rPr>
          <w:b/>
          <w:sz w:val="24"/>
          <w:szCs w:val="24"/>
          <w:lang w:val="es-419"/>
        </w:rPr>
        <w:t xml:space="preserve"> de </w:t>
      </w:r>
      <w:r w:rsidR="001F5A1E">
        <w:rPr>
          <w:b/>
          <w:sz w:val="24"/>
          <w:szCs w:val="24"/>
          <w:lang w:val="es-419"/>
        </w:rPr>
        <w:t xml:space="preserve">mayo </w:t>
      </w:r>
      <w:r w:rsidRPr="00B0497E">
        <w:rPr>
          <w:b/>
          <w:sz w:val="24"/>
          <w:szCs w:val="24"/>
          <w:lang w:val="es-419"/>
        </w:rPr>
        <w:t xml:space="preserve">a </w:t>
      </w:r>
      <w:r w:rsidR="001F5A1E">
        <w:rPr>
          <w:b/>
          <w:sz w:val="24"/>
          <w:szCs w:val="24"/>
          <w:lang w:val="es-419"/>
        </w:rPr>
        <w:t xml:space="preserve">3 de junio </w:t>
      </w:r>
      <w:r w:rsidRPr="00B0497E">
        <w:rPr>
          <w:b/>
          <w:sz w:val="24"/>
          <w:szCs w:val="24"/>
          <w:lang w:val="es-419"/>
        </w:rPr>
        <w:t>de 2022</w:t>
      </w:r>
    </w:p>
    <w:p w:rsidR="00EA34B4" w:rsidRPr="00F16F70" w:rsidRDefault="00F16F70" w:rsidP="00EA34B4">
      <w:pPr>
        <w:spacing w:after="360"/>
        <w:rPr>
          <w:caps/>
          <w:sz w:val="24"/>
          <w:lang w:val="es-ES"/>
        </w:rPr>
      </w:pPr>
      <w:bookmarkStart w:id="4" w:name="TitleOfDoc"/>
      <w:r w:rsidRPr="00F16F70">
        <w:rPr>
          <w:caps/>
          <w:sz w:val="24"/>
          <w:lang w:val="es-ES"/>
        </w:rPr>
        <w:t>RECOMENDACIÓN CONJUNTA SOBRE LOS RECURSOS GENÉTICOS Y LOS CONOCIMIENTOS TRADICIONALES ASOCIADOS</w:t>
      </w:r>
    </w:p>
    <w:p w:rsidR="00EA34B4" w:rsidRPr="00F16F70" w:rsidRDefault="00F16F70" w:rsidP="00EA34B4">
      <w:pPr>
        <w:spacing w:after="1040"/>
        <w:rPr>
          <w:i/>
          <w:lang w:val="es-ES"/>
        </w:rPr>
      </w:pPr>
      <w:bookmarkStart w:id="5" w:name="Prepared"/>
      <w:bookmarkEnd w:id="4"/>
      <w:bookmarkEnd w:id="5"/>
      <w:r w:rsidRPr="00F16F70">
        <w:rPr>
          <w:i/>
          <w:lang w:val="es-ES"/>
        </w:rPr>
        <w:t>presentada por las delegaciones de los Estados Unidos de América, el Japón, Noruega y la República de Corea</w:t>
      </w:r>
    </w:p>
    <w:p w:rsidR="00F16F70" w:rsidRPr="00F16F70" w:rsidRDefault="00F16F70" w:rsidP="00F16F70">
      <w:pPr>
        <w:numPr>
          <w:ilvl w:val="0"/>
          <w:numId w:val="11"/>
        </w:numPr>
        <w:spacing w:after="240"/>
        <w:ind w:left="0" w:firstLine="0"/>
        <w:rPr>
          <w:lang w:val="es-ES"/>
        </w:rPr>
      </w:pPr>
      <w:r w:rsidRPr="00F16F70">
        <w:rPr>
          <w:lang w:val="es-ES"/>
        </w:rPr>
        <w:t xml:space="preserve">El </w:t>
      </w:r>
      <w:r w:rsidR="001F5A1E">
        <w:rPr>
          <w:lang w:val="es-ES"/>
        </w:rPr>
        <w:t xml:space="preserve">19 de mayo </w:t>
      </w:r>
      <w:r w:rsidRPr="00F16F70">
        <w:rPr>
          <w:lang w:val="es-ES"/>
        </w:rPr>
        <w:t xml:space="preserve">de 2020, la Oficina Internacional de la Organización Mundial de la Propiedad Intelectual (OMPI) recibió una petición de la Misión Permanente de los Estados Unidos de América ante </w:t>
      </w:r>
      <w:r>
        <w:rPr>
          <w:lang w:val="es-ES"/>
        </w:rPr>
        <w:t xml:space="preserve">las Organizaciones Internacionales con sede en Ginebra </w:t>
      </w:r>
      <w:r w:rsidRPr="00F16F70">
        <w:rPr>
          <w:lang w:val="es-ES"/>
        </w:rPr>
        <w:t>en nombre de las delegaciones de los Estados Unidos de América, el Japón, Noruega y la República de Corea, para volver a presentar la “Recomendación conjunta sobre los recursos genéticos y los conocimientos tradicionales asociados” contenida en el documento WIPO WIPO/GRTKF/IC/4</w:t>
      </w:r>
      <w:r w:rsidR="001F5A1E">
        <w:rPr>
          <w:lang w:val="es-ES"/>
        </w:rPr>
        <w:t>2</w:t>
      </w:r>
      <w:r w:rsidRPr="00F16F70">
        <w:rPr>
          <w:lang w:val="es-ES"/>
        </w:rPr>
        <w:t>/</w:t>
      </w:r>
      <w:r w:rsidR="001F5A1E">
        <w:rPr>
          <w:lang w:val="es-ES"/>
        </w:rPr>
        <w:t>9</w:t>
      </w:r>
      <w:r w:rsidRPr="00F16F70">
        <w:rPr>
          <w:lang w:val="es-ES"/>
        </w:rPr>
        <w:t xml:space="preserve">, a fin de examinarla en la cuadragésima </w:t>
      </w:r>
      <w:r w:rsidR="001F5A1E">
        <w:rPr>
          <w:lang w:val="es-ES"/>
        </w:rPr>
        <w:t>tercera</w:t>
      </w:r>
      <w:r w:rsidRPr="00F16F70">
        <w:rPr>
          <w:lang w:val="es-ES"/>
        </w:rPr>
        <w:t xml:space="preserve"> sesión del Comité Intergubernamental sobre Propiedad Intelectual y Recursos Genéticos, Conocimientos Tradicionales y Folclore (el CIG).</w:t>
      </w:r>
    </w:p>
    <w:p w:rsidR="00F16F70" w:rsidRPr="00F16F70" w:rsidRDefault="00F16F70" w:rsidP="00F16F70">
      <w:pPr>
        <w:numPr>
          <w:ilvl w:val="0"/>
          <w:numId w:val="11"/>
        </w:numPr>
        <w:spacing w:after="240"/>
        <w:ind w:left="0" w:firstLine="0"/>
        <w:rPr>
          <w:lang w:val="es-ES"/>
        </w:rPr>
      </w:pPr>
      <w:r w:rsidRPr="00F16F70">
        <w:rPr>
          <w:lang w:val="es-ES"/>
        </w:rPr>
        <w:t>Conforme a la petición anteriormente mencionada, en el Anexo del presente documento figura el texto de esa propuesta.</w:t>
      </w:r>
    </w:p>
    <w:p w:rsidR="00F16F70" w:rsidRPr="00F16F70" w:rsidRDefault="00F16F70" w:rsidP="00E2311D">
      <w:pPr>
        <w:numPr>
          <w:ilvl w:val="0"/>
          <w:numId w:val="11"/>
        </w:numPr>
        <w:spacing w:after="600"/>
        <w:ind w:left="5574" w:firstLine="0"/>
        <w:rPr>
          <w:i/>
          <w:szCs w:val="22"/>
          <w:lang w:val="es-ES"/>
        </w:rPr>
      </w:pPr>
      <w:r w:rsidRPr="00F16F70">
        <w:rPr>
          <w:i/>
          <w:szCs w:val="22"/>
          <w:lang w:val="es-ES"/>
        </w:rPr>
        <w:t>Se invita al Comité a tomar nota de la propuesta que figura en el Anexo del presente documento y a considerar su contenido.</w:t>
      </w:r>
    </w:p>
    <w:p w:rsidR="00F16F70" w:rsidRPr="00F16F70" w:rsidRDefault="00F16F70" w:rsidP="00F16F70">
      <w:pPr>
        <w:ind w:left="5558"/>
        <w:rPr>
          <w:szCs w:val="22"/>
          <w:lang w:val="es-ES"/>
        </w:rPr>
      </w:pPr>
      <w:r w:rsidRPr="00F16F70">
        <w:rPr>
          <w:szCs w:val="22"/>
          <w:lang w:val="es-ES"/>
        </w:rPr>
        <w:t>[Sigue el Anexo]</w:t>
      </w:r>
    </w:p>
    <w:p w:rsidR="00F16F70" w:rsidRPr="00F16F70" w:rsidRDefault="00F16F70" w:rsidP="00F16F70">
      <w:pPr>
        <w:rPr>
          <w:lang w:val="es-ES"/>
        </w:rPr>
      </w:pPr>
    </w:p>
    <w:p w:rsidR="00F16F70" w:rsidRPr="00F16F70" w:rsidRDefault="00F16F70" w:rsidP="00F16F70">
      <w:pPr>
        <w:rPr>
          <w:lang w:val="es-ES"/>
        </w:rPr>
        <w:sectPr w:rsidR="00F16F70" w:rsidRPr="00F16F70" w:rsidSect="00766F2B">
          <w:headerReference w:type="even" r:id="rId9"/>
          <w:headerReference w:type="default" r:id="rId10"/>
          <w:footerReference w:type="even" r:id="rId11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lastRenderedPageBreak/>
        <w:t>RECOMENDACIÓN CONJUNTA SOBRE LOS RECURSOS GENÉTICOS Y LOS CONOCIMIENTOS TRADICIONALES ASOCIADOS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El Comité Intergubernamental sobre Propiedad Intelectual y Recursos Genéticos, Conocimientos Tradicionales y Folclore, y la Asamblea General de la Organización Mundial de la Propiedad Intelectual,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i/>
          <w:lang w:val="es-ES"/>
        </w:rPr>
        <w:t>Reafirmando</w:t>
      </w:r>
      <w:r w:rsidRPr="00F16F70">
        <w:rPr>
          <w:lang w:val="es-ES"/>
        </w:rPr>
        <w:t xml:space="preserve"> su convicción de que los recursos genéticos y los conocimientos tradicionales asociados tienen un importante valor económico, científico y comercial para un gran número de sectores;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i/>
          <w:lang w:val="es-ES"/>
        </w:rPr>
        <w:t>Reconociendo</w:t>
      </w:r>
      <w:r w:rsidRPr="00F16F70">
        <w:rPr>
          <w:lang w:val="es-ES"/>
        </w:rP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asociados para favorecer el bienestar social y económico;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i/>
          <w:lang w:val="es-ES"/>
        </w:rPr>
        <w:t>Subrayando</w:t>
      </w:r>
      <w:r w:rsidRPr="00F16F70">
        <w:rPr>
          <w:lang w:val="es-ES"/>
        </w:rPr>
        <w:t xml:space="preserve"> la necesidad de tomar medidas para impedir que se concedan por error patentes sobre invenciones o creaciones que no sean nuevas ni conlleven actividad inventiva en lo que respecta a los recursos genéticos y los conocimientos tradicionales asociados, y reconociendo la capacidad inherente que tiene el sistema de patentes de obrar con ese fin;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i/>
          <w:lang w:val="es-ES"/>
        </w:rPr>
        <w:t>Subrayando, además</w:t>
      </w:r>
      <w:r w:rsidRPr="00F16F70">
        <w:rPr>
          <w:lang w:val="es-ES"/>
        </w:rPr>
        <w:t>, la necesidad de que las oficinas de patentes puedan acceder y examinar el estado de la técnica que exista en relación con los recursos genéticos y los conocimientos tradicionales asociados, a los fines de tomar decisiones adecuadas y fundamentadas en materia de concesión de patentes, y recalcando la importancia que tiene velar por que la transparencia prevalezca en todo proceso de concesión de patentes;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i/>
          <w:lang w:val="es-ES"/>
        </w:rPr>
        <w:t>Recomiendan</w:t>
      </w:r>
      <w:r w:rsidRPr="00F16F70">
        <w:rPr>
          <w:lang w:val="es-ES"/>
        </w:rPr>
        <w:t xml:space="preserve"> 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asociados.</w:t>
      </w:r>
    </w:p>
    <w:p w:rsidR="00F16F70" w:rsidRPr="00F16F70" w:rsidRDefault="00F16F70" w:rsidP="00F16F70">
      <w:pPr>
        <w:spacing w:after="360"/>
        <w:rPr>
          <w:lang w:val="es-ES"/>
        </w:rPr>
      </w:pPr>
      <w:r w:rsidRPr="00F16F70">
        <w:rPr>
          <w:lang w:val="es-ES"/>
        </w:rPr>
        <w:t>A continuación figuran las recomendaciones pertinentes.</w:t>
      </w:r>
    </w:p>
    <w:p w:rsidR="00F16F70" w:rsidRPr="00F16F70" w:rsidRDefault="00F16F70" w:rsidP="00F16F70">
      <w:pPr>
        <w:numPr>
          <w:ilvl w:val="0"/>
          <w:numId w:val="12"/>
        </w:numPr>
        <w:spacing w:after="240"/>
        <w:rPr>
          <w:lang w:val="es-ES"/>
        </w:rPr>
      </w:pPr>
      <w:r w:rsidRPr="00F16F70">
        <w:rPr>
          <w:lang w:val="es-ES"/>
        </w:rPr>
        <w:t>DEFINICIONES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A los efectos de las presentes recomendaciones, se entenderá por: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“Material genético”, todo material de origen vegetal, animal, microbiano o de otro tipo que contenga unidades funcionales de la herencia.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“Recursos genéticos”, el material genético de valor real o potencial.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“Estado miembro”, todo Estado miembro de la Organización Mundial de la Propiedad Intelectual.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“Oficina de patentes”, toda Administración de un Estado miembro a quien incumba la concesión de patentes.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“Conocimientos tradicionales asociados a los recursos genéticos”, los conocimientos sustantivos de las propiedades y los usos de los recursos genéticos que tienen los pueblos indígenas y las comunidades locales y que estén directamente relacionados con una invención reivindicada.</w:t>
      </w:r>
    </w:p>
    <w:p w:rsidR="00F16F70" w:rsidRPr="00F16F70" w:rsidRDefault="00F16F70" w:rsidP="00F16F70">
      <w:pPr>
        <w:keepNext/>
        <w:keepLines/>
        <w:numPr>
          <w:ilvl w:val="0"/>
          <w:numId w:val="12"/>
        </w:numPr>
        <w:spacing w:after="240"/>
        <w:ind w:left="573" w:hanging="573"/>
        <w:rPr>
          <w:lang w:val="es-ES"/>
        </w:rPr>
      </w:pPr>
      <w:r w:rsidRPr="00F16F70">
        <w:rPr>
          <w:lang w:val="es-ES"/>
        </w:rPr>
        <w:lastRenderedPageBreak/>
        <w:t>OBJETIVOS Y PRINCIPIOS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Los Estados miembros, al proteger los recursos genéticos y los conocimientos tradicionales asociados a los recursos genéticos, deben tener por fin:</w:t>
      </w:r>
    </w:p>
    <w:p w:rsidR="00F16F70" w:rsidRPr="00F16F70" w:rsidRDefault="00F16F70" w:rsidP="00F16F70">
      <w:pPr>
        <w:numPr>
          <w:ilvl w:val="0"/>
          <w:numId w:val="13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Impedir que se concedan patentes por error a invenciones que no sean nuevas ni impliquen actividad inventiva con respecto a los recursos genéticos y los conocimientos tradicionales asociados a los recursos genéticos.</w:t>
      </w:r>
    </w:p>
    <w:p w:rsidR="00F16F70" w:rsidRPr="00F16F70" w:rsidRDefault="00F16F70" w:rsidP="00F16F70">
      <w:pPr>
        <w:numPr>
          <w:ilvl w:val="0"/>
          <w:numId w:val="13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Proteger a los pueblos indígenas y a las comunidades locales de las limitaciones del uso tradicional de recursos genéticos y sus conocimientos tradicionales asociados a los recursos genéticos que puedan derivarse de la concesión errónea de patentes.</w:t>
      </w:r>
    </w:p>
    <w:p w:rsidR="00F16F70" w:rsidRPr="00F16F70" w:rsidRDefault="00F16F70" w:rsidP="00F16F70">
      <w:pPr>
        <w:numPr>
          <w:ilvl w:val="0"/>
          <w:numId w:val="13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Velar por que las oficinas de patentes tengan acceso a la información adecuada sobre los recursos genéticos y los conocimientos tradicionales asociados a los recursos genéticos que sea necesaria para tomar decisiones fundamentadas al otorgar patentes.</w:t>
      </w:r>
    </w:p>
    <w:p w:rsidR="00F16F70" w:rsidRPr="00F16F70" w:rsidRDefault="00F16F70" w:rsidP="00F16F70">
      <w:pPr>
        <w:numPr>
          <w:ilvl w:val="0"/>
          <w:numId w:val="13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Mantener los incentivos a la innovación previstos en el sistema de patentes.</w:t>
      </w:r>
    </w:p>
    <w:p w:rsidR="00F16F70" w:rsidRPr="00F16F70" w:rsidRDefault="00F16F70" w:rsidP="00F16F70">
      <w:pPr>
        <w:numPr>
          <w:ilvl w:val="0"/>
          <w:numId w:val="12"/>
        </w:numPr>
        <w:spacing w:after="240"/>
        <w:rPr>
          <w:lang w:val="es-ES"/>
        </w:rPr>
      </w:pPr>
      <w:r w:rsidRPr="00F16F70">
        <w:rPr>
          <w:lang w:val="es-ES"/>
        </w:rPr>
        <w:t>EVITAR LA CONCESIÓN ERRÓNEA DE PATENTES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asociados a los recursos genéticos cuando, en virtud de la legislación nacional, esos recursos genéticos y los conocimientos tradicionales asociados a los recursos genéticos:</w:t>
      </w:r>
    </w:p>
    <w:p w:rsidR="00F16F70" w:rsidRPr="00F16F70" w:rsidRDefault="00F16F70" w:rsidP="00F16F70">
      <w:pPr>
        <w:numPr>
          <w:ilvl w:val="0"/>
          <w:numId w:val="14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constituyan anterioridad respecto de la invención reivindicada (no existe la novedad); o</w:t>
      </w:r>
    </w:p>
    <w:p w:rsidR="00F16F70" w:rsidRPr="00F16F70" w:rsidRDefault="00F16F70" w:rsidP="00F16F70">
      <w:pPr>
        <w:numPr>
          <w:ilvl w:val="0"/>
          <w:numId w:val="14"/>
        </w:numPr>
        <w:spacing w:after="360"/>
        <w:ind w:left="567" w:hanging="567"/>
        <w:rPr>
          <w:lang w:val="es-ES"/>
        </w:rPr>
      </w:pPr>
      <w:r w:rsidRPr="00F16F70">
        <w:rPr>
          <w:lang w:val="es-ES"/>
        </w:rPr>
        <w:t>hagan evidente la invención reivindicada (que sea evidente o no implique actividad inventiva).</w:t>
      </w:r>
    </w:p>
    <w:p w:rsidR="00F16F70" w:rsidRPr="00F16F70" w:rsidRDefault="00F16F70" w:rsidP="00F16F70">
      <w:pPr>
        <w:numPr>
          <w:ilvl w:val="0"/>
          <w:numId w:val="12"/>
        </w:numPr>
        <w:spacing w:after="240"/>
        <w:rPr>
          <w:lang w:val="es-ES"/>
        </w:rPr>
      </w:pPr>
      <w:r w:rsidRPr="00F16F70">
        <w:rPr>
          <w:lang w:val="es-ES"/>
        </w:rPr>
        <w:t>MEDIDAS DE OPOSICIÓN</w:t>
      </w:r>
    </w:p>
    <w:p w:rsidR="00F16F70" w:rsidRPr="00F16F70" w:rsidRDefault="00F16F70" w:rsidP="00F16F70">
      <w:pPr>
        <w:spacing w:after="360"/>
        <w:rPr>
          <w:lang w:val="es-ES"/>
        </w:rPr>
      </w:pPr>
      <w:r w:rsidRPr="00F16F70">
        <w:rPr>
          <w:lang w:val="es-ES"/>
        </w:rPr>
        <w:t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asociados a los recursos genéticos.</w:t>
      </w:r>
    </w:p>
    <w:p w:rsidR="00F16F70" w:rsidRPr="00F16F70" w:rsidRDefault="00F16F70" w:rsidP="00F16F70">
      <w:pPr>
        <w:numPr>
          <w:ilvl w:val="0"/>
          <w:numId w:val="12"/>
        </w:numPr>
        <w:spacing w:after="240"/>
        <w:rPr>
          <w:lang w:val="es-ES"/>
        </w:rPr>
      </w:pPr>
      <w:r w:rsidRPr="00F16F70">
        <w:rPr>
          <w:lang w:val="es-ES"/>
        </w:rPr>
        <w:t>MEDIDAS DE APOYO</w:t>
      </w:r>
    </w:p>
    <w:p w:rsidR="00F16F70" w:rsidRPr="00F16F70" w:rsidRDefault="00F16F70" w:rsidP="00F16F70">
      <w:pPr>
        <w:numPr>
          <w:ilvl w:val="0"/>
          <w:numId w:val="15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Los Estados miembros deben alentar, cuando proceda, la elaboración y el uso de directrices y códigos de conducta voluntarios relativos a la protección del uso de los recursos genéticos y los conocimientos tradicionales asociados a los recursos genéticos.</w:t>
      </w:r>
    </w:p>
    <w:p w:rsidR="00F16F70" w:rsidRPr="00F16F70" w:rsidRDefault="00F16F70" w:rsidP="00F16F70">
      <w:pPr>
        <w:numPr>
          <w:ilvl w:val="0"/>
          <w:numId w:val="15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Los Estados miembros deben facilitar, cuando proceda, la creación, intercambio y difusión de bases de datos de recursos genéticos y conocimientos tradicionales asociados a los recursos genéticos, o relativas a ellos, así como el acceso a dichas bases de datos, con el fin de apoyar las medidas mencionadas en los párrafos 3 y 4.</w:t>
      </w:r>
    </w:p>
    <w:p w:rsidR="00F16F70" w:rsidRPr="00F16F70" w:rsidRDefault="00F16F70" w:rsidP="00F16F70">
      <w:pPr>
        <w:keepNext/>
        <w:keepLines/>
        <w:numPr>
          <w:ilvl w:val="0"/>
          <w:numId w:val="15"/>
        </w:numPr>
        <w:spacing w:after="360"/>
        <w:ind w:left="567" w:hanging="567"/>
        <w:rPr>
          <w:lang w:val="es-ES"/>
        </w:rPr>
      </w:pPr>
      <w:r w:rsidRPr="00F16F70">
        <w:rPr>
          <w:lang w:val="es-ES"/>
        </w:rPr>
        <w:lastRenderedPageBreak/>
        <w:t>Los Estados miembros deberán utilizar la información contenida en las bases de datos mencionadas en el apartado 2 al determinar la novedad y la no evidencia con respecto a las solicitudes de patente que incluyan recursos genéticos y conocimientos tradicionales asociados a los recursos genéticos.</w:t>
      </w:r>
    </w:p>
    <w:p w:rsidR="00F16F70" w:rsidRPr="00F16F70" w:rsidRDefault="00F16F70" w:rsidP="00F16F70">
      <w:pPr>
        <w:numPr>
          <w:ilvl w:val="0"/>
          <w:numId w:val="12"/>
        </w:numPr>
        <w:spacing w:after="240"/>
        <w:rPr>
          <w:lang w:val="es-ES"/>
        </w:rPr>
      </w:pPr>
      <w:r w:rsidRPr="00F16F70">
        <w:rPr>
          <w:lang w:val="es-ES"/>
        </w:rPr>
        <w:t>APLICACIÓN</w:t>
      </w:r>
    </w:p>
    <w:p w:rsidR="00F16F70" w:rsidRPr="00F16F70" w:rsidRDefault="00F16F70" w:rsidP="00E2311D">
      <w:pPr>
        <w:spacing w:after="600"/>
        <w:rPr>
          <w:lang w:val="es-ES"/>
        </w:rPr>
      </w:pPr>
      <w:r w:rsidRPr="00F16F70">
        <w:rPr>
          <w:lang w:val="es-ES"/>
        </w:rPr>
        <w:t>Los Estados miembros deben prever las medidas jurídicas, normativas o administrativas que sean adecuadas y eficaces, cuando proceda y de conformidad con la legislación nacional, para facilitar la aplicación de las presentes Recomendaciones.</w:t>
      </w:r>
    </w:p>
    <w:p w:rsidR="00EA34B4" w:rsidRPr="00E2311D" w:rsidRDefault="00F16F70" w:rsidP="00E2311D">
      <w:pPr>
        <w:ind w:left="5558"/>
        <w:rPr>
          <w:szCs w:val="22"/>
          <w:lang w:val="es-ES"/>
        </w:rPr>
      </w:pPr>
      <w:r w:rsidRPr="00F16F70">
        <w:rPr>
          <w:szCs w:val="22"/>
          <w:lang w:val="es-ES"/>
        </w:rPr>
        <w:t>[Fin del Anexo y del documento]</w:t>
      </w:r>
    </w:p>
    <w:sectPr w:rsidR="00EA34B4" w:rsidRPr="00E2311D" w:rsidSect="00480A79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CE" w:rsidRDefault="001A55CE">
      <w:r>
        <w:separator/>
      </w:r>
    </w:p>
  </w:endnote>
  <w:endnote w:type="continuationSeparator" w:id="0">
    <w:p w:rsidR="001A55CE" w:rsidRPr="009D30E6" w:rsidRDefault="001A55C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A55CE" w:rsidRPr="009D30E6" w:rsidRDefault="001A55C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A55CE" w:rsidRPr="009D30E6" w:rsidRDefault="001A55C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70" w:rsidRDefault="00F16F70" w:rsidP="00766F2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BEDC9A6" wp14:editId="1C5DCA0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16F70" w:rsidRDefault="00F16F70" w:rsidP="00766F2B">
                          <w:pPr>
                            <w:jc w:val="center"/>
                          </w:pPr>
                          <w:r w:rsidRPr="00766F2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C9A6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F16F70" w:rsidRDefault="00F16F70" w:rsidP="00766F2B">
                    <w:pPr>
                      <w:jc w:val="center"/>
                    </w:pPr>
                    <w:r w:rsidRPr="00766F2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CE" w:rsidRDefault="001A55CE">
      <w:r>
        <w:separator/>
      </w:r>
    </w:p>
  </w:footnote>
  <w:footnote w:type="continuationSeparator" w:id="0">
    <w:p w:rsidR="001A55CE" w:rsidRDefault="001A55CE" w:rsidP="007461F1">
      <w:r>
        <w:separator/>
      </w:r>
    </w:p>
    <w:p w:rsidR="001A55CE" w:rsidRPr="009D30E6" w:rsidRDefault="001A55C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A55CE" w:rsidRPr="009D30E6" w:rsidRDefault="001A55C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70" w:rsidRPr="002704E8" w:rsidRDefault="00F16F70" w:rsidP="00766F2B">
    <w:pPr>
      <w:jc w:val="right"/>
      <w:rPr>
        <w:lang w:val="pt-BR"/>
      </w:rPr>
    </w:pPr>
    <w:r w:rsidRPr="002704E8">
      <w:rPr>
        <w:lang w:val="pt-BR"/>
      </w:rPr>
      <w:t>WIPO/GRTKF/IC/38/10</w:t>
    </w:r>
  </w:p>
  <w:p w:rsidR="00F16F70" w:rsidRPr="002704E8" w:rsidRDefault="00F16F70" w:rsidP="00766F2B">
    <w:pPr>
      <w:jc w:val="right"/>
      <w:rPr>
        <w:lang w:val="pt-BR"/>
      </w:rPr>
    </w:pPr>
    <w:r w:rsidRPr="002704E8">
      <w:rPr>
        <w:lang w:val="pt-BR"/>
      </w:rPr>
      <w:t xml:space="preserve">Anexo, página </w:t>
    </w:r>
    <w:r>
      <w:fldChar w:fldCharType="begin"/>
    </w:r>
    <w:r w:rsidRPr="002704E8">
      <w:rPr>
        <w:lang w:val="pt-BR"/>
      </w:rPr>
      <w:instrText xml:space="preserve"> PAGE  \* MERGEFORMAT </w:instrText>
    </w:r>
    <w:r>
      <w:fldChar w:fldCharType="separate"/>
    </w:r>
    <w:r w:rsidRPr="002704E8">
      <w:rPr>
        <w:noProof/>
        <w:lang w:val="pt-BR"/>
      </w:rPr>
      <w:t>2</w:t>
    </w:r>
    <w:r>
      <w:fldChar w:fldCharType="end"/>
    </w:r>
  </w:p>
  <w:p w:rsidR="00F16F70" w:rsidRPr="002704E8" w:rsidRDefault="00F16F70" w:rsidP="00766F2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70" w:rsidRPr="002704E8" w:rsidRDefault="00F16F70" w:rsidP="00477D6B">
    <w:pPr>
      <w:jc w:val="right"/>
      <w:rPr>
        <w:lang w:val="pt-BR"/>
      </w:rPr>
    </w:pPr>
    <w:r w:rsidRPr="002704E8">
      <w:rPr>
        <w:lang w:val="pt-BR"/>
      </w:rPr>
      <w:t>WIPO/GRTKF/IC/38/10</w:t>
    </w:r>
  </w:p>
  <w:p w:rsidR="00F16F70" w:rsidRPr="002704E8" w:rsidRDefault="00F16F70" w:rsidP="00477D6B">
    <w:pPr>
      <w:jc w:val="right"/>
      <w:rPr>
        <w:lang w:val="pt-BR"/>
      </w:rPr>
    </w:pPr>
    <w:r w:rsidRPr="002704E8">
      <w:rPr>
        <w:lang w:val="pt-BR"/>
      </w:rPr>
      <w:t xml:space="preserve">Anexo, página </w:t>
    </w:r>
    <w:r>
      <w:fldChar w:fldCharType="begin"/>
    </w:r>
    <w:r w:rsidRPr="002704E8">
      <w:rPr>
        <w:lang w:val="pt-BR"/>
      </w:rPr>
      <w:instrText xml:space="preserve"> PAGE  \* MERGEFORMAT </w:instrText>
    </w:r>
    <w:r>
      <w:fldChar w:fldCharType="separate"/>
    </w:r>
    <w:r w:rsidRPr="002704E8">
      <w:rPr>
        <w:noProof/>
        <w:lang w:val="pt-BR"/>
      </w:rPr>
      <w:t>2</w:t>
    </w:r>
    <w:r>
      <w:fldChar w:fldCharType="end"/>
    </w:r>
  </w:p>
  <w:p w:rsidR="00F16F70" w:rsidRPr="002704E8" w:rsidRDefault="00F16F70" w:rsidP="00477D6B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EA34B4" w:rsidRDefault="00EA34B4" w:rsidP="00477D6B">
    <w:pPr>
      <w:jc w:val="right"/>
      <w:rPr>
        <w:caps/>
        <w:lang w:val="es-419"/>
      </w:rPr>
    </w:pPr>
    <w:bookmarkStart w:id="6" w:name="Code2"/>
    <w:bookmarkEnd w:id="6"/>
    <w:r w:rsidRPr="00EA34B4">
      <w:rPr>
        <w:caps/>
        <w:lang w:val="es-419"/>
      </w:rPr>
      <w:t>W</w:t>
    </w:r>
    <w:r w:rsidR="001F5A1E">
      <w:rPr>
        <w:caps/>
        <w:lang w:val="es-419"/>
      </w:rPr>
      <w:t>IPO/GRTKF/IC/43</w:t>
    </w:r>
    <w:r w:rsidRPr="00EA34B4">
      <w:rPr>
        <w:caps/>
        <w:lang w:val="es-419"/>
      </w:rPr>
      <w:t>/</w:t>
    </w:r>
    <w:r w:rsidR="00F16F70">
      <w:rPr>
        <w:caps/>
        <w:lang w:val="es-419"/>
      </w:rPr>
      <w:t>9</w:t>
    </w:r>
  </w:p>
  <w:p w:rsidR="00F16975" w:rsidRPr="00EA34B4" w:rsidRDefault="00F16F70" w:rsidP="00477D6B">
    <w:pPr>
      <w:jc w:val="right"/>
      <w:rPr>
        <w:lang w:val="es-419"/>
      </w:rPr>
    </w:pPr>
    <w:r>
      <w:rPr>
        <w:lang w:val="es-419"/>
      </w:rPr>
      <w:t xml:space="preserve">Anexo, página </w:t>
    </w:r>
    <w:r w:rsidRPr="00F16F70">
      <w:rPr>
        <w:lang w:val="es-419"/>
      </w:rPr>
      <w:fldChar w:fldCharType="begin"/>
    </w:r>
    <w:r w:rsidRPr="00F16F70">
      <w:rPr>
        <w:lang w:val="es-419"/>
      </w:rPr>
      <w:instrText xml:space="preserve"> PAGE   \* MERGEFORMAT </w:instrText>
    </w:r>
    <w:r w:rsidRPr="00F16F70">
      <w:rPr>
        <w:lang w:val="es-419"/>
      </w:rPr>
      <w:fldChar w:fldCharType="separate"/>
    </w:r>
    <w:r w:rsidR="003F7E8E">
      <w:rPr>
        <w:noProof/>
        <w:lang w:val="es-419"/>
      </w:rPr>
      <w:t>3</w:t>
    </w:r>
    <w:r w:rsidRPr="00F16F70">
      <w:rPr>
        <w:noProof/>
        <w:lang w:val="es-419"/>
      </w:rPr>
      <w:fldChar w:fldCharType="end"/>
    </w:r>
  </w:p>
  <w:p w:rsidR="00F16975" w:rsidRPr="00EA34B4" w:rsidRDefault="00F16975" w:rsidP="00477D6B">
    <w:pPr>
      <w:jc w:val="right"/>
      <w:rPr>
        <w:lang w:val="es-419"/>
      </w:rPr>
    </w:pPr>
  </w:p>
  <w:p w:rsidR="00DB6F2D" w:rsidRPr="00EA34B4" w:rsidRDefault="00DB6F2D" w:rsidP="00EA34B4">
    <w:pPr>
      <w:jc w:val="right"/>
      <w:rPr>
        <w:lang w:val="es-419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70" w:rsidRDefault="00F16F70" w:rsidP="00E2311D">
    <w:pPr>
      <w:pStyle w:val="Header"/>
      <w:jc w:val="right"/>
    </w:pPr>
    <w:r>
      <w:t>W</w:t>
    </w:r>
    <w:r w:rsidR="001F5A1E">
      <w:t>IPO/GRTKF/IC/43</w:t>
    </w:r>
    <w:r>
      <w:t>/9</w:t>
    </w:r>
  </w:p>
  <w:p w:rsidR="00F16F70" w:rsidRDefault="00F16F70" w:rsidP="00E2311D">
    <w:pPr>
      <w:pStyle w:val="Header"/>
      <w:jc w:val="right"/>
    </w:pPr>
    <w:r>
      <w:t>ANEXO</w:t>
    </w:r>
  </w:p>
  <w:p w:rsidR="00E2311D" w:rsidRDefault="00E2311D" w:rsidP="00E2311D">
    <w:pPr>
      <w:pStyle w:val="Header"/>
      <w:jc w:val="right"/>
    </w:pPr>
  </w:p>
  <w:p w:rsidR="00F16F70" w:rsidRDefault="00F16F70" w:rsidP="00E231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6753C7"/>
    <w:multiLevelType w:val="hybridMultilevel"/>
    <w:tmpl w:val="67DE2A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631266"/>
    <w:multiLevelType w:val="hybridMultilevel"/>
    <w:tmpl w:val="7E8A04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6AB092E"/>
    <w:multiLevelType w:val="hybridMultilevel"/>
    <w:tmpl w:val="D77E9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56253"/>
    <w:multiLevelType w:val="multilevel"/>
    <w:tmpl w:val="A172FC2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5FEA51CA"/>
    <w:multiLevelType w:val="hybridMultilevel"/>
    <w:tmpl w:val="0BCC009A"/>
    <w:lvl w:ilvl="0" w:tplc="A1DC0878">
      <w:start w:val="1"/>
      <w:numFmt w:val="bullet"/>
      <w:lvlText w:val=""/>
      <w:lvlJc w:val="left"/>
      <w:pPr>
        <w:tabs>
          <w:tab w:val="num" w:pos="927"/>
        </w:tabs>
        <w:ind w:left="984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66E49"/>
    <w:multiLevelType w:val="hybridMultilevel"/>
    <w:tmpl w:val="918A04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D1A56"/>
    <w:multiLevelType w:val="hybridMultilevel"/>
    <w:tmpl w:val="02D857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6688"/>
    <w:multiLevelType w:val="hybridMultilevel"/>
    <w:tmpl w:val="5A248190"/>
    <w:lvl w:ilvl="0" w:tplc="4FAE39A8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55F13"/>
    <w:multiLevelType w:val="hybridMultilevel"/>
    <w:tmpl w:val="B7EC5B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4"/>
  </w:num>
  <w:num w:numId="12">
    <w:abstractNumId w:val="13"/>
  </w:num>
  <w:num w:numId="13">
    <w:abstractNumId w:val="2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70"/>
    <w:rsid w:val="00011B7D"/>
    <w:rsid w:val="00075432"/>
    <w:rsid w:val="0009458A"/>
    <w:rsid w:val="000C04EA"/>
    <w:rsid w:val="000F5E56"/>
    <w:rsid w:val="001362EE"/>
    <w:rsid w:val="001832A6"/>
    <w:rsid w:val="00184BDC"/>
    <w:rsid w:val="00185BEE"/>
    <w:rsid w:val="00195C6E"/>
    <w:rsid w:val="001A55CE"/>
    <w:rsid w:val="001B266A"/>
    <w:rsid w:val="001B488E"/>
    <w:rsid w:val="001C6508"/>
    <w:rsid w:val="001D3D56"/>
    <w:rsid w:val="001F5A1E"/>
    <w:rsid w:val="00215393"/>
    <w:rsid w:val="00240654"/>
    <w:rsid w:val="002634C4"/>
    <w:rsid w:val="00265E63"/>
    <w:rsid w:val="00282C6B"/>
    <w:rsid w:val="002956DE"/>
    <w:rsid w:val="002D7258"/>
    <w:rsid w:val="002E4D1A"/>
    <w:rsid w:val="002F16BC"/>
    <w:rsid w:val="002F4E68"/>
    <w:rsid w:val="00322C0B"/>
    <w:rsid w:val="00381798"/>
    <w:rsid w:val="003845C1"/>
    <w:rsid w:val="003A67A3"/>
    <w:rsid w:val="003F7E8E"/>
    <w:rsid w:val="004008A2"/>
    <w:rsid w:val="004025DF"/>
    <w:rsid w:val="0040540C"/>
    <w:rsid w:val="00420AF7"/>
    <w:rsid w:val="00423E3E"/>
    <w:rsid w:val="00427AF4"/>
    <w:rsid w:val="004647DA"/>
    <w:rsid w:val="00467193"/>
    <w:rsid w:val="00477D6B"/>
    <w:rsid w:val="00480A79"/>
    <w:rsid w:val="004B05CE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479F"/>
    <w:rsid w:val="00616671"/>
    <w:rsid w:val="006B0DB5"/>
    <w:rsid w:val="007461F1"/>
    <w:rsid w:val="007D6961"/>
    <w:rsid w:val="007F07CB"/>
    <w:rsid w:val="00810CEF"/>
    <w:rsid w:val="0081208D"/>
    <w:rsid w:val="008827FC"/>
    <w:rsid w:val="008B2CC1"/>
    <w:rsid w:val="008B3F43"/>
    <w:rsid w:val="008E7930"/>
    <w:rsid w:val="008F6FD2"/>
    <w:rsid w:val="0090731E"/>
    <w:rsid w:val="00915A45"/>
    <w:rsid w:val="00966A22"/>
    <w:rsid w:val="009700B4"/>
    <w:rsid w:val="00974CD6"/>
    <w:rsid w:val="009B0C93"/>
    <w:rsid w:val="009D30E6"/>
    <w:rsid w:val="009E3F6F"/>
    <w:rsid w:val="009F499F"/>
    <w:rsid w:val="00A11D74"/>
    <w:rsid w:val="00A120B5"/>
    <w:rsid w:val="00AC0AE4"/>
    <w:rsid w:val="00AD61DB"/>
    <w:rsid w:val="00B0497E"/>
    <w:rsid w:val="00B1090C"/>
    <w:rsid w:val="00B35AF5"/>
    <w:rsid w:val="00B45C15"/>
    <w:rsid w:val="00BB2E8C"/>
    <w:rsid w:val="00BE0BE0"/>
    <w:rsid w:val="00C35990"/>
    <w:rsid w:val="00C664C8"/>
    <w:rsid w:val="00C9191E"/>
    <w:rsid w:val="00CE1EC1"/>
    <w:rsid w:val="00CF0460"/>
    <w:rsid w:val="00D43E0F"/>
    <w:rsid w:val="00D45252"/>
    <w:rsid w:val="00D71B4D"/>
    <w:rsid w:val="00D75C1E"/>
    <w:rsid w:val="00D93D55"/>
    <w:rsid w:val="00DA7F26"/>
    <w:rsid w:val="00DB1C48"/>
    <w:rsid w:val="00DB68A0"/>
    <w:rsid w:val="00DB6F2D"/>
    <w:rsid w:val="00DD4917"/>
    <w:rsid w:val="00DD6A16"/>
    <w:rsid w:val="00DE7ECE"/>
    <w:rsid w:val="00E0091A"/>
    <w:rsid w:val="00E056C2"/>
    <w:rsid w:val="00E203AA"/>
    <w:rsid w:val="00E2311D"/>
    <w:rsid w:val="00E5217A"/>
    <w:rsid w:val="00E527A5"/>
    <w:rsid w:val="00E76456"/>
    <w:rsid w:val="00EA34B4"/>
    <w:rsid w:val="00EB018A"/>
    <w:rsid w:val="00EB2D45"/>
    <w:rsid w:val="00EE64F1"/>
    <w:rsid w:val="00EE71CB"/>
    <w:rsid w:val="00F127FD"/>
    <w:rsid w:val="00F16975"/>
    <w:rsid w:val="00F16F70"/>
    <w:rsid w:val="00F50CA1"/>
    <w:rsid w:val="00F66152"/>
    <w:rsid w:val="00F91BE0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DB623CE5-54E7-48CC-8C9A-CB9C21F7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Normal"/>
    <w:next w:val="Normal"/>
    <w:link w:val="TitleChar"/>
    <w:qFormat/>
    <w:rsid w:val="00F127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27F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A34B4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EA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ueira\Desktop\TR-127165-GCPS\127165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6A7B-0897-4446-8327-3F9EE26B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127165_es.dotx</Template>
  <TotalTime>0</TotalTime>
  <Pages>4</Pages>
  <Words>1087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WIPO/GRTKF/IC/42/11</vt:lpstr>
    </vt:vector>
  </TitlesOfParts>
  <Company>WIPO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WIPO/GRTKF/IC/42/11</dc:title>
  <dc:creator>REGUEIRA MIRA Claudia</dc:creator>
  <cp:keywords>FOR OFFICIAL USE ONLY</cp:keywords>
  <cp:lastModifiedBy>BOU LLORET Amparo</cp:lastModifiedBy>
  <cp:revision>2</cp:revision>
  <cp:lastPrinted>2011-05-19T12:37:00Z</cp:lastPrinted>
  <dcterms:created xsi:type="dcterms:W3CDTF">2022-05-25T07:38:00Z</dcterms:created>
  <dcterms:modified xsi:type="dcterms:W3CDTF">2022-05-25T07:38:00Z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