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22F4B" w14:textId="77777777" w:rsidR="000F5E56" w:rsidRPr="00FB0157" w:rsidRDefault="0078309F" w:rsidP="0078309F">
      <w:pPr>
        <w:jc w:val="center"/>
        <w:rPr>
          <w:b/>
          <w:szCs w:val="22"/>
        </w:rPr>
      </w:pPr>
      <w:r w:rsidRPr="00FB0157">
        <w:rPr>
          <w:b/>
          <w:szCs w:val="22"/>
        </w:rPr>
        <w:t>Documento oficioso</w:t>
      </w:r>
    </w:p>
    <w:p w14:paraId="7C4D0751" w14:textId="77777777" w:rsidR="0078309F" w:rsidRPr="00FB0157" w:rsidRDefault="0078309F" w:rsidP="0078309F">
      <w:pPr>
        <w:jc w:val="center"/>
        <w:rPr>
          <w:b/>
          <w:szCs w:val="22"/>
        </w:rPr>
      </w:pPr>
    </w:p>
    <w:p w14:paraId="321E9BAC" w14:textId="77777777" w:rsidR="0078309F" w:rsidRPr="00FB0157" w:rsidRDefault="0078309F" w:rsidP="0078309F">
      <w:pPr>
        <w:jc w:val="center"/>
        <w:rPr>
          <w:b/>
          <w:szCs w:val="22"/>
        </w:rPr>
      </w:pPr>
      <w:r w:rsidRPr="00FB0157">
        <w:rPr>
          <w:b/>
          <w:szCs w:val="22"/>
        </w:rPr>
        <w:t>Texto de la presidenta - Proyecto de instrumento jurídico internacional relativo a la propiedad intelectual y los conocimientos tradicionales/las expresiones culturales tradicionales</w:t>
      </w:r>
    </w:p>
    <w:p w14:paraId="5B46E907" w14:textId="77777777" w:rsidR="0078309F" w:rsidRPr="00FB0157" w:rsidRDefault="0078309F" w:rsidP="0078309F">
      <w:pPr>
        <w:jc w:val="center"/>
        <w:rPr>
          <w:b/>
          <w:szCs w:val="22"/>
        </w:rPr>
      </w:pPr>
    </w:p>
    <w:p w14:paraId="4A669FB0" w14:textId="77777777" w:rsidR="0078309F" w:rsidRPr="00FB0157" w:rsidRDefault="0078309F" w:rsidP="0078309F">
      <w:pPr>
        <w:jc w:val="center"/>
        <w:rPr>
          <w:b/>
          <w:szCs w:val="22"/>
        </w:rPr>
      </w:pPr>
      <w:r w:rsidRPr="00FB0157">
        <w:rPr>
          <w:b/>
          <w:szCs w:val="22"/>
        </w:rPr>
        <w:t>Documento preparado por la presidenta del CIG, Lilyclaire Bellamy</w:t>
      </w:r>
    </w:p>
    <w:p w14:paraId="5E08FD39" w14:textId="77777777" w:rsidR="0078309F" w:rsidRPr="00FB0157" w:rsidRDefault="0078309F" w:rsidP="0078309F">
      <w:pPr>
        <w:jc w:val="center"/>
        <w:rPr>
          <w:b/>
          <w:szCs w:val="22"/>
        </w:rPr>
      </w:pPr>
    </w:p>
    <w:p w14:paraId="19E76F31" w14:textId="77777777" w:rsidR="0078309F" w:rsidRPr="00FB0157" w:rsidRDefault="0078309F" w:rsidP="0078309F">
      <w:pPr>
        <w:jc w:val="center"/>
        <w:rPr>
          <w:b/>
          <w:szCs w:val="22"/>
        </w:rPr>
      </w:pPr>
      <w:r w:rsidRPr="00FB0157">
        <w:rPr>
          <w:b/>
          <w:szCs w:val="22"/>
        </w:rPr>
        <w:t>Primer proyecto</w:t>
      </w:r>
    </w:p>
    <w:p w14:paraId="5EA16B76" w14:textId="0B9AC9A4" w:rsidR="00805E9A" w:rsidRPr="00FB0157" w:rsidRDefault="00EB0B09" w:rsidP="0078309F">
      <w:pPr>
        <w:jc w:val="center"/>
        <w:rPr>
          <w:b/>
          <w:szCs w:val="22"/>
        </w:rPr>
      </w:pPr>
      <w:r w:rsidRPr="00FB0157">
        <w:rPr>
          <w:b/>
          <w:szCs w:val="22"/>
        </w:rPr>
        <w:t>2</w:t>
      </w:r>
      <w:r w:rsidR="008365AF">
        <w:rPr>
          <w:b/>
          <w:szCs w:val="22"/>
        </w:rPr>
        <w:t>9</w:t>
      </w:r>
      <w:r w:rsidRPr="00FB0157">
        <w:rPr>
          <w:b/>
          <w:szCs w:val="22"/>
        </w:rPr>
        <w:t xml:space="preserve"> de noviembre de 2022</w:t>
      </w:r>
    </w:p>
    <w:p w14:paraId="71A484B3" w14:textId="77777777" w:rsidR="00A7612F" w:rsidRPr="00FB0157" w:rsidRDefault="00A7612F">
      <w:pPr>
        <w:rPr>
          <w:szCs w:val="22"/>
        </w:rPr>
      </w:pPr>
    </w:p>
    <w:p w14:paraId="4F83CA60" w14:textId="77777777" w:rsidR="00A7612F" w:rsidRPr="00FB0157" w:rsidRDefault="00A7612F">
      <w:pPr>
        <w:rPr>
          <w:szCs w:val="22"/>
        </w:rPr>
      </w:pPr>
    </w:p>
    <w:p w14:paraId="0DF7AEC1" w14:textId="77777777" w:rsidR="00A7612F" w:rsidRPr="00FB0157" w:rsidRDefault="00A7612F" w:rsidP="00A7612F">
      <w:pPr>
        <w:pStyle w:val="Body1"/>
        <w:spacing w:line="20" w:lineRule="atLeast"/>
        <w:rPr>
          <w:rFonts w:ascii="Arial" w:hAnsi="Arial" w:cs="Arial"/>
          <w:b/>
          <w:sz w:val="22"/>
          <w:szCs w:val="22"/>
        </w:rPr>
      </w:pPr>
      <w:r w:rsidRPr="00FB0157">
        <w:rPr>
          <w:rFonts w:ascii="Arial" w:hAnsi="Arial" w:cs="Arial"/>
          <w:b/>
          <w:sz w:val="22"/>
          <w:szCs w:val="22"/>
        </w:rPr>
        <w:t>INTRODUCCIÓN</w:t>
      </w:r>
      <w:bookmarkStart w:id="0" w:name="_GoBack"/>
      <w:bookmarkEnd w:id="0"/>
    </w:p>
    <w:p w14:paraId="71F7C879" w14:textId="77777777" w:rsidR="00A7612F" w:rsidRPr="00FB0157" w:rsidRDefault="00A7612F" w:rsidP="00A7612F">
      <w:pPr>
        <w:pStyle w:val="Body1"/>
        <w:spacing w:line="20" w:lineRule="atLeast"/>
        <w:rPr>
          <w:rFonts w:ascii="Arial" w:hAnsi="Arial" w:cs="Arial"/>
          <w:sz w:val="22"/>
          <w:szCs w:val="22"/>
        </w:rPr>
      </w:pPr>
    </w:p>
    <w:p w14:paraId="49D2CA29" w14:textId="6717CFEC" w:rsidR="009C58DE" w:rsidRPr="00FB0157" w:rsidRDefault="009C58DE" w:rsidP="009C58DE">
      <w:pPr>
        <w:pStyle w:val="Body1"/>
        <w:spacing w:line="20" w:lineRule="atLeast"/>
        <w:rPr>
          <w:rFonts w:ascii="Arial" w:hAnsi="Arial" w:cs="Arial"/>
          <w:sz w:val="22"/>
          <w:szCs w:val="22"/>
        </w:rPr>
      </w:pPr>
      <w:r w:rsidRPr="00FB0157">
        <w:rPr>
          <w:rFonts w:ascii="Arial" w:hAnsi="Arial" w:cs="Arial"/>
          <w:sz w:val="22"/>
          <w:szCs w:val="22"/>
        </w:rPr>
        <w:fldChar w:fldCharType="begin"/>
      </w:r>
      <w:r w:rsidRPr="00FB0157">
        <w:rPr>
          <w:rFonts w:ascii="Arial" w:hAnsi="Arial" w:cs="Arial"/>
          <w:sz w:val="22"/>
          <w:szCs w:val="22"/>
        </w:rPr>
        <w:instrText xml:space="preserve"> AUTONUM  </w:instrText>
      </w:r>
      <w:r w:rsidRPr="00FB0157">
        <w:rPr>
          <w:rFonts w:ascii="Arial" w:hAnsi="Arial" w:cs="Arial"/>
          <w:sz w:val="22"/>
          <w:szCs w:val="22"/>
        </w:rPr>
        <w:fldChar w:fldCharType="end"/>
      </w:r>
      <w:r w:rsidRPr="00FB0157">
        <w:rPr>
          <w:rFonts w:ascii="Arial" w:hAnsi="Arial" w:cs="Arial"/>
          <w:sz w:val="22"/>
          <w:szCs w:val="22"/>
        </w:rPr>
        <w:tab/>
        <w:t>El Comité Intergubernamental sobre Propiedad Intelectual y Recursos Genéticos, Conocimientos Tradicionales y Folclore (CIG) está llevando a cabo negociaciones sobre los conocimientos tradicionales (CC.TT.) y las expresiones culturales tradicionales (ECT) con miras a llegar a un acuerdo sobre un instrumento jurídico adecuado para su protección internacional en el sentido de la propiedad intelectual (PI).</w:t>
      </w:r>
      <w:r w:rsidR="00A7612F" w:rsidRPr="00FB0157">
        <w:rPr>
          <w:rStyle w:val="FootnoteReference"/>
          <w:rFonts w:ascii="Arial" w:hAnsi="Arial" w:cs="Arial"/>
          <w:sz w:val="22"/>
          <w:szCs w:val="22"/>
        </w:rPr>
        <w:footnoteReference w:id="1"/>
      </w:r>
      <w:r w:rsidR="00FB0157" w:rsidRPr="00FB0157">
        <w:rPr>
          <w:rFonts w:ascii="Arial" w:hAnsi="Arial" w:cs="Arial"/>
          <w:sz w:val="22"/>
          <w:szCs w:val="22"/>
        </w:rPr>
        <w:t xml:space="preserve"> </w:t>
      </w:r>
    </w:p>
    <w:p w14:paraId="36A258A4" w14:textId="77777777" w:rsidR="009C58DE" w:rsidRPr="00FB0157" w:rsidRDefault="009C58DE" w:rsidP="009C58DE">
      <w:pPr>
        <w:pStyle w:val="Body1"/>
        <w:spacing w:line="20" w:lineRule="atLeast"/>
        <w:rPr>
          <w:rFonts w:ascii="Arial" w:hAnsi="Arial" w:cs="Arial"/>
          <w:sz w:val="22"/>
          <w:szCs w:val="22"/>
        </w:rPr>
      </w:pPr>
    </w:p>
    <w:p w14:paraId="0D2F6BF0" w14:textId="351D5AA4" w:rsidR="003A3F65" w:rsidRPr="00FB0157" w:rsidRDefault="009C58DE" w:rsidP="009C58DE">
      <w:pPr>
        <w:pStyle w:val="Body1"/>
        <w:spacing w:line="20" w:lineRule="atLeast"/>
        <w:rPr>
          <w:rFonts w:ascii="Arial" w:hAnsi="Arial" w:cs="Arial"/>
          <w:sz w:val="22"/>
          <w:szCs w:val="22"/>
        </w:rPr>
      </w:pPr>
      <w:r w:rsidRPr="00FB0157">
        <w:rPr>
          <w:rFonts w:ascii="Arial" w:hAnsi="Arial" w:cs="Arial"/>
          <w:sz w:val="22"/>
          <w:szCs w:val="22"/>
        </w:rPr>
        <w:fldChar w:fldCharType="begin"/>
      </w:r>
      <w:r w:rsidRPr="00FB0157">
        <w:rPr>
          <w:rFonts w:ascii="Arial" w:hAnsi="Arial" w:cs="Arial"/>
          <w:sz w:val="22"/>
          <w:szCs w:val="22"/>
        </w:rPr>
        <w:instrText xml:space="preserve"> AUTONUM  </w:instrText>
      </w:r>
      <w:r w:rsidRPr="00FB0157">
        <w:rPr>
          <w:rFonts w:ascii="Arial" w:hAnsi="Arial" w:cs="Arial"/>
          <w:sz w:val="22"/>
          <w:szCs w:val="22"/>
        </w:rPr>
        <w:fldChar w:fldCharType="end"/>
      </w:r>
      <w:r w:rsidRPr="00FB0157">
        <w:rPr>
          <w:rFonts w:ascii="Arial" w:hAnsi="Arial" w:cs="Arial"/>
          <w:sz w:val="22"/>
          <w:szCs w:val="22"/>
        </w:rPr>
        <w:tab/>
        <w:t>En la 44.ª sesión del CIG, tras haber mantenido consultas informales, me comprometí a preparar un Texto de la presidenta sobre los CC.TT. y las ECT, con el asesoramiento de un órgano consultivo informal.</w:t>
      </w:r>
      <w:r w:rsidR="00FB0157" w:rsidRPr="00FB0157">
        <w:rPr>
          <w:rFonts w:ascii="Arial" w:hAnsi="Arial" w:cs="Arial"/>
          <w:sz w:val="22"/>
          <w:szCs w:val="22"/>
        </w:rPr>
        <w:t xml:space="preserve"> </w:t>
      </w:r>
    </w:p>
    <w:p w14:paraId="6F4CA04A" w14:textId="77777777" w:rsidR="003A3F65" w:rsidRPr="00FB0157" w:rsidRDefault="003A3F65" w:rsidP="009C58DE">
      <w:pPr>
        <w:pStyle w:val="Body1"/>
        <w:spacing w:line="20" w:lineRule="atLeast"/>
        <w:rPr>
          <w:rFonts w:ascii="Arial" w:hAnsi="Arial" w:cs="Arial"/>
          <w:sz w:val="22"/>
          <w:szCs w:val="22"/>
        </w:rPr>
      </w:pPr>
    </w:p>
    <w:p w14:paraId="69AE295F" w14:textId="77777777" w:rsidR="003A3F65" w:rsidRPr="00FB0157" w:rsidRDefault="003A3F65" w:rsidP="009C58DE">
      <w:pPr>
        <w:pStyle w:val="Body1"/>
        <w:spacing w:line="20" w:lineRule="atLeast"/>
        <w:rPr>
          <w:rFonts w:ascii="Arial" w:hAnsi="Arial" w:cs="Arial"/>
          <w:sz w:val="22"/>
          <w:szCs w:val="22"/>
        </w:rPr>
      </w:pPr>
      <w:r w:rsidRPr="00FB0157">
        <w:rPr>
          <w:rFonts w:ascii="Arial" w:hAnsi="Arial" w:cs="Arial"/>
          <w:sz w:val="22"/>
          <w:szCs w:val="22"/>
        </w:rPr>
        <w:fldChar w:fldCharType="begin"/>
      </w:r>
      <w:r w:rsidRPr="00FB0157">
        <w:rPr>
          <w:rFonts w:ascii="Arial" w:hAnsi="Arial" w:cs="Arial"/>
          <w:sz w:val="22"/>
          <w:szCs w:val="22"/>
        </w:rPr>
        <w:instrText xml:space="preserve"> AUTONUM  </w:instrText>
      </w:r>
      <w:r w:rsidRPr="00FB0157">
        <w:rPr>
          <w:rFonts w:ascii="Arial" w:hAnsi="Arial" w:cs="Arial"/>
          <w:sz w:val="22"/>
          <w:szCs w:val="22"/>
        </w:rPr>
        <w:fldChar w:fldCharType="end"/>
      </w:r>
      <w:r w:rsidRPr="00FB0157">
        <w:rPr>
          <w:rFonts w:ascii="Arial" w:hAnsi="Arial" w:cs="Arial"/>
          <w:sz w:val="22"/>
          <w:szCs w:val="22"/>
        </w:rPr>
        <w:tab/>
        <w:t xml:space="preserve">En consecuencia, he preparado este primer proyecto de texto de un instrumento jurídico internacional relativo a la propiedad intelectual y los conocimientos tradicionales y los CC.TT./las ECT. </w:t>
      </w:r>
    </w:p>
    <w:p w14:paraId="59761054" w14:textId="77777777" w:rsidR="003A3F65" w:rsidRPr="00FB0157" w:rsidRDefault="003A3F65" w:rsidP="009C58DE">
      <w:pPr>
        <w:pStyle w:val="Body1"/>
        <w:spacing w:line="20" w:lineRule="atLeast"/>
        <w:rPr>
          <w:rFonts w:ascii="Arial" w:hAnsi="Arial" w:cs="Arial"/>
          <w:sz w:val="22"/>
          <w:szCs w:val="22"/>
        </w:rPr>
      </w:pPr>
    </w:p>
    <w:p w14:paraId="215D5928" w14:textId="0D5CAD0B" w:rsidR="003A3F65" w:rsidRPr="00FB0157" w:rsidRDefault="003A3F65" w:rsidP="009C58DE">
      <w:pPr>
        <w:pStyle w:val="Body1"/>
        <w:spacing w:line="20" w:lineRule="atLeast"/>
        <w:rPr>
          <w:rFonts w:ascii="Arial" w:hAnsi="Arial" w:cs="Arial"/>
          <w:sz w:val="22"/>
          <w:szCs w:val="22"/>
        </w:rPr>
      </w:pPr>
      <w:r w:rsidRPr="00FB0157">
        <w:rPr>
          <w:rFonts w:ascii="Arial" w:hAnsi="Arial" w:cs="Arial"/>
          <w:sz w:val="22"/>
          <w:szCs w:val="22"/>
        </w:rPr>
        <w:fldChar w:fldCharType="begin"/>
      </w:r>
      <w:r w:rsidRPr="00FB0157">
        <w:rPr>
          <w:rFonts w:ascii="Arial" w:hAnsi="Arial" w:cs="Arial"/>
          <w:sz w:val="22"/>
          <w:szCs w:val="22"/>
        </w:rPr>
        <w:instrText xml:space="preserve"> AUTONUM  </w:instrText>
      </w:r>
      <w:r w:rsidRPr="00FB0157">
        <w:rPr>
          <w:rFonts w:ascii="Arial" w:hAnsi="Arial" w:cs="Arial"/>
          <w:sz w:val="22"/>
          <w:szCs w:val="22"/>
        </w:rPr>
        <w:fldChar w:fldCharType="end"/>
      </w:r>
      <w:r w:rsidRPr="00FB0157">
        <w:rPr>
          <w:rFonts w:ascii="Arial" w:hAnsi="Arial" w:cs="Arial"/>
          <w:sz w:val="22"/>
          <w:szCs w:val="22"/>
        </w:rPr>
        <w:tab/>
        <w:t>He preparado este proyecto de texto únicamente por iniciativa propia, como contribución a las negociaciones sobre CC.TT./ECT que está llevando a cabo el CIG.</w:t>
      </w:r>
      <w:r w:rsidR="00FB0157" w:rsidRPr="00FB0157">
        <w:rPr>
          <w:rFonts w:ascii="Arial" w:hAnsi="Arial" w:cs="Arial"/>
          <w:sz w:val="22"/>
          <w:szCs w:val="22"/>
        </w:rPr>
        <w:t xml:space="preserve"> </w:t>
      </w:r>
      <w:r w:rsidRPr="00FB0157">
        <w:rPr>
          <w:rFonts w:ascii="Arial" w:hAnsi="Arial" w:cs="Arial"/>
          <w:sz w:val="22"/>
          <w:szCs w:val="22"/>
        </w:rPr>
        <w:t>Este proyecto no pretende dejar de lado las posturas de los Estados miembros y refleja únicamente mis opiniones.</w:t>
      </w:r>
      <w:r w:rsidR="00FB0157" w:rsidRPr="00FB0157">
        <w:rPr>
          <w:rFonts w:ascii="Arial" w:hAnsi="Arial" w:cs="Arial"/>
          <w:sz w:val="22"/>
          <w:szCs w:val="22"/>
        </w:rPr>
        <w:t xml:space="preserve"> </w:t>
      </w:r>
      <w:r w:rsidRPr="00FB0157">
        <w:rPr>
          <w:rFonts w:ascii="Arial" w:hAnsi="Arial" w:cs="Arial"/>
          <w:sz w:val="22"/>
          <w:szCs w:val="22"/>
        </w:rPr>
        <w:t xml:space="preserve">Agradezco a los vicepresidentes y a los miembros del órgano consultivo los valiosos consejos que me han dado hasta ahora, y doy también las gracias a </w:t>
      </w:r>
      <w:r w:rsidR="00FB0157" w:rsidRPr="00FB0157">
        <w:rPr>
          <w:rFonts w:ascii="Arial" w:hAnsi="Arial" w:cs="Arial"/>
          <w:sz w:val="22"/>
          <w:szCs w:val="22"/>
        </w:rPr>
        <w:t>la demás persona</w:t>
      </w:r>
      <w:r w:rsidRPr="00FB0157">
        <w:rPr>
          <w:rFonts w:ascii="Arial" w:hAnsi="Arial" w:cs="Arial"/>
          <w:sz w:val="22"/>
          <w:szCs w:val="22"/>
        </w:rPr>
        <w:t xml:space="preserve"> a las que he consultado. </w:t>
      </w:r>
    </w:p>
    <w:p w14:paraId="153229ED" w14:textId="77777777" w:rsidR="003A3F65" w:rsidRPr="00FB0157" w:rsidRDefault="003A3F65" w:rsidP="009C58DE">
      <w:pPr>
        <w:pStyle w:val="Body1"/>
        <w:spacing w:line="20" w:lineRule="atLeast"/>
        <w:rPr>
          <w:rFonts w:ascii="Arial" w:hAnsi="Arial" w:cs="Arial"/>
          <w:sz w:val="22"/>
          <w:szCs w:val="22"/>
        </w:rPr>
      </w:pPr>
    </w:p>
    <w:p w14:paraId="407F2D22" w14:textId="127EB021" w:rsidR="002A6342" w:rsidRPr="00FB0157" w:rsidRDefault="003A3F65" w:rsidP="009C58DE">
      <w:pPr>
        <w:pStyle w:val="Body1"/>
        <w:spacing w:line="20" w:lineRule="atLeast"/>
        <w:rPr>
          <w:rFonts w:ascii="Arial" w:hAnsi="Arial" w:cs="Arial"/>
          <w:sz w:val="22"/>
          <w:szCs w:val="22"/>
        </w:rPr>
      </w:pPr>
      <w:r w:rsidRPr="00FB0157">
        <w:rPr>
          <w:rFonts w:ascii="Arial" w:hAnsi="Arial" w:cs="Arial"/>
          <w:sz w:val="22"/>
          <w:szCs w:val="22"/>
        </w:rPr>
        <w:fldChar w:fldCharType="begin"/>
      </w:r>
      <w:r w:rsidRPr="00FB0157">
        <w:rPr>
          <w:rFonts w:ascii="Arial" w:hAnsi="Arial" w:cs="Arial"/>
          <w:sz w:val="22"/>
          <w:szCs w:val="22"/>
        </w:rPr>
        <w:instrText xml:space="preserve"> AUTONUM  </w:instrText>
      </w:r>
      <w:r w:rsidRPr="00FB0157">
        <w:rPr>
          <w:rFonts w:ascii="Arial" w:hAnsi="Arial" w:cs="Arial"/>
          <w:sz w:val="22"/>
          <w:szCs w:val="22"/>
        </w:rPr>
        <w:fldChar w:fldCharType="end"/>
      </w:r>
      <w:r w:rsidRPr="00FB0157">
        <w:rPr>
          <w:rFonts w:ascii="Arial" w:hAnsi="Arial" w:cs="Arial"/>
          <w:sz w:val="22"/>
          <w:szCs w:val="22"/>
        </w:rPr>
        <w:tab/>
        <w:t>En el pasado, y hasta ahora, el CIG ha centrado su debate en los objetivos, la materia, los beneficiarios, el alcance de la protección, las limitaciones y excepciones, así como las sanciones y los recursos.</w:t>
      </w:r>
      <w:r w:rsidR="00FB0157" w:rsidRPr="00FB0157">
        <w:rPr>
          <w:rFonts w:ascii="Arial" w:hAnsi="Arial" w:cs="Arial"/>
          <w:sz w:val="22"/>
          <w:szCs w:val="22"/>
        </w:rPr>
        <w:t xml:space="preserve"> </w:t>
      </w:r>
      <w:r w:rsidRPr="00FB0157">
        <w:rPr>
          <w:rFonts w:ascii="Arial" w:hAnsi="Arial" w:cs="Arial"/>
          <w:sz w:val="22"/>
          <w:szCs w:val="22"/>
        </w:rPr>
        <w:t>Por lo tanto, este proyecto de texto solo aborda esas cuestiones.</w:t>
      </w:r>
      <w:r w:rsidR="00FB0157" w:rsidRPr="00FB0157">
        <w:rPr>
          <w:rFonts w:ascii="Arial" w:hAnsi="Arial" w:cs="Arial"/>
          <w:sz w:val="22"/>
          <w:szCs w:val="22"/>
        </w:rPr>
        <w:t xml:space="preserve"> </w:t>
      </w:r>
      <w:r w:rsidRPr="00FB0157">
        <w:rPr>
          <w:rFonts w:ascii="Arial" w:hAnsi="Arial" w:cs="Arial"/>
          <w:sz w:val="22"/>
          <w:szCs w:val="22"/>
        </w:rPr>
        <w:t>Tengo una lista de otras cuestiones, que se examinarán en más detalle en el futuro.</w:t>
      </w:r>
      <w:r w:rsidR="00FB0157" w:rsidRPr="00FB0157">
        <w:rPr>
          <w:rFonts w:ascii="Arial" w:hAnsi="Arial" w:cs="Arial"/>
          <w:sz w:val="22"/>
          <w:szCs w:val="22"/>
        </w:rPr>
        <w:t xml:space="preserve"> </w:t>
      </w:r>
      <w:r w:rsidRPr="00FB0157">
        <w:rPr>
          <w:rFonts w:ascii="Arial" w:hAnsi="Arial" w:cs="Arial"/>
          <w:sz w:val="22"/>
          <w:szCs w:val="22"/>
        </w:rPr>
        <w:t xml:space="preserve">En mi opinión, un instrumento jurídico internacional sobre los CC.TT./las ECT no debería ser demasiado detallado ni prescriptivo. Los futuros proyectos relativos a este texto tendrían que tender a ser menos y no más detallados. </w:t>
      </w:r>
    </w:p>
    <w:p w14:paraId="69F3487E" w14:textId="77777777" w:rsidR="002A6342" w:rsidRPr="00FB0157" w:rsidRDefault="002A6342" w:rsidP="009C58DE">
      <w:pPr>
        <w:pStyle w:val="Body1"/>
        <w:spacing w:line="20" w:lineRule="atLeast"/>
        <w:rPr>
          <w:rFonts w:ascii="Arial" w:hAnsi="Arial" w:cs="Arial"/>
          <w:sz w:val="22"/>
          <w:szCs w:val="22"/>
        </w:rPr>
      </w:pPr>
    </w:p>
    <w:p w14:paraId="3530ED21" w14:textId="6D569D6D" w:rsidR="002A6342" w:rsidRPr="00FB0157" w:rsidRDefault="002A6342" w:rsidP="009C58DE">
      <w:pPr>
        <w:pStyle w:val="Body1"/>
        <w:spacing w:line="20" w:lineRule="atLeast"/>
        <w:rPr>
          <w:rFonts w:ascii="Arial" w:hAnsi="Arial" w:cs="Arial"/>
          <w:sz w:val="22"/>
          <w:szCs w:val="22"/>
        </w:rPr>
      </w:pPr>
      <w:r w:rsidRPr="00FB0157">
        <w:rPr>
          <w:rFonts w:ascii="Arial" w:hAnsi="Arial" w:cs="Arial"/>
          <w:sz w:val="22"/>
          <w:szCs w:val="22"/>
        </w:rPr>
        <w:fldChar w:fldCharType="begin"/>
      </w:r>
      <w:r w:rsidRPr="00FB0157">
        <w:rPr>
          <w:rFonts w:ascii="Arial" w:hAnsi="Arial" w:cs="Arial"/>
          <w:sz w:val="22"/>
          <w:szCs w:val="22"/>
        </w:rPr>
        <w:instrText xml:space="preserve"> AUTONUM  </w:instrText>
      </w:r>
      <w:r w:rsidRPr="00FB0157">
        <w:rPr>
          <w:rFonts w:ascii="Arial" w:hAnsi="Arial" w:cs="Arial"/>
          <w:sz w:val="22"/>
          <w:szCs w:val="22"/>
        </w:rPr>
        <w:fldChar w:fldCharType="end"/>
      </w:r>
      <w:r w:rsidRPr="00FB0157">
        <w:rPr>
          <w:rFonts w:ascii="Arial" w:hAnsi="Arial" w:cs="Arial"/>
          <w:sz w:val="22"/>
          <w:szCs w:val="22"/>
        </w:rPr>
        <w:tab/>
        <w:t>Además, puesto que aún no hay acuerdo sobre si este instrumento jurídico internacional debería ser vinculante o no, no he utilizado el término "artículo" ni "sección" como proponen algunos Estados miembros.</w:t>
      </w:r>
      <w:r w:rsidR="00FB0157" w:rsidRPr="00FB0157">
        <w:rPr>
          <w:rFonts w:ascii="Arial" w:hAnsi="Arial" w:cs="Arial"/>
          <w:sz w:val="22"/>
          <w:szCs w:val="22"/>
        </w:rPr>
        <w:t xml:space="preserve"> </w:t>
      </w:r>
      <w:r w:rsidRPr="00FB0157">
        <w:rPr>
          <w:rFonts w:ascii="Arial" w:hAnsi="Arial" w:cs="Arial"/>
          <w:sz w:val="22"/>
          <w:szCs w:val="22"/>
        </w:rPr>
        <w:t xml:space="preserve">He incluido notas explicativas para dar más información y explicaciones. </w:t>
      </w:r>
    </w:p>
    <w:p w14:paraId="3105DF49" w14:textId="77777777" w:rsidR="002A6342" w:rsidRPr="00FB0157" w:rsidRDefault="002A6342" w:rsidP="009C58DE">
      <w:pPr>
        <w:pStyle w:val="Body1"/>
        <w:spacing w:line="20" w:lineRule="atLeast"/>
        <w:rPr>
          <w:rFonts w:ascii="Arial" w:hAnsi="Arial" w:cs="Arial"/>
          <w:sz w:val="22"/>
          <w:szCs w:val="22"/>
        </w:rPr>
      </w:pPr>
    </w:p>
    <w:p w14:paraId="4953B442" w14:textId="52568EAE" w:rsidR="00F362E6" w:rsidRPr="00FB0157" w:rsidRDefault="002A6342" w:rsidP="009C58DE">
      <w:pPr>
        <w:pStyle w:val="Body1"/>
        <w:spacing w:line="20" w:lineRule="atLeast"/>
        <w:rPr>
          <w:rFonts w:ascii="Arial" w:hAnsi="Arial" w:cs="Arial"/>
          <w:i/>
          <w:sz w:val="22"/>
          <w:szCs w:val="22"/>
        </w:rPr>
      </w:pPr>
      <w:r w:rsidRPr="00FB0157">
        <w:rPr>
          <w:rFonts w:ascii="Arial" w:hAnsi="Arial" w:cs="Arial"/>
          <w:sz w:val="22"/>
          <w:szCs w:val="22"/>
        </w:rPr>
        <w:lastRenderedPageBreak/>
        <w:fldChar w:fldCharType="begin"/>
      </w:r>
      <w:r w:rsidRPr="00FB0157">
        <w:rPr>
          <w:rFonts w:ascii="Arial" w:hAnsi="Arial" w:cs="Arial"/>
          <w:sz w:val="22"/>
          <w:szCs w:val="22"/>
        </w:rPr>
        <w:instrText xml:space="preserve"> AUTONUM  </w:instrText>
      </w:r>
      <w:r w:rsidRPr="00FB0157">
        <w:rPr>
          <w:rFonts w:ascii="Arial" w:hAnsi="Arial" w:cs="Arial"/>
          <w:sz w:val="22"/>
          <w:szCs w:val="22"/>
        </w:rPr>
        <w:fldChar w:fldCharType="end"/>
      </w:r>
      <w:r w:rsidRPr="00FB0157">
        <w:rPr>
          <w:rFonts w:ascii="Arial" w:hAnsi="Arial" w:cs="Arial"/>
          <w:sz w:val="22"/>
          <w:szCs w:val="22"/>
        </w:rPr>
        <w:tab/>
        <w:t>La labor relativa a este proyecto de texto todavía no termina.</w:t>
      </w:r>
      <w:r w:rsidR="00FB0157" w:rsidRPr="00FB0157">
        <w:rPr>
          <w:rFonts w:ascii="Arial" w:hAnsi="Arial" w:cs="Arial"/>
          <w:sz w:val="22"/>
          <w:szCs w:val="22"/>
        </w:rPr>
        <w:t xml:space="preserve"> </w:t>
      </w:r>
      <w:r w:rsidRPr="00FB0157">
        <w:rPr>
          <w:rFonts w:ascii="Arial" w:hAnsi="Arial" w:cs="Arial"/>
          <w:sz w:val="22"/>
          <w:szCs w:val="22"/>
        </w:rPr>
        <w:t>Invito a todos los participantes en el CIG a examinar este primer proyecto de texto y transmitirme sus comentarios al respecto.</w:t>
      </w:r>
      <w:r w:rsidR="00FB0157" w:rsidRPr="00FB0157">
        <w:rPr>
          <w:rFonts w:ascii="Arial" w:hAnsi="Arial" w:cs="Arial"/>
          <w:sz w:val="22"/>
          <w:szCs w:val="22"/>
        </w:rPr>
        <w:t xml:space="preserve"> </w:t>
      </w:r>
      <w:r w:rsidRPr="00FB0157">
        <w:rPr>
          <w:rFonts w:ascii="Arial" w:hAnsi="Arial" w:cs="Arial"/>
          <w:sz w:val="22"/>
          <w:szCs w:val="22"/>
        </w:rPr>
        <w:t xml:space="preserve">Me pueden enviar los comentarios a la dirección </w:t>
      </w:r>
      <w:hyperlink r:id="rId8" w:history="1">
        <w:r w:rsidRPr="00FB0157">
          <w:rPr>
            <w:rStyle w:val="Hyperlink"/>
            <w:rFonts w:ascii="Arial" w:hAnsi="Arial" w:cs="Arial"/>
            <w:sz w:val="22"/>
            <w:szCs w:val="22"/>
          </w:rPr>
          <w:t>Chairigclilyclaire@gmail.com</w:t>
        </w:r>
      </w:hyperlink>
      <w:r w:rsidRPr="00FB0157">
        <w:rPr>
          <w:rFonts w:ascii="Arial" w:hAnsi="Arial" w:cs="Arial"/>
          <w:sz w:val="22"/>
          <w:szCs w:val="22"/>
        </w:rPr>
        <w:t>..</w:t>
      </w:r>
      <w:r w:rsidR="00FB0157" w:rsidRPr="00FB0157">
        <w:rPr>
          <w:rFonts w:ascii="Arial" w:hAnsi="Arial" w:cs="Arial"/>
          <w:sz w:val="22"/>
          <w:szCs w:val="22"/>
        </w:rPr>
        <w:t xml:space="preserve"> </w:t>
      </w:r>
    </w:p>
    <w:p w14:paraId="2B371F6B" w14:textId="77777777" w:rsidR="00A7612F" w:rsidRPr="00FB0157" w:rsidRDefault="00A7612F" w:rsidP="00F362E6">
      <w:pPr>
        <w:pStyle w:val="Body1"/>
        <w:spacing w:line="20" w:lineRule="atLeast"/>
        <w:rPr>
          <w:rFonts w:ascii="Arial" w:hAnsi="Arial" w:cs="Arial"/>
          <w:i/>
          <w:sz w:val="22"/>
          <w:szCs w:val="22"/>
        </w:rPr>
      </w:pPr>
    </w:p>
    <w:p w14:paraId="7CBD24BC" w14:textId="77777777" w:rsidR="00F362E6" w:rsidRPr="00FB0157" w:rsidRDefault="00F362E6" w:rsidP="00F362E6">
      <w:pPr>
        <w:pStyle w:val="Body1"/>
        <w:spacing w:line="20" w:lineRule="atLeast"/>
        <w:rPr>
          <w:rFonts w:ascii="Arial" w:hAnsi="Arial" w:cs="Arial"/>
          <w:sz w:val="22"/>
          <w:szCs w:val="22"/>
        </w:rPr>
      </w:pPr>
    </w:p>
    <w:p w14:paraId="7F372A77" w14:textId="77777777" w:rsidR="00A7612F" w:rsidRPr="00FB0157" w:rsidRDefault="00A7612F">
      <w:pPr>
        <w:rPr>
          <w:szCs w:val="22"/>
        </w:rPr>
      </w:pPr>
    </w:p>
    <w:p w14:paraId="02652646" w14:textId="77777777" w:rsidR="0078309F" w:rsidRPr="00FB0157" w:rsidRDefault="0078309F">
      <w:pPr>
        <w:rPr>
          <w:szCs w:val="22"/>
        </w:rPr>
      </w:pPr>
      <w:r w:rsidRPr="00FB0157">
        <w:rPr>
          <w:szCs w:val="22"/>
        </w:rPr>
        <w:br w:type="page"/>
      </w:r>
    </w:p>
    <w:p w14:paraId="7D79F576" w14:textId="77777777" w:rsidR="0078309F" w:rsidRPr="00FB0157" w:rsidRDefault="0078309F" w:rsidP="0078309F">
      <w:pPr>
        <w:spacing w:line="336" w:lineRule="exact"/>
        <w:jc w:val="center"/>
        <w:rPr>
          <w:szCs w:val="22"/>
        </w:rPr>
      </w:pPr>
      <w:r w:rsidRPr="00FB0157">
        <w:rPr>
          <w:szCs w:val="22"/>
        </w:rPr>
        <w:lastRenderedPageBreak/>
        <w:t>OBJETIVOS</w:t>
      </w:r>
    </w:p>
    <w:p w14:paraId="4ACAAC40" w14:textId="77777777" w:rsidR="0078309F" w:rsidRPr="00FB0157" w:rsidRDefault="0078309F" w:rsidP="0078309F">
      <w:pPr>
        <w:tabs>
          <w:tab w:val="num" w:pos="993"/>
        </w:tabs>
        <w:autoSpaceDE w:val="0"/>
        <w:autoSpaceDN w:val="0"/>
        <w:adjustRightInd w:val="0"/>
        <w:rPr>
          <w:szCs w:val="22"/>
        </w:rPr>
      </w:pPr>
    </w:p>
    <w:p w14:paraId="5C3EF1E2" w14:textId="77777777" w:rsidR="0078309F" w:rsidRPr="00FB0157" w:rsidRDefault="0078309F" w:rsidP="0078309F">
      <w:pPr>
        <w:rPr>
          <w:szCs w:val="22"/>
        </w:rPr>
      </w:pPr>
      <w:r w:rsidRPr="00FB0157">
        <w:rPr>
          <w:szCs w:val="22"/>
        </w:rPr>
        <w:t>Los objetivos del presente instrumento son los siguientes:</w:t>
      </w:r>
    </w:p>
    <w:p w14:paraId="75D254BF" w14:textId="77777777" w:rsidR="0078309F" w:rsidRPr="00FB0157" w:rsidRDefault="0078309F" w:rsidP="0078309F">
      <w:pPr>
        <w:rPr>
          <w:szCs w:val="22"/>
        </w:rPr>
      </w:pPr>
    </w:p>
    <w:p w14:paraId="210A27F0" w14:textId="77777777" w:rsidR="0078309F" w:rsidRPr="00FB0157" w:rsidRDefault="00B67A5F" w:rsidP="0078309F">
      <w:pPr>
        <w:pStyle w:val="ListParagraph"/>
        <w:numPr>
          <w:ilvl w:val="0"/>
          <w:numId w:val="17"/>
        </w:numPr>
        <w:rPr>
          <w:szCs w:val="22"/>
        </w:rPr>
      </w:pPr>
      <w:r w:rsidRPr="00FB0157">
        <w:rPr>
          <w:szCs w:val="22"/>
        </w:rPr>
        <w:t>dar una protección eficaz y adecuada a los conocimientos tradicionales y las expresiones culturales tradicionales;</w:t>
      </w:r>
    </w:p>
    <w:p w14:paraId="1DAAE21B" w14:textId="77777777" w:rsidR="0078309F" w:rsidRPr="00FB0157" w:rsidRDefault="0078309F" w:rsidP="0078309F">
      <w:pPr>
        <w:pStyle w:val="ListParagraph"/>
        <w:rPr>
          <w:szCs w:val="22"/>
        </w:rPr>
      </w:pPr>
    </w:p>
    <w:p w14:paraId="3FB0D6F6" w14:textId="47BD8E4A" w:rsidR="0078309F" w:rsidRPr="00FB0157" w:rsidRDefault="00B67A5F" w:rsidP="0078309F">
      <w:pPr>
        <w:pStyle w:val="ListParagraph"/>
        <w:numPr>
          <w:ilvl w:val="0"/>
          <w:numId w:val="17"/>
        </w:numPr>
        <w:rPr>
          <w:szCs w:val="22"/>
        </w:rPr>
      </w:pPr>
      <w:r w:rsidRPr="00FB0157">
        <w:rPr>
          <w:szCs w:val="22"/>
        </w:rPr>
        <w:t>impedir la concesión errónea de derechos de propiedad intelectual sobre conocimientos tradicionales y expresiones culturales tradicionales; y</w:t>
      </w:r>
    </w:p>
    <w:p w14:paraId="7E337B32" w14:textId="77777777" w:rsidR="0078309F" w:rsidRPr="00FB0157" w:rsidRDefault="0078309F" w:rsidP="0078309F">
      <w:pPr>
        <w:pStyle w:val="ListParagraph"/>
        <w:rPr>
          <w:szCs w:val="22"/>
        </w:rPr>
      </w:pPr>
    </w:p>
    <w:p w14:paraId="180A3995" w14:textId="77777777" w:rsidR="0078309F" w:rsidRPr="00FB0157" w:rsidRDefault="00B67A5F" w:rsidP="0078309F">
      <w:pPr>
        <w:pStyle w:val="ListParagraph"/>
        <w:numPr>
          <w:ilvl w:val="0"/>
          <w:numId w:val="17"/>
        </w:numPr>
        <w:rPr>
          <w:szCs w:val="22"/>
        </w:rPr>
      </w:pPr>
      <w:r w:rsidRPr="00FB0157">
        <w:rPr>
          <w:szCs w:val="22"/>
        </w:rPr>
        <w:t xml:space="preserve">reconocer que comunidades locales [e] [y los pueblos] indígenas son los poseedores de los conocimientos tradicionales y las expresiones culturales tradicionales. </w:t>
      </w:r>
    </w:p>
    <w:p w14:paraId="5B4FCBE4" w14:textId="77777777" w:rsidR="0078309F" w:rsidRPr="00FB0157" w:rsidRDefault="0078309F" w:rsidP="0078309F">
      <w:pPr>
        <w:tabs>
          <w:tab w:val="num" w:pos="993"/>
        </w:tabs>
        <w:autoSpaceDE w:val="0"/>
        <w:autoSpaceDN w:val="0"/>
        <w:adjustRightInd w:val="0"/>
        <w:rPr>
          <w:szCs w:val="22"/>
        </w:rPr>
      </w:pPr>
    </w:p>
    <w:p w14:paraId="1F4DBD9A" w14:textId="77777777" w:rsidR="0078309F" w:rsidRPr="00FB0157" w:rsidRDefault="0078309F" w:rsidP="0078309F">
      <w:pPr>
        <w:rPr>
          <w:szCs w:val="22"/>
        </w:rPr>
      </w:pPr>
      <w:r w:rsidRPr="00FB0157">
        <w:rPr>
          <w:szCs w:val="22"/>
        </w:rPr>
        <w:br w:type="page"/>
      </w:r>
    </w:p>
    <w:p w14:paraId="046F7346" w14:textId="77777777" w:rsidR="00BC7A2C" w:rsidRPr="00FB0157" w:rsidRDefault="00BC7A2C">
      <w:pPr>
        <w:rPr>
          <w:szCs w:val="22"/>
        </w:rPr>
      </w:pPr>
      <w:r w:rsidRPr="00FB0157">
        <w:rPr>
          <w:szCs w:val="22"/>
        </w:rPr>
        <w:lastRenderedPageBreak/>
        <w:t>Notas explicativas:</w:t>
      </w:r>
    </w:p>
    <w:p w14:paraId="42A5EBFE" w14:textId="77777777" w:rsidR="00BC7A2C" w:rsidRPr="00FB0157" w:rsidRDefault="00BC7A2C">
      <w:pPr>
        <w:rPr>
          <w:szCs w:val="22"/>
        </w:rPr>
      </w:pPr>
    </w:p>
    <w:p w14:paraId="725B4583" w14:textId="3D8546E2" w:rsidR="00BC7A2C" w:rsidRPr="00FB0157" w:rsidRDefault="00BC7A2C">
      <w:pPr>
        <w:rPr>
          <w:szCs w:val="22"/>
        </w:rPr>
      </w:pPr>
      <w:r w:rsidRPr="00FB0157">
        <w:rPr>
          <w:szCs w:val="22"/>
        </w:rPr>
        <w:t>A menudo, los objetivos se articulan en leyes e instrumentos jurídicos, que aclaran el contexto jurídico y de políticas y dan una dirección común a la protección establecida en el instrumento jurídico.</w:t>
      </w:r>
      <w:r w:rsidR="00FB0157" w:rsidRPr="00FB0157">
        <w:rPr>
          <w:szCs w:val="22"/>
        </w:rPr>
        <w:t xml:space="preserve"> </w:t>
      </w:r>
      <w:r w:rsidRPr="00FB0157">
        <w:rPr>
          <w:szCs w:val="22"/>
        </w:rPr>
        <w:t>El proyecto de objetivos de política se basa en los objetivos comunes expresados en el Comité.</w:t>
      </w:r>
    </w:p>
    <w:p w14:paraId="3286B56A" w14:textId="77777777" w:rsidR="00B973EB" w:rsidRPr="00FB0157" w:rsidRDefault="00B973EB">
      <w:pPr>
        <w:rPr>
          <w:szCs w:val="22"/>
        </w:rPr>
      </w:pPr>
    </w:p>
    <w:p w14:paraId="74EA830A" w14:textId="5796D55C" w:rsidR="00B973EB" w:rsidRPr="00FB0157" w:rsidRDefault="00B973EB" w:rsidP="00B973EB">
      <w:pPr>
        <w:rPr>
          <w:szCs w:val="22"/>
        </w:rPr>
      </w:pPr>
      <w:r w:rsidRPr="00FB0157">
        <w:rPr>
          <w:szCs w:val="22"/>
        </w:rPr>
        <w:t>El mandato del CIG es llegar a un acuerdo adecuado, en el sentido de la PI, para proteger los CC.TT. y las ECT a escala internacional.</w:t>
      </w:r>
      <w:r w:rsidR="00FB0157" w:rsidRPr="00FB0157">
        <w:rPr>
          <w:szCs w:val="22"/>
        </w:rPr>
        <w:t xml:space="preserve"> </w:t>
      </w:r>
      <w:r w:rsidRPr="00FB0157">
        <w:rPr>
          <w:szCs w:val="22"/>
        </w:rPr>
        <w:t>Por consiguiente, el CIG podría considerar la posibilidad de racionalizar y reorganizar el texto para evitar redundancias, y prestar atención a los principios y objetivos fundamentales comunes, relacionados con la P.I., formulados con concisión en el instrumento.</w:t>
      </w:r>
    </w:p>
    <w:p w14:paraId="63B2072C" w14:textId="77777777" w:rsidR="00BC7A2C" w:rsidRPr="00FB0157" w:rsidRDefault="00BC7A2C">
      <w:pPr>
        <w:rPr>
          <w:szCs w:val="22"/>
        </w:rPr>
      </w:pPr>
    </w:p>
    <w:p w14:paraId="3FCA1C98" w14:textId="73709256" w:rsidR="00BC7A2C" w:rsidRPr="00FB0157" w:rsidRDefault="00BC7A2C">
      <w:pPr>
        <w:rPr>
          <w:szCs w:val="22"/>
        </w:rPr>
      </w:pPr>
      <w:r w:rsidRPr="00FB0157">
        <w:rPr>
          <w:szCs w:val="22"/>
        </w:rPr>
        <w:t>En la 44ª sesión del CIG, los facilitadores redactaron unos objetivos breves y concisos que, en mi opinión, constituyen una buena base de reflexión, por lo que me he inspirado en su propuesta de texto.</w:t>
      </w:r>
      <w:r w:rsidR="00FB0157" w:rsidRPr="00FB0157">
        <w:rPr>
          <w:szCs w:val="22"/>
        </w:rPr>
        <w:t xml:space="preserve"> </w:t>
      </w:r>
    </w:p>
    <w:p w14:paraId="47B7C57D" w14:textId="77777777" w:rsidR="00BC7A2C" w:rsidRPr="00FB0157" w:rsidRDefault="00BC7A2C" w:rsidP="0078309F">
      <w:pPr>
        <w:rPr>
          <w:szCs w:val="22"/>
        </w:rPr>
      </w:pPr>
      <w:r w:rsidRPr="00FB0157">
        <w:rPr>
          <w:szCs w:val="22"/>
        </w:rPr>
        <w:br w:type="page"/>
      </w:r>
    </w:p>
    <w:p w14:paraId="7020372E" w14:textId="77777777" w:rsidR="0078309F" w:rsidRPr="00FB0157" w:rsidRDefault="00F14A41" w:rsidP="0078309F">
      <w:pPr>
        <w:tabs>
          <w:tab w:val="num" w:pos="993"/>
        </w:tabs>
        <w:autoSpaceDE w:val="0"/>
        <w:autoSpaceDN w:val="0"/>
        <w:adjustRightInd w:val="0"/>
        <w:jc w:val="center"/>
        <w:rPr>
          <w:szCs w:val="22"/>
        </w:rPr>
      </w:pPr>
      <w:r w:rsidRPr="00FB0157">
        <w:rPr>
          <w:szCs w:val="22"/>
        </w:rPr>
        <w:lastRenderedPageBreak/>
        <w:t xml:space="preserve">MATERIA </w:t>
      </w:r>
    </w:p>
    <w:p w14:paraId="1EF1D9B2" w14:textId="77777777" w:rsidR="0078309F" w:rsidRPr="00FB0157" w:rsidRDefault="0078309F" w:rsidP="0078309F">
      <w:pPr>
        <w:tabs>
          <w:tab w:val="num" w:pos="993"/>
        </w:tabs>
        <w:autoSpaceDE w:val="0"/>
        <w:autoSpaceDN w:val="0"/>
        <w:adjustRightInd w:val="0"/>
        <w:jc w:val="center"/>
        <w:rPr>
          <w:szCs w:val="22"/>
        </w:rPr>
      </w:pPr>
    </w:p>
    <w:p w14:paraId="3F39506A" w14:textId="77777777" w:rsidR="00F14A41" w:rsidRPr="00FB0157" w:rsidRDefault="00223F41" w:rsidP="00223F41">
      <w:pPr>
        <w:autoSpaceDE w:val="0"/>
        <w:autoSpaceDN w:val="0"/>
        <w:adjustRightInd w:val="0"/>
        <w:rPr>
          <w:szCs w:val="22"/>
        </w:rPr>
      </w:pPr>
      <w:r w:rsidRPr="00FB0157">
        <w:rPr>
          <w:szCs w:val="22"/>
        </w:rPr>
        <w:t>1.</w:t>
      </w:r>
      <w:r w:rsidRPr="00FB0157">
        <w:rPr>
          <w:szCs w:val="22"/>
        </w:rPr>
        <w:tab/>
        <w:t>Los conocimientos tradicionales se refieren a los conocimientos relacionados con la tierra y el medio ambiente, e incluyen los conocimientos especializados, las habilidades, las innovaciones, las prácticas, la enseñanza o el aprendizaje.</w:t>
      </w:r>
    </w:p>
    <w:p w14:paraId="14CEC8AE" w14:textId="77777777" w:rsidR="006C79A0" w:rsidRPr="00FB0157" w:rsidRDefault="006C79A0" w:rsidP="00F14A41">
      <w:pPr>
        <w:autoSpaceDE w:val="0"/>
        <w:autoSpaceDN w:val="0"/>
        <w:adjustRightInd w:val="0"/>
        <w:rPr>
          <w:szCs w:val="22"/>
        </w:rPr>
      </w:pPr>
    </w:p>
    <w:p w14:paraId="5BF56A57" w14:textId="77777777" w:rsidR="006C79A0" w:rsidRPr="00FB0157" w:rsidRDefault="006C79A0" w:rsidP="006C79A0">
      <w:pPr>
        <w:rPr>
          <w:szCs w:val="22"/>
        </w:rPr>
      </w:pPr>
      <w:r w:rsidRPr="00FB0157">
        <w:rPr>
          <w:szCs w:val="22"/>
        </w:rPr>
        <w:t>2</w:t>
      </w:r>
      <w:r w:rsidRPr="00FB0157">
        <w:rPr>
          <w:szCs w:val="22"/>
        </w:rPr>
        <w:tab/>
        <w:t>Las expresiones culturales tradicionales son todas las formas en que se expresan las prácticas culturales y los conocimientos tradicionales, lo que incluye las formas verbales,</w:t>
      </w:r>
      <w:r w:rsidRPr="00FB0157">
        <w:rPr>
          <w:szCs w:val="22"/>
          <w:vertAlign w:val="superscript"/>
        </w:rPr>
        <w:footnoteReference w:id="2"/>
      </w:r>
      <w:r w:rsidRPr="00FB0157">
        <w:rPr>
          <w:szCs w:val="22"/>
        </w:rPr>
        <w:t>formas musicales,</w:t>
      </w:r>
      <w:r w:rsidRPr="00FB0157">
        <w:rPr>
          <w:szCs w:val="22"/>
          <w:vertAlign w:val="superscript"/>
        </w:rPr>
        <w:footnoteReference w:id="3"/>
      </w:r>
      <w:r w:rsidRPr="00FB0157">
        <w:rPr>
          <w:szCs w:val="22"/>
        </w:rPr>
        <w:t>expresiones mediante movimiento,</w:t>
      </w:r>
      <w:r w:rsidRPr="00FB0157">
        <w:rPr>
          <w:szCs w:val="22"/>
          <w:vertAlign w:val="superscript"/>
        </w:rPr>
        <w:footnoteReference w:id="4"/>
      </w:r>
      <w:r w:rsidRPr="00FB0157">
        <w:rPr>
          <w:szCs w:val="22"/>
        </w:rPr>
        <w:t>formas tangibles</w:t>
      </w:r>
      <w:r w:rsidRPr="00FB0157">
        <w:rPr>
          <w:szCs w:val="22"/>
          <w:vertAlign w:val="superscript"/>
        </w:rPr>
        <w:footnoteReference w:id="5"/>
      </w:r>
      <w:r w:rsidRPr="00FB0157">
        <w:rPr>
          <w:szCs w:val="22"/>
        </w:rPr>
        <w:t xml:space="preserve">o intangibles de expresión, o combinaciones de ellas. </w:t>
      </w:r>
    </w:p>
    <w:p w14:paraId="70FD6F1C" w14:textId="77777777" w:rsidR="00F14A41" w:rsidRPr="00FB0157" w:rsidRDefault="00F14A41" w:rsidP="00F14A41">
      <w:pPr>
        <w:autoSpaceDE w:val="0"/>
        <w:autoSpaceDN w:val="0"/>
        <w:adjustRightInd w:val="0"/>
        <w:rPr>
          <w:b/>
          <w:szCs w:val="22"/>
        </w:rPr>
      </w:pPr>
    </w:p>
    <w:p w14:paraId="459C6767" w14:textId="77777777" w:rsidR="0078309F" w:rsidRPr="00FB0157" w:rsidRDefault="006C79A0" w:rsidP="0078309F">
      <w:pPr>
        <w:rPr>
          <w:szCs w:val="22"/>
        </w:rPr>
      </w:pPr>
      <w:r w:rsidRPr="00FB0157">
        <w:rPr>
          <w:szCs w:val="22"/>
        </w:rPr>
        <w:t>3</w:t>
      </w:r>
      <w:r w:rsidRPr="00FB0157">
        <w:rPr>
          <w:szCs w:val="22"/>
        </w:rPr>
        <w:tab/>
        <w:t>La protección deberá hacerse extensiva, en virtud del presente instrumento, a los conocimientos tradicionales y las expresiones culturales tradicionales que:</w:t>
      </w:r>
    </w:p>
    <w:p w14:paraId="1C37B95B" w14:textId="77777777" w:rsidR="0078309F" w:rsidRPr="00FB0157" w:rsidRDefault="0078309F" w:rsidP="0078309F">
      <w:pPr>
        <w:rPr>
          <w:szCs w:val="22"/>
        </w:rPr>
      </w:pPr>
    </w:p>
    <w:p w14:paraId="20CE90DB" w14:textId="77777777" w:rsidR="0078309F" w:rsidRPr="00FB0157" w:rsidRDefault="0078309F" w:rsidP="0078309F">
      <w:pPr>
        <w:ind w:left="567" w:firstLine="3"/>
        <w:rPr>
          <w:szCs w:val="22"/>
        </w:rPr>
      </w:pPr>
      <w:r w:rsidRPr="00FB0157">
        <w:rPr>
          <w:szCs w:val="22"/>
        </w:rPr>
        <w:t>a)</w:t>
      </w:r>
      <w:r w:rsidRPr="00FB0157">
        <w:rPr>
          <w:szCs w:val="22"/>
        </w:rPr>
        <w:tab/>
        <w:t>han sido creados, desarrollados, generados, conservados, utilizados y mantenidos de forma colectiva por las comunidades locales [e] [y los pueblos] indígenas con arreglo a sus leyes y protocolos consuetudinarios;</w:t>
      </w:r>
      <w:r w:rsidRPr="00FB0157">
        <w:rPr>
          <w:szCs w:val="22"/>
        </w:rPr>
        <w:tab/>
      </w:r>
    </w:p>
    <w:p w14:paraId="2F97EF43" w14:textId="77777777" w:rsidR="0078309F" w:rsidRPr="00FB0157" w:rsidRDefault="0078309F" w:rsidP="0078309F">
      <w:pPr>
        <w:rPr>
          <w:szCs w:val="22"/>
        </w:rPr>
      </w:pPr>
    </w:p>
    <w:p w14:paraId="72C29EAD" w14:textId="61FAB7F0" w:rsidR="0078309F" w:rsidRPr="00FB0157" w:rsidRDefault="0078309F" w:rsidP="0078309F">
      <w:pPr>
        <w:ind w:left="567" w:firstLine="3"/>
        <w:rPr>
          <w:szCs w:val="22"/>
        </w:rPr>
      </w:pPr>
      <w:r w:rsidRPr="00FB0157">
        <w:rPr>
          <w:szCs w:val="22"/>
        </w:rPr>
        <w:t>b)</w:t>
      </w:r>
      <w:r w:rsidRPr="00FB0157">
        <w:rPr>
          <w:szCs w:val="22"/>
        </w:rPr>
        <w:tab/>
        <w:t>están vinculados a la identidad cultural y social y el patrimonio tradicional de las comunidades locales [e] [y los pueblos] indígenas, y constituyen una parte integrante de esa identidad o ese patrimonio; y</w:t>
      </w:r>
    </w:p>
    <w:p w14:paraId="2F4E3BAC" w14:textId="77777777" w:rsidR="0078309F" w:rsidRPr="00FB0157" w:rsidRDefault="0078309F" w:rsidP="0078309F">
      <w:pPr>
        <w:rPr>
          <w:szCs w:val="22"/>
        </w:rPr>
      </w:pPr>
    </w:p>
    <w:p w14:paraId="675413D1" w14:textId="77777777" w:rsidR="0078309F" w:rsidRPr="00FB0157" w:rsidRDefault="003D5E12" w:rsidP="003D5E12">
      <w:pPr>
        <w:ind w:left="567"/>
        <w:rPr>
          <w:szCs w:val="22"/>
        </w:rPr>
      </w:pPr>
      <w:r w:rsidRPr="00FB0157">
        <w:rPr>
          <w:szCs w:val="22"/>
        </w:rPr>
        <w:t>c)</w:t>
      </w:r>
      <w:r w:rsidRPr="00FB0157">
        <w:rPr>
          <w:szCs w:val="22"/>
        </w:rPr>
        <w:tab/>
        <w:t>se transmiten de una generación a otra o entre generaciones, de manera consecutiva o no.</w:t>
      </w:r>
    </w:p>
    <w:p w14:paraId="1F892D11" w14:textId="77777777" w:rsidR="0078309F" w:rsidRPr="00FB0157" w:rsidRDefault="0078309F" w:rsidP="0078309F">
      <w:pPr>
        <w:autoSpaceDE w:val="0"/>
        <w:autoSpaceDN w:val="0"/>
        <w:adjustRightInd w:val="0"/>
        <w:rPr>
          <w:szCs w:val="22"/>
        </w:rPr>
      </w:pPr>
    </w:p>
    <w:p w14:paraId="6C92AD7B" w14:textId="77777777" w:rsidR="00223F41" w:rsidRPr="00FB0157" w:rsidRDefault="00223F41">
      <w:pPr>
        <w:rPr>
          <w:szCs w:val="22"/>
        </w:rPr>
      </w:pPr>
      <w:r w:rsidRPr="00FB0157">
        <w:rPr>
          <w:szCs w:val="22"/>
        </w:rPr>
        <w:br w:type="page"/>
      </w:r>
    </w:p>
    <w:p w14:paraId="52162C63" w14:textId="77777777" w:rsidR="00223F41" w:rsidRPr="00FB0157" w:rsidRDefault="00223F41" w:rsidP="00223F41">
      <w:pPr>
        <w:rPr>
          <w:szCs w:val="22"/>
        </w:rPr>
      </w:pPr>
      <w:r w:rsidRPr="00FB0157">
        <w:rPr>
          <w:szCs w:val="22"/>
        </w:rPr>
        <w:lastRenderedPageBreak/>
        <w:t>Notas explicativas:</w:t>
      </w:r>
    </w:p>
    <w:p w14:paraId="37B1B09A" w14:textId="77777777" w:rsidR="00223F41" w:rsidRPr="00FB0157" w:rsidRDefault="00223F41" w:rsidP="0078309F">
      <w:pPr>
        <w:rPr>
          <w:szCs w:val="22"/>
        </w:rPr>
      </w:pPr>
    </w:p>
    <w:p w14:paraId="36D0C73B" w14:textId="49236BF8" w:rsidR="00A73F0E" w:rsidRPr="00FB0157" w:rsidRDefault="00A73F0E" w:rsidP="0078309F">
      <w:pPr>
        <w:rPr>
          <w:szCs w:val="22"/>
        </w:rPr>
      </w:pPr>
      <w:r w:rsidRPr="00FB0157">
        <w:rPr>
          <w:szCs w:val="22"/>
        </w:rPr>
        <w:t>Esta disposición describe de manera general los CC.TT. y las ECT a los efectos de este instrumento jurídico (en los apartados 1 y 2) y establece los límites adecuados del ámbito de la materia susceptible de protección (en el apartado 3).</w:t>
      </w:r>
      <w:r w:rsidR="00FB0157" w:rsidRPr="00FB0157">
        <w:rPr>
          <w:szCs w:val="22"/>
        </w:rPr>
        <w:t xml:space="preserve"> </w:t>
      </w:r>
      <w:r w:rsidRPr="00FB0157">
        <w:rPr>
          <w:szCs w:val="22"/>
        </w:rPr>
        <w:t>El CIG trasladó las definiciones de CC.TT. y ECT a la sección "Términos utilizados", y mantuvo una disposición sobre los criterios de admisibilidad</w:t>
      </w:r>
      <w:r w:rsidR="00FB0157" w:rsidRPr="00FB0157">
        <w:rPr>
          <w:szCs w:val="22"/>
        </w:rPr>
        <w:t xml:space="preserve"> </w:t>
      </w:r>
      <w:r w:rsidRPr="00FB0157">
        <w:rPr>
          <w:szCs w:val="22"/>
        </w:rPr>
        <w:t xml:space="preserve">Considero que estos dos elementos están </w:t>
      </w:r>
      <w:proofErr w:type="spellStart"/>
      <w:r w:rsidRPr="00FB0157">
        <w:rPr>
          <w:szCs w:val="22"/>
        </w:rPr>
        <w:t>intervinculados</w:t>
      </w:r>
      <w:proofErr w:type="spellEnd"/>
      <w:r w:rsidRPr="00FB0157">
        <w:rPr>
          <w:szCs w:val="22"/>
        </w:rPr>
        <w:t xml:space="preserve"> y propongo que se coloquen juntos. </w:t>
      </w:r>
    </w:p>
    <w:p w14:paraId="0278009F" w14:textId="77777777" w:rsidR="00A73F0E" w:rsidRPr="00FB0157" w:rsidRDefault="00A73F0E" w:rsidP="0078309F">
      <w:pPr>
        <w:rPr>
          <w:szCs w:val="22"/>
        </w:rPr>
      </w:pPr>
    </w:p>
    <w:p w14:paraId="50BC939A" w14:textId="4E4017A7" w:rsidR="00127596" w:rsidRPr="00FB0157" w:rsidRDefault="00127596" w:rsidP="00127596">
      <w:pPr>
        <w:rPr>
          <w:szCs w:val="22"/>
        </w:rPr>
      </w:pPr>
      <w:r w:rsidRPr="00FB0157">
        <w:rPr>
          <w:szCs w:val="22"/>
        </w:rPr>
        <w:t>Las características de los CC.TT. y las ECT pueden ser muy diferentes en todo el mundo, de ahí la importancia de reconocer las características principales y universales a las que hay que dar cabida en un instrumento internacional.</w:t>
      </w:r>
      <w:r w:rsidR="00FB0157" w:rsidRPr="00FB0157">
        <w:rPr>
          <w:szCs w:val="22"/>
        </w:rPr>
        <w:t xml:space="preserve"> </w:t>
      </w:r>
    </w:p>
    <w:p w14:paraId="6D774B7E" w14:textId="77777777" w:rsidR="00127596" w:rsidRPr="00FB0157" w:rsidRDefault="00127596" w:rsidP="00127596">
      <w:pPr>
        <w:rPr>
          <w:szCs w:val="22"/>
        </w:rPr>
      </w:pPr>
    </w:p>
    <w:p w14:paraId="14981BBC" w14:textId="049497B1" w:rsidR="00127596" w:rsidRPr="00FB0157" w:rsidRDefault="00127596" w:rsidP="00127596">
      <w:pPr>
        <w:rPr>
          <w:szCs w:val="22"/>
        </w:rPr>
      </w:pPr>
      <w:r w:rsidRPr="00FB0157">
        <w:rPr>
          <w:szCs w:val="22"/>
        </w:rPr>
        <w:t>Insisto en que hay una interacción de las cuestiones fundamentales que son la definición de la materia objeto de protección, el alcance de los derechos y las excepciones y limitaciones.</w:t>
      </w:r>
      <w:r w:rsidR="00FB0157" w:rsidRPr="00FB0157">
        <w:rPr>
          <w:szCs w:val="22"/>
        </w:rPr>
        <w:t xml:space="preserve"> </w:t>
      </w:r>
      <w:r w:rsidRPr="00FB0157">
        <w:rPr>
          <w:szCs w:val="22"/>
        </w:rPr>
        <w:t>Esa interacción también puede referirse al equilibrio inherente a todos los tipos de sistemas de protección de PI, es decir, el equilibrio entre los derechos privados y el interés general.</w:t>
      </w:r>
    </w:p>
    <w:p w14:paraId="2A6CB19F" w14:textId="77777777" w:rsidR="00127596" w:rsidRPr="00FB0157" w:rsidRDefault="00127596" w:rsidP="0078309F">
      <w:pPr>
        <w:rPr>
          <w:szCs w:val="22"/>
        </w:rPr>
      </w:pPr>
    </w:p>
    <w:p w14:paraId="26E6EEB0" w14:textId="4473B229" w:rsidR="00223F41" w:rsidRPr="00FB0157" w:rsidRDefault="00A73F0E" w:rsidP="0078309F">
      <w:pPr>
        <w:rPr>
          <w:szCs w:val="22"/>
        </w:rPr>
      </w:pPr>
      <w:r w:rsidRPr="00FB0157">
        <w:rPr>
          <w:szCs w:val="22"/>
        </w:rPr>
        <w:t>Por lo general, las normas internacionales de PI remiten al ámbito nacional la delimitación precisa de la materia objeto de protección.</w:t>
      </w:r>
      <w:r w:rsidR="00FB0157" w:rsidRPr="00FB0157">
        <w:rPr>
          <w:szCs w:val="22"/>
        </w:rPr>
        <w:t xml:space="preserve"> </w:t>
      </w:r>
      <w:r w:rsidRPr="00FB0157">
        <w:rPr>
          <w:szCs w:val="22"/>
        </w:rPr>
        <w:t>En el ámbito internacional puede oscilarse entre una descripción en términos generales de la materia admisible, un conjunto de criterios relativos a la materia admisible o ninguna definición.</w:t>
      </w:r>
      <w:r w:rsidR="00FB0157" w:rsidRPr="00FB0157">
        <w:rPr>
          <w:szCs w:val="22"/>
        </w:rPr>
        <w:t xml:space="preserve"> </w:t>
      </w:r>
      <w:r w:rsidRPr="00FB0157">
        <w:rPr>
          <w:szCs w:val="22"/>
        </w:rPr>
        <w:t xml:space="preserve">Considero que la combinación de una descripción de la materia y un conjunto de criterios de admisibilidad definiría del mejor modo posible la materia susceptible de protección. </w:t>
      </w:r>
    </w:p>
    <w:p w14:paraId="045FAC2F" w14:textId="77777777" w:rsidR="00135D44" w:rsidRPr="00FB0157" w:rsidRDefault="00135D44" w:rsidP="0078309F">
      <w:pPr>
        <w:rPr>
          <w:szCs w:val="22"/>
        </w:rPr>
      </w:pPr>
    </w:p>
    <w:p w14:paraId="655D3D2C" w14:textId="77777777" w:rsidR="00135D44" w:rsidRPr="00FB0157" w:rsidRDefault="00DA7EA4" w:rsidP="0078309F">
      <w:pPr>
        <w:rPr>
          <w:szCs w:val="22"/>
        </w:rPr>
      </w:pPr>
      <w:r w:rsidRPr="00FB0157">
        <w:rPr>
          <w:szCs w:val="22"/>
        </w:rPr>
        <w:t>En cuanto a la definición de las ECT, mientras que algunas delegaciones consideran que una lista ilustrativa de ejemplos aportaría seguridad y claridad, otras creen que el instrumento debería proporcionar un marco amplio, que permita a cada país especificar cuáles de sus ECT deben ser protegidas. Para este proyecto, mantengo los ejemplos específicos en las notas de pie de página para su posterior consideración, pero me inclino por eliminar ese detalle en futuros proyectos.</w:t>
      </w:r>
    </w:p>
    <w:p w14:paraId="4500A05E" w14:textId="77777777" w:rsidR="009711C2" w:rsidRPr="00FB0157" w:rsidRDefault="009711C2" w:rsidP="0078309F">
      <w:pPr>
        <w:rPr>
          <w:szCs w:val="22"/>
        </w:rPr>
      </w:pPr>
    </w:p>
    <w:p w14:paraId="441518C1" w14:textId="77777777" w:rsidR="009711C2" w:rsidRPr="00FB0157" w:rsidRDefault="009711C2" w:rsidP="0078309F">
      <w:pPr>
        <w:rPr>
          <w:szCs w:val="22"/>
        </w:rPr>
      </w:pPr>
      <w:r w:rsidRPr="00FB0157">
        <w:rPr>
          <w:szCs w:val="22"/>
        </w:rPr>
        <w:t>En la 44ª sesión del CIG, los facilitadores redactaron nuevamente los criterios de admisibilidad que, en mi opinión, constituyen una buena base de reflexión, por lo que me he inspirado en su trabajo.</w:t>
      </w:r>
    </w:p>
    <w:p w14:paraId="78637F73" w14:textId="77777777" w:rsidR="0078309F" w:rsidRPr="00FB0157" w:rsidRDefault="0078309F" w:rsidP="0078309F">
      <w:pPr>
        <w:rPr>
          <w:szCs w:val="22"/>
        </w:rPr>
      </w:pPr>
      <w:r w:rsidRPr="00FB0157">
        <w:rPr>
          <w:szCs w:val="22"/>
        </w:rPr>
        <w:br w:type="page"/>
      </w:r>
    </w:p>
    <w:p w14:paraId="1C1D48BA" w14:textId="77777777" w:rsidR="0078309F" w:rsidRPr="00FB0157" w:rsidRDefault="004A48A4" w:rsidP="0078309F">
      <w:pPr>
        <w:tabs>
          <w:tab w:val="num" w:pos="993"/>
        </w:tabs>
        <w:autoSpaceDE w:val="0"/>
        <w:autoSpaceDN w:val="0"/>
        <w:adjustRightInd w:val="0"/>
        <w:jc w:val="center"/>
        <w:rPr>
          <w:szCs w:val="22"/>
        </w:rPr>
      </w:pPr>
      <w:r w:rsidRPr="00FB0157">
        <w:rPr>
          <w:szCs w:val="22"/>
        </w:rPr>
        <w:lastRenderedPageBreak/>
        <w:t>BENEFICIARIOS</w:t>
      </w:r>
    </w:p>
    <w:p w14:paraId="2A7BDB6B" w14:textId="77777777" w:rsidR="0078309F" w:rsidRPr="00FB0157" w:rsidRDefault="0078309F" w:rsidP="0078309F">
      <w:pPr>
        <w:tabs>
          <w:tab w:val="num" w:pos="993"/>
        </w:tabs>
        <w:autoSpaceDE w:val="0"/>
        <w:autoSpaceDN w:val="0"/>
        <w:adjustRightInd w:val="0"/>
        <w:rPr>
          <w:szCs w:val="22"/>
        </w:rPr>
      </w:pPr>
    </w:p>
    <w:p w14:paraId="6C9D5529" w14:textId="77777777" w:rsidR="0078309F" w:rsidRPr="00FB0157" w:rsidRDefault="00857F13" w:rsidP="00857F13">
      <w:pPr>
        <w:autoSpaceDE w:val="0"/>
        <w:autoSpaceDN w:val="0"/>
        <w:adjustRightInd w:val="0"/>
        <w:rPr>
          <w:szCs w:val="22"/>
        </w:rPr>
      </w:pPr>
      <w:r w:rsidRPr="00FB0157">
        <w:rPr>
          <w:szCs w:val="22"/>
        </w:rPr>
        <w:t>1</w:t>
      </w:r>
      <w:r w:rsidRPr="00FB0157">
        <w:rPr>
          <w:szCs w:val="22"/>
        </w:rPr>
        <w:tab/>
        <w:t>Los beneficiarios en virtud del presente instrumento son las comunidades locales [e] [y los pueblos] indígenas.</w:t>
      </w:r>
    </w:p>
    <w:p w14:paraId="6AD8F60F" w14:textId="77777777" w:rsidR="00857F13" w:rsidRPr="00FB0157" w:rsidRDefault="00857F13" w:rsidP="00857F13">
      <w:pPr>
        <w:rPr>
          <w:szCs w:val="22"/>
        </w:rPr>
      </w:pPr>
    </w:p>
    <w:p w14:paraId="20649A82" w14:textId="77777777" w:rsidR="00857F13" w:rsidRPr="00FB0157" w:rsidRDefault="00857F13" w:rsidP="00857F13">
      <w:pPr>
        <w:rPr>
          <w:szCs w:val="22"/>
        </w:rPr>
      </w:pPr>
      <w:r w:rsidRPr="00FB0157">
        <w:rPr>
          <w:szCs w:val="22"/>
        </w:rPr>
        <w:t>2</w:t>
      </w:r>
      <w:r w:rsidRPr="00FB0157">
        <w:rPr>
          <w:szCs w:val="22"/>
        </w:rPr>
        <w:tab/>
        <w:t xml:space="preserve">En virtud de su legislación nacional, los Estados miembros pueden reconocer la protección de otros beneficiarios. </w:t>
      </w:r>
    </w:p>
    <w:p w14:paraId="4E8826D9" w14:textId="77777777" w:rsidR="00857F13" w:rsidRPr="00FB0157" w:rsidRDefault="00857F13" w:rsidP="00857F13">
      <w:pPr>
        <w:rPr>
          <w:szCs w:val="22"/>
        </w:rPr>
      </w:pPr>
    </w:p>
    <w:p w14:paraId="58472075" w14:textId="77777777" w:rsidR="004A48A4" w:rsidRPr="00FB0157" w:rsidRDefault="004A48A4">
      <w:pPr>
        <w:rPr>
          <w:szCs w:val="22"/>
        </w:rPr>
      </w:pPr>
      <w:r w:rsidRPr="00FB0157">
        <w:rPr>
          <w:szCs w:val="22"/>
        </w:rPr>
        <w:br w:type="page"/>
      </w:r>
    </w:p>
    <w:p w14:paraId="3BB5093D" w14:textId="77777777" w:rsidR="004A48A4" w:rsidRPr="00FB0157" w:rsidRDefault="004A48A4" w:rsidP="004A48A4">
      <w:pPr>
        <w:rPr>
          <w:szCs w:val="22"/>
        </w:rPr>
      </w:pPr>
      <w:r w:rsidRPr="00FB0157">
        <w:rPr>
          <w:szCs w:val="22"/>
        </w:rPr>
        <w:lastRenderedPageBreak/>
        <w:t>Notas explicativas:</w:t>
      </w:r>
    </w:p>
    <w:p w14:paraId="2B302FBF" w14:textId="77777777" w:rsidR="004A48A4" w:rsidRPr="00FB0157" w:rsidRDefault="004A48A4" w:rsidP="004A48A4">
      <w:pPr>
        <w:rPr>
          <w:szCs w:val="22"/>
        </w:rPr>
      </w:pPr>
    </w:p>
    <w:p w14:paraId="72A469E8" w14:textId="77777777" w:rsidR="004A48A4" w:rsidRPr="00FB0157" w:rsidRDefault="004A48A4" w:rsidP="004A48A4">
      <w:pPr>
        <w:pStyle w:val="Body1"/>
        <w:spacing w:line="20" w:lineRule="atLeast"/>
        <w:rPr>
          <w:rFonts w:ascii="Arial" w:hAnsi="Arial" w:cs="Arial"/>
          <w:sz w:val="22"/>
          <w:szCs w:val="22"/>
        </w:rPr>
      </w:pPr>
      <w:r w:rsidRPr="00FB0157">
        <w:rPr>
          <w:rFonts w:ascii="Arial" w:hAnsi="Arial" w:cs="Arial"/>
          <w:sz w:val="22"/>
          <w:szCs w:val="22"/>
        </w:rPr>
        <w:t xml:space="preserve">El párrafo 1 refleja el acuerdo de que los pueblos indígenas y las comunidades locales son los beneficiarios, señalando que sigue habiendo divergencias sobre el uso del término "pueblos". </w:t>
      </w:r>
    </w:p>
    <w:p w14:paraId="287FD9FA" w14:textId="77777777" w:rsidR="004A48A4" w:rsidRPr="00FB0157" w:rsidRDefault="004A48A4" w:rsidP="004A48A4">
      <w:pPr>
        <w:pStyle w:val="Body1"/>
        <w:spacing w:line="20" w:lineRule="atLeast"/>
        <w:rPr>
          <w:rFonts w:ascii="Arial" w:hAnsi="Arial" w:cs="Arial"/>
          <w:sz w:val="22"/>
          <w:szCs w:val="22"/>
        </w:rPr>
      </w:pPr>
    </w:p>
    <w:p w14:paraId="4BDA067D" w14:textId="39350F48" w:rsidR="004A48A4" w:rsidRPr="00FB0157" w:rsidRDefault="004A48A4" w:rsidP="00AA7458">
      <w:pPr>
        <w:pStyle w:val="Body1"/>
        <w:spacing w:line="20" w:lineRule="atLeast"/>
        <w:rPr>
          <w:rFonts w:ascii="Arial" w:hAnsi="Arial" w:cs="Arial"/>
          <w:sz w:val="22"/>
          <w:szCs w:val="22"/>
        </w:rPr>
      </w:pPr>
      <w:r w:rsidRPr="00FB0157">
        <w:rPr>
          <w:rFonts w:ascii="Arial" w:hAnsi="Arial" w:cs="Arial"/>
          <w:sz w:val="22"/>
          <w:szCs w:val="22"/>
        </w:rPr>
        <w:t xml:space="preserve">Sin </w:t>
      </w:r>
      <w:proofErr w:type="gramStart"/>
      <w:r w:rsidRPr="00FB0157">
        <w:rPr>
          <w:rFonts w:ascii="Arial" w:hAnsi="Arial" w:cs="Arial"/>
          <w:sz w:val="22"/>
          <w:szCs w:val="22"/>
        </w:rPr>
        <w:t>embargo</w:t>
      </w:r>
      <w:proofErr w:type="gramEnd"/>
      <w:r w:rsidRPr="00FB0157">
        <w:rPr>
          <w:rFonts w:ascii="Arial" w:hAnsi="Arial" w:cs="Arial"/>
          <w:sz w:val="22"/>
          <w:szCs w:val="22"/>
        </w:rPr>
        <w:t xml:space="preserve"> no se ha llegado a un acuerdo acerca de en qué medida el instrumento debería ir más allá de los pueblos indígenas y las comunidades locales a fin de incluir a otros beneficiarios.</w:t>
      </w:r>
      <w:r w:rsidR="00FB0157" w:rsidRPr="00FB0157">
        <w:rPr>
          <w:rFonts w:ascii="Arial" w:hAnsi="Arial" w:cs="Arial"/>
          <w:sz w:val="22"/>
          <w:szCs w:val="22"/>
        </w:rPr>
        <w:t xml:space="preserve"> </w:t>
      </w:r>
      <w:r w:rsidRPr="00FB0157">
        <w:rPr>
          <w:rFonts w:ascii="Arial" w:hAnsi="Arial" w:cs="Arial"/>
          <w:sz w:val="22"/>
          <w:szCs w:val="22"/>
        </w:rPr>
        <w:t>Por lo tanto, el apartado 2 deja a la legislación nacional la opción de tomar en consideración otros beneficiarios.</w:t>
      </w:r>
    </w:p>
    <w:p w14:paraId="0637CBDF" w14:textId="77777777" w:rsidR="004A48A4" w:rsidRPr="00FB0157" w:rsidRDefault="004A48A4" w:rsidP="00857F13">
      <w:pPr>
        <w:rPr>
          <w:szCs w:val="22"/>
        </w:rPr>
      </w:pPr>
    </w:p>
    <w:p w14:paraId="2594D10D" w14:textId="77777777" w:rsidR="00857F13" w:rsidRPr="00FB0157" w:rsidRDefault="00857F13" w:rsidP="00857F13">
      <w:pPr>
        <w:pStyle w:val="ListParagraph"/>
        <w:autoSpaceDE w:val="0"/>
        <w:autoSpaceDN w:val="0"/>
        <w:adjustRightInd w:val="0"/>
        <w:ind w:left="0"/>
        <w:rPr>
          <w:szCs w:val="22"/>
        </w:rPr>
      </w:pPr>
    </w:p>
    <w:p w14:paraId="5924AB8D" w14:textId="77777777" w:rsidR="0078309F" w:rsidRPr="00FB0157" w:rsidRDefault="0078309F" w:rsidP="0078309F">
      <w:pPr>
        <w:tabs>
          <w:tab w:val="num" w:pos="993"/>
        </w:tabs>
        <w:autoSpaceDE w:val="0"/>
        <w:autoSpaceDN w:val="0"/>
        <w:adjustRightInd w:val="0"/>
        <w:rPr>
          <w:szCs w:val="22"/>
        </w:rPr>
      </w:pPr>
      <w:r w:rsidRPr="00FB0157">
        <w:rPr>
          <w:szCs w:val="22"/>
        </w:rPr>
        <w:br w:type="page"/>
      </w:r>
    </w:p>
    <w:p w14:paraId="6ED6132A" w14:textId="77777777" w:rsidR="0078309F" w:rsidRPr="00FB0157" w:rsidRDefault="0078309F" w:rsidP="0078309F">
      <w:pPr>
        <w:tabs>
          <w:tab w:val="num" w:pos="993"/>
        </w:tabs>
        <w:autoSpaceDE w:val="0"/>
        <w:autoSpaceDN w:val="0"/>
        <w:adjustRightInd w:val="0"/>
        <w:jc w:val="center"/>
        <w:rPr>
          <w:szCs w:val="22"/>
        </w:rPr>
      </w:pPr>
      <w:r w:rsidRPr="00FB0157">
        <w:rPr>
          <w:szCs w:val="22"/>
        </w:rPr>
        <w:lastRenderedPageBreak/>
        <w:t>ALCANCE DE LA PROTECCIÓN</w:t>
      </w:r>
    </w:p>
    <w:p w14:paraId="25AA3562" w14:textId="77777777" w:rsidR="0078309F" w:rsidRPr="00FB0157" w:rsidRDefault="0078309F" w:rsidP="0078309F">
      <w:pPr>
        <w:tabs>
          <w:tab w:val="left" w:pos="550"/>
        </w:tabs>
        <w:autoSpaceDE w:val="0"/>
        <w:autoSpaceDN w:val="0"/>
        <w:adjustRightInd w:val="0"/>
        <w:rPr>
          <w:szCs w:val="22"/>
        </w:rPr>
      </w:pPr>
    </w:p>
    <w:p w14:paraId="0DCEC5A6" w14:textId="77777777" w:rsidR="0078309F" w:rsidRPr="00FB0157" w:rsidRDefault="00DA1206" w:rsidP="0078309F">
      <w:pPr>
        <w:autoSpaceDE w:val="0"/>
        <w:autoSpaceDN w:val="0"/>
        <w:adjustRightInd w:val="0"/>
        <w:rPr>
          <w:szCs w:val="22"/>
        </w:rPr>
      </w:pPr>
      <w:r w:rsidRPr="00FB0157">
        <w:rPr>
          <w:szCs w:val="22"/>
        </w:rPr>
        <w:t>Los Estados miembros tomarán las medidas legislativas, administrativas y/o de política apropiadas, de conformidad con la legislación nacional, de manera razonable y equilibrada, y de manera compatible con [disposición relativa a la cooperación transfronteriza], con el fin de asegurar que:</w:t>
      </w:r>
    </w:p>
    <w:p w14:paraId="50812B00" w14:textId="77777777" w:rsidR="0078309F" w:rsidRPr="00FB0157" w:rsidRDefault="0078309F" w:rsidP="0078309F">
      <w:pPr>
        <w:autoSpaceDE w:val="0"/>
        <w:autoSpaceDN w:val="0"/>
        <w:adjustRightInd w:val="0"/>
        <w:ind w:left="764"/>
        <w:rPr>
          <w:szCs w:val="22"/>
        </w:rPr>
      </w:pPr>
    </w:p>
    <w:p w14:paraId="065B7399" w14:textId="5A00C6E5" w:rsidR="0078309F" w:rsidRPr="00FB0157" w:rsidRDefault="0078309F" w:rsidP="0078309F">
      <w:pPr>
        <w:numPr>
          <w:ilvl w:val="0"/>
          <w:numId w:val="14"/>
        </w:numPr>
        <w:autoSpaceDE w:val="0"/>
        <w:autoSpaceDN w:val="0"/>
        <w:adjustRightInd w:val="0"/>
        <w:ind w:left="630" w:hanging="63"/>
        <w:rPr>
          <w:szCs w:val="22"/>
        </w:rPr>
      </w:pPr>
      <w:r w:rsidRPr="00FB0157">
        <w:rPr>
          <w:szCs w:val="22"/>
        </w:rPr>
        <w:t xml:space="preserve">Cuando mediante referencia a las leyes y prácticas consuetudinarias de las comunidades locales [e] [y los pueblos] indígenas, el acceso a los conocimientos tradicionales y las expresiones culturales tradicionales sea limitado, incluido el caso de que las expresiones culturales tradicionales sean secretas o sagradas, los beneficiarios gozan del derecho colectivo: </w:t>
      </w:r>
    </w:p>
    <w:p w14:paraId="7D6E6AD4" w14:textId="77777777" w:rsidR="0078309F" w:rsidRPr="00FB0157" w:rsidRDefault="0078309F" w:rsidP="0078309F">
      <w:pPr>
        <w:tabs>
          <w:tab w:val="left" w:pos="550"/>
        </w:tabs>
        <w:autoSpaceDE w:val="0"/>
        <w:autoSpaceDN w:val="0"/>
        <w:adjustRightInd w:val="0"/>
        <w:ind w:left="404"/>
        <w:rPr>
          <w:szCs w:val="22"/>
        </w:rPr>
      </w:pPr>
    </w:p>
    <w:p w14:paraId="10053457" w14:textId="29854F5A" w:rsidR="0078309F" w:rsidRPr="00FB0157" w:rsidRDefault="0078309F" w:rsidP="0078309F">
      <w:pPr>
        <w:numPr>
          <w:ilvl w:val="0"/>
          <w:numId w:val="13"/>
        </w:numPr>
        <w:autoSpaceDE w:val="0"/>
        <w:autoSpaceDN w:val="0"/>
        <w:adjustRightInd w:val="0"/>
        <w:ind w:firstLine="180"/>
        <w:rPr>
          <w:szCs w:val="22"/>
        </w:rPr>
      </w:pPr>
      <w:r w:rsidRPr="00FB0157">
        <w:rPr>
          <w:szCs w:val="22"/>
        </w:rPr>
        <w:t>a mantener, controlar usar, desarrollar, autorizar o denegar el acceso a y el uso/la utilización de sus conocimientos tradicionales y expresiones culturales tradicionales, y recibir una participación justa y equitativa de los beneficios derivados de su uso; y</w:t>
      </w:r>
    </w:p>
    <w:p w14:paraId="32B5A1AF" w14:textId="77777777" w:rsidR="0078309F" w:rsidRPr="00FB0157" w:rsidRDefault="0078309F" w:rsidP="0078309F">
      <w:pPr>
        <w:autoSpaceDE w:val="0"/>
        <w:autoSpaceDN w:val="0"/>
        <w:adjustRightInd w:val="0"/>
        <w:ind w:left="1380" w:hanging="567"/>
        <w:rPr>
          <w:szCs w:val="22"/>
        </w:rPr>
      </w:pPr>
    </w:p>
    <w:p w14:paraId="7D087343" w14:textId="3DDF5AB7" w:rsidR="0078309F" w:rsidRPr="00FB0157" w:rsidRDefault="0078309F" w:rsidP="0078309F">
      <w:pPr>
        <w:numPr>
          <w:ilvl w:val="0"/>
          <w:numId w:val="13"/>
        </w:numPr>
        <w:autoSpaceDE w:val="0"/>
        <w:autoSpaceDN w:val="0"/>
        <w:adjustRightInd w:val="0"/>
        <w:ind w:firstLine="180"/>
        <w:rPr>
          <w:szCs w:val="22"/>
        </w:rPr>
      </w:pPr>
      <w:r w:rsidRPr="00FB0157">
        <w:rPr>
          <w:szCs w:val="22"/>
        </w:rPr>
        <w:t>de atribución y de uso de sus conocimientos tradicionales y expresiones culturales tradicionales de manera que se respete la integridad de dichos conocimientos tradicionales y expresiones culturales tradicionales.</w:t>
      </w:r>
    </w:p>
    <w:p w14:paraId="483AD67D" w14:textId="77777777" w:rsidR="0078309F" w:rsidRPr="00FB0157" w:rsidRDefault="0078309F" w:rsidP="0078309F">
      <w:pPr>
        <w:tabs>
          <w:tab w:val="left" w:pos="550"/>
        </w:tabs>
        <w:autoSpaceDE w:val="0"/>
        <w:autoSpaceDN w:val="0"/>
        <w:adjustRightInd w:val="0"/>
        <w:ind w:left="404"/>
        <w:contextualSpacing/>
        <w:rPr>
          <w:szCs w:val="22"/>
        </w:rPr>
      </w:pPr>
    </w:p>
    <w:p w14:paraId="14434AB6" w14:textId="71521CC4" w:rsidR="0078309F" w:rsidRPr="00FB0157" w:rsidRDefault="0078309F" w:rsidP="0078309F">
      <w:pPr>
        <w:numPr>
          <w:ilvl w:val="0"/>
          <w:numId w:val="14"/>
        </w:numPr>
        <w:autoSpaceDE w:val="0"/>
        <w:autoSpaceDN w:val="0"/>
        <w:adjustRightInd w:val="0"/>
        <w:ind w:left="540" w:firstLine="27"/>
        <w:rPr>
          <w:szCs w:val="22"/>
        </w:rPr>
      </w:pPr>
      <w:r w:rsidRPr="00FB0157">
        <w:rPr>
          <w:szCs w:val="22"/>
        </w:rPr>
        <w:t>Cuando mediante referencia a las leyes y prácticas consuetudinarias de las comunidades locales [e] [y los pueblos] indígenas, los conocimientos tradicionales y las expresiones culturales tradicionales ya no se hallen bajo el control de los beneficiarios, pero sigan estando asociados de forma distintiva a la identidad cultural de los beneficiarios, estos han de:</w:t>
      </w:r>
    </w:p>
    <w:p w14:paraId="7495DEA9" w14:textId="77777777" w:rsidR="0078309F" w:rsidRPr="00FB0157" w:rsidRDefault="0078309F" w:rsidP="0078309F">
      <w:pPr>
        <w:autoSpaceDE w:val="0"/>
        <w:autoSpaceDN w:val="0"/>
        <w:adjustRightInd w:val="0"/>
        <w:ind w:left="764"/>
        <w:rPr>
          <w:szCs w:val="22"/>
        </w:rPr>
      </w:pPr>
    </w:p>
    <w:p w14:paraId="348C0297" w14:textId="103972A2" w:rsidR="0078309F" w:rsidRPr="00FB0157" w:rsidRDefault="0078309F" w:rsidP="0078309F">
      <w:pPr>
        <w:numPr>
          <w:ilvl w:val="0"/>
          <w:numId w:val="8"/>
        </w:numPr>
        <w:autoSpaceDE w:val="0"/>
        <w:autoSpaceDN w:val="0"/>
        <w:adjustRightInd w:val="0"/>
        <w:ind w:left="1080" w:firstLine="180"/>
        <w:rPr>
          <w:szCs w:val="22"/>
        </w:rPr>
      </w:pPr>
      <w:r w:rsidRPr="00FB0157">
        <w:rPr>
          <w:szCs w:val="22"/>
        </w:rPr>
        <w:t xml:space="preserve">recibir una participación justa y equitativa de los beneficios derivados de su uso; y </w:t>
      </w:r>
    </w:p>
    <w:p w14:paraId="7A4C24CE" w14:textId="77777777" w:rsidR="0078309F" w:rsidRPr="00FB0157" w:rsidRDefault="0078309F" w:rsidP="0078309F">
      <w:pPr>
        <w:autoSpaceDE w:val="0"/>
        <w:autoSpaceDN w:val="0"/>
        <w:adjustRightInd w:val="0"/>
        <w:ind w:left="1538" w:hanging="567"/>
        <w:rPr>
          <w:szCs w:val="22"/>
        </w:rPr>
      </w:pPr>
    </w:p>
    <w:p w14:paraId="562CFDC1" w14:textId="2833A456" w:rsidR="0078309F" w:rsidRPr="00FB0157" w:rsidRDefault="0078309F" w:rsidP="0078309F">
      <w:pPr>
        <w:numPr>
          <w:ilvl w:val="0"/>
          <w:numId w:val="8"/>
        </w:numPr>
        <w:autoSpaceDE w:val="0"/>
        <w:autoSpaceDN w:val="0"/>
        <w:adjustRightInd w:val="0"/>
        <w:ind w:left="1080" w:firstLine="180"/>
        <w:rPr>
          <w:rFonts w:eastAsia="Times New Roman"/>
          <w:szCs w:val="22"/>
        </w:rPr>
      </w:pPr>
      <w:r w:rsidRPr="00FB0157">
        <w:rPr>
          <w:szCs w:val="22"/>
        </w:rPr>
        <w:t>gozar del derecho de atribución y de uso de sus conocimientos tradicionales y expresiones culturales tradicionales de manera que se respete la integridad de dichos conocimientos tradicionales y expresiones culturales tradicionales.</w:t>
      </w:r>
    </w:p>
    <w:p w14:paraId="170FA5F7" w14:textId="77777777" w:rsidR="0078309F" w:rsidRPr="00FB0157" w:rsidRDefault="0078309F" w:rsidP="0078309F">
      <w:pPr>
        <w:autoSpaceDE w:val="0"/>
        <w:autoSpaceDN w:val="0"/>
        <w:adjustRightInd w:val="0"/>
        <w:ind w:left="1134"/>
        <w:rPr>
          <w:szCs w:val="22"/>
        </w:rPr>
      </w:pPr>
    </w:p>
    <w:p w14:paraId="4E5EA7D5" w14:textId="77777777" w:rsidR="005438A0" w:rsidRPr="00FB0157" w:rsidRDefault="005438A0" w:rsidP="0078309F">
      <w:pPr>
        <w:autoSpaceDE w:val="0"/>
        <w:autoSpaceDN w:val="0"/>
        <w:adjustRightInd w:val="0"/>
        <w:rPr>
          <w:szCs w:val="22"/>
        </w:rPr>
      </w:pPr>
    </w:p>
    <w:p w14:paraId="20596B93" w14:textId="77777777" w:rsidR="005438A0" w:rsidRPr="00FB0157" w:rsidRDefault="005438A0">
      <w:pPr>
        <w:rPr>
          <w:szCs w:val="22"/>
        </w:rPr>
      </w:pPr>
      <w:r w:rsidRPr="00FB0157">
        <w:rPr>
          <w:szCs w:val="22"/>
        </w:rPr>
        <w:br w:type="page"/>
      </w:r>
    </w:p>
    <w:p w14:paraId="2180AE09" w14:textId="77777777" w:rsidR="005438A0" w:rsidRPr="00FB0157" w:rsidRDefault="005438A0" w:rsidP="005438A0">
      <w:pPr>
        <w:rPr>
          <w:szCs w:val="22"/>
        </w:rPr>
      </w:pPr>
      <w:r w:rsidRPr="00FB0157">
        <w:rPr>
          <w:szCs w:val="22"/>
        </w:rPr>
        <w:lastRenderedPageBreak/>
        <w:t>Notas explicativas:</w:t>
      </w:r>
    </w:p>
    <w:p w14:paraId="60A15B9F" w14:textId="77777777" w:rsidR="005438A0" w:rsidRPr="00FB0157" w:rsidRDefault="005438A0" w:rsidP="005438A0">
      <w:pPr>
        <w:rPr>
          <w:szCs w:val="22"/>
        </w:rPr>
      </w:pPr>
    </w:p>
    <w:p w14:paraId="2944C020" w14:textId="4A970FAA" w:rsidR="005438A0" w:rsidRPr="00FB0157" w:rsidRDefault="005438A0" w:rsidP="0078309F">
      <w:pPr>
        <w:autoSpaceDE w:val="0"/>
        <w:autoSpaceDN w:val="0"/>
        <w:adjustRightInd w:val="0"/>
        <w:rPr>
          <w:szCs w:val="22"/>
        </w:rPr>
      </w:pPr>
      <w:r w:rsidRPr="00FB0157">
        <w:rPr>
          <w:szCs w:val="22"/>
        </w:rPr>
        <w:t>En la 27.ª sesión del CIG se introdujo, para su examen, un enfoque estratificado con arreglo al cual los titulares de derechos dispondrían de distintos tipos o niveles de derechos o medidas en función de la naturaleza y las características de la materia y según quién la utilice, cómo, por qué y dónde.</w:t>
      </w:r>
    </w:p>
    <w:p w14:paraId="4D8B4B8A" w14:textId="77777777" w:rsidR="005438A0" w:rsidRPr="00FB0157" w:rsidRDefault="005438A0" w:rsidP="0078309F">
      <w:pPr>
        <w:autoSpaceDE w:val="0"/>
        <w:autoSpaceDN w:val="0"/>
        <w:adjustRightInd w:val="0"/>
        <w:rPr>
          <w:szCs w:val="22"/>
        </w:rPr>
      </w:pPr>
    </w:p>
    <w:p w14:paraId="73DDC4A5" w14:textId="77777777" w:rsidR="005438A0" w:rsidRPr="00FB0157" w:rsidRDefault="005438A0" w:rsidP="0078309F">
      <w:pPr>
        <w:autoSpaceDE w:val="0"/>
        <w:autoSpaceDN w:val="0"/>
        <w:adjustRightInd w:val="0"/>
        <w:rPr>
          <w:szCs w:val="22"/>
        </w:rPr>
      </w:pPr>
      <w:r w:rsidRPr="00FB0157">
        <w:rPr>
          <w:szCs w:val="22"/>
        </w:rPr>
        <w:t xml:space="preserve">Ese enfoque estratificado propone protección diferenciada para los CC.TT. y las ECT de acceso limitado, entre otros, los que sean secretos o sagrados y los que ya no se hallen bajo el control exclusivo de los </w:t>
      </w:r>
      <w:proofErr w:type="gramStart"/>
      <w:r w:rsidRPr="00FB0157">
        <w:rPr>
          <w:szCs w:val="22"/>
        </w:rPr>
        <w:t>beneficiarios</w:t>
      </w:r>
      <w:proofErr w:type="gramEnd"/>
      <w:r w:rsidRPr="00FB0157">
        <w:rPr>
          <w:szCs w:val="22"/>
        </w:rPr>
        <w:t xml:space="preserve"> pero sigan estando asociados de forma distintiva a la identidad cultural de los beneficiarios.</w:t>
      </w:r>
    </w:p>
    <w:p w14:paraId="1DCDF424" w14:textId="77777777" w:rsidR="00106435" w:rsidRPr="00FB0157" w:rsidRDefault="00106435" w:rsidP="0078309F">
      <w:pPr>
        <w:autoSpaceDE w:val="0"/>
        <w:autoSpaceDN w:val="0"/>
        <w:adjustRightInd w:val="0"/>
        <w:rPr>
          <w:szCs w:val="22"/>
        </w:rPr>
      </w:pPr>
    </w:p>
    <w:p w14:paraId="011BC8D9" w14:textId="2040CAB8" w:rsidR="00106435" w:rsidRPr="00FB0157" w:rsidRDefault="00106435" w:rsidP="0078309F">
      <w:pPr>
        <w:autoSpaceDE w:val="0"/>
        <w:autoSpaceDN w:val="0"/>
        <w:adjustRightInd w:val="0"/>
        <w:rPr>
          <w:szCs w:val="22"/>
        </w:rPr>
      </w:pPr>
      <w:r w:rsidRPr="00FB0157">
        <w:rPr>
          <w:szCs w:val="22"/>
        </w:rPr>
        <w:t xml:space="preserve">Considero que el enfoque estratificado equilibra los intereses y las compensaciones, con la intención de desbloquear algunas de las cuestiones más difíciles, especialmente las que conciernen a la naturaleza de los CC.TT. y ECT reivindicados y al acceso actual a los mismos. </w:t>
      </w:r>
    </w:p>
    <w:p w14:paraId="21F4D00D" w14:textId="77777777" w:rsidR="0078309F" w:rsidRPr="00FB0157" w:rsidRDefault="0078309F" w:rsidP="0078309F">
      <w:pPr>
        <w:autoSpaceDE w:val="0"/>
        <w:autoSpaceDN w:val="0"/>
        <w:adjustRightInd w:val="0"/>
        <w:rPr>
          <w:szCs w:val="22"/>
        </w:rPr>
      </w:pPr>
      <w:r w:rsidRPr="00FB0157">
        <w:rPr>
          <w:szCs w:val="22"/>
        </w:rPr>
        <w:br w:type="page"/>
      </w:r>
    </w:p>
    <w:p w14:paraId="47DE4470" w14:textId="77777777" w:rsidR="008B322C" w:rsidRPr="00FB0157" w:rsidRDefault="008B322C" w:rsidP="008B322C">
      <w:pPr>
        <w:tabs>
          <w:tab w:val="num" w:pos="993"/>
        </w:tabs>
        <w:autoSpaceDE w:val="0"/>
        <w:autoSpaceDN w:val="0"/>
        <w:adjustRightInd w:val="0"/>
        <w:jc w:val="center"/>
        <w:rPr>
          <w:szCs w:val="22"/>
        </w:rPr>
      </w:pPr>
      <w:r w:rsidRPr="00FB0157">
        <w:rPr>
          <w:szCs w:val="22"/>
        </w:rPr>
        <w:lastRenderedPageBreak/>
        <w:t>EXCEPCIONES Y LIMITACIONES</w:t>
      </w:r>
    </w:p>
    <w:p w14:paraId="34F44721" w14:textId="77777777" w:rsidR="008B322C" w:rsidRPr="00FB0157" w:rsidRDefault="008B322C" w:rsidP="008B322C">
      <w:pPr>
        <w:tabs>
          <w:tab w:val="num" w:pos="993"/>
        </w:tabs>
        <w:autoSpaceDE w:val="0"/>
        <w:autoSpaceDN w:val="0"/>
        <w:adjustRightInd w:val="0"/>
        <w:rPr>
          <w:szCs w:val="22"/>
        </w:rPr>
      </w:pPr>
    </w:p>
    <w:p w14:paraId="1A599542" w14:textId="77777777" w:rsidR="008B322C" w:rsidRPr="00FB0157" w:rsidRDefault="008B322C" w:rsidP="008B322C">
      <w:pPr>
        <w:tabs>
          <w:tab w:val="num" w:pos="993"/>
        </w:tabs>
        <w:autoSpaceDE w:val="0"/>
        <w:autoSpaceDN w:val="0"/>
        <w:adjustRightInd w:val="0"/>
        <w:rPr>
          <w:szCs w:val="22"/>
        </w:rPr>
      </w:pPr>
    </w:p>
    <w:p w14:paraId="79BFB766" w14:textId="77777777" w:rsidR="008B322C" w:rsidRPr="00FB0157" w:rsidRDefault="00F26794" w:rsidP="008B322C">
      <w:pPr>
        <w:autoSpaceDE w:val="0"/>
        <w:autoSpaceDN w:val="0"/>
        <w:adjustRightInd w:val="0"/>
        <w:rPr>
          <w:szCs w:val="22"/>
        </w:rPr>
      </w:pPr>
      <w:r w:rsidRPr="00FB0157">
        <w:rPr>
          <w:szCs w:val="22"/>
        </w:rPr>
        <w:t>1</w:t>
      </w:r>
      <w:r w:rsidRPr="00FB0157">
        <w:rPr>
          <w:szCs w:val="22"/>
        </w:rPr>
        <w:tab/>
        <w:t>Los Estados miembros podrán adoptar limitaciones y excepciones adecuadas en el marco de la legislación nacional, siempre que el uso de los conocimientos tradicionales y las expresiones culturales tradicionales:</w:t>
      </w:r>
    </w:p>
    <w:p w14:paraId="4AEBCD9F" w14:textId="77777777" w:rsidR="008B322C" w:rsidRPr="00FB0157" w:rsidRDefault="008B322C" w:rsidP="008B322C">
      <w:pPr>
        <w:tabs>
          <w:tab w:val="num" w:pos="993"/>
        </w:tabs>
        <w:autoSpaceDE w:val="0"/>
        <w:autoSpaceDN w:val="0"/>
        <w:adjustRightInd w:val="0"/>
        <w:rPr>
          <w:szCs w:val="22"/>
        </w:rPr>
      </w:pPr>
    </w:p>
    <w:p w14:paraId="533C397B" w14:textId="77777777" w:rsidR="008B322C" w:rsidRPr="00FB0157" w:rsidRDefault="008B322C" w:rsidP="008B322C">
      <w:pPr>
        <w:autoSpaceDE w:val="0"/>
        <w:autoSpaceDN w:val="0"/>
        <w:adjustRightInd w:val="0"/>
        <w:ind w:left="550"/>
        <w:rPr>
          <w:szCs w:val="22"/>
        </w:rPr>
      </w:pPr>
      <w:r w:rsidRPr="00FB0157">
        <w:rPr>
          <w:szCs w:val="22"/>
        </w:rPr>
        <w:t>a)</w:t>
      </w:r>
      <w:r w:rsidRPr="00FB0157">
        <w:rPr>
          <w:szCs w:val="22"/>
        </w:rPr>
        <w:tab/>
        <w:t xml:space="preserve">reconozca a los beneficiarios, de ser posible; </w:t>
      </w:r>
    </w:p>
    <w:p w14:paraId="48761307" w14:textId="77777777" w:rsidR="008B322C" w:rsidRPr="00FB0157" w:rsidRDefault="008B322C" w:rsidP="008B322C">
      <w:pPr>
        <w:tabs>
          <w:tab w:val="num" w:pos="993"/>
        </w:tabs>
        <w:autoSpaceDE w:val="0"/>
        <w:autoSpaceDN w:val="0"/>
        <w:adjustRightInd w:val="0"/>
        <w:ind w:left="550"/>
        <w:rPr>
          <w:szCs w:val="22"/>
        </w:rPr>
      </w:pPr>
    </w:p>
    <w:p w14:paraId="74C4CA3B" w14:textId="77777777" w:rsidR="008B322C" w:rsidRPr="00FB0157" w:rsidRDefault="00F26794" w:rsidP="008B322C">
      <w:pPr>
        <w:autoSpaceDE w:val="0"/>
        <w:autoSpaceDN w:val="0"/>
        <w:adjustRightInd w:val="0"/>
        <w:ind w:left="550"/>
        <w:rPr>
          <w:szCs w:val="22"/>
        </w:rPr>
      </w:pPr>
      <w:r w:rsidRPr="00FB0157">
        <w:rPr>
          <w:szCs w:val="22"/>
        </w:rPr>
        <w:t>b)</w:t>
      </w:r>
      <w:r w:rsidRPr="00FB0157">
        <w:rPr>
          <w:szCs w:val="22"/>
        </w:rPr>
        <w:tab/>
        <w:t>no resulte ofensivo ni despectivo para los beneficiarios;</w:t>
      </w:r>
    </w:p>
    <w:p w14:paraId="3C8F3FB5" w14:textId="77777777" w:rsidR="008B322C" w:rsidRPr="00FB0157" w:rsidRDefault="008B322C" w:rsidP="008B322C">
      <w:pPr>
        <w:tabs>
          <w:tab w:val="num" w:pos="993"/>
        </w:tabs>
        <w:autoSpaceDE w:val="0"/>
        <w:autoSpaceDN w:val="0"/>
        <w:adjustRightInd w:val="0"/>
        <w:ind w:left="550"/>
        <w:rPr>
          <w:szCs w:val="22"/>
        </w:rPr>
      </w:pPr>
    </w:p>
    <w:p w14:paraId="5E8BC969" w14:textId="3B1ED8AC" w:rsidR="008B322C" w:rsidRPr="00FB0157" w:rsidRDefault="00F26794" w:rsidP="008B322C">
      <w:pPr>
        <w:autoSpaceDE w:val="0"/>
        <w:autoSpaceDN w:val="0"/>
        <w:adjustRightInd w:val="0"/>
        <w:ind w:left="550"/>
        <w:rPr>
          <w:szCs w:val="22"/>
        </w:rPr>
      </w:pPr>
      <w:r w:rsidRPr="00FB0157">
        <w:rPr>
          <w:szCs w:val="22"/>
        </w:rPr>
        <w:t>c)</w:t>
      </w:r>
      <w:r w:rsidRPr="00FB0157">
        <w:rPr>
          <w:szCs w:val="22"/>
        </w:rPr>
        <w:tab/>
        <w:t>sea compatible con el uso leal;</w:t>
      </w:r>
      <w:r w:rsidR="00FB0157" w:rsidRPr="00FB0157">
        <w:rPr>
          <w:szCs w:val="22"/>
        </w:rPr>
        <w:t xml:space="preserve"> </w:t>
      </w:r>
    </w:p>
    <w:p w14:paraId="33BAA600" w14:textId="77777777" w:rsidR="008B322C" w:rsidRPr="00FB0157" w:rsidRDefault="008B322C" w:rsidP="008B322C">
      <w:pPr>
        <w:tabs>
          <w:tab w:val="num" w:pos="993"/>
        </w:tabs>
        <w:autoSpaceDE w:val="0"/>
        <w:autoSpaceDN w:val="0"/>
        <w:adjustRightInd w:val="0"/>
        <w:ind w:left="550"/>
        <w:rPr>
          <w:szCs w:val="22"/>
        </w:rPr>
      </w:pPr>
    </w:p>
    <w:p w14:paraId="1A7F1436" w14:textId="77777777" w:rsidR="008B322C" w:rsidRPr="00FB0157" w:rsidRDefault="00E86F88" w:rsidP="00E86F88">
      <w:pPr>
        <w:autoSpaceDE w:val="0"/>
        <w:autoSpaceDN w:val="0"/>
        <w:adjustRightInd w:val="0"/>
        <w:ind w:left="567"/>
        <w:rPr>
          <w:szCs w:val="22"/>
        </w:rPr>
      </w:pPr>
      <w:r w:rsidRPr="00FB0157">
        <w:rPr>
          <w:szCs w:val="22"/>
        </w:rPr>
        <w:t>d)</w:t>
      </w:r>
      <w:r w:rsidRPr="00FB0157">
        <w:rPr>
          <w:szCs w:val="22"/>
        </w:rPr>
        <w:tab/>
        <w:t>no perjudique de forma injustificada los intereses legítimos de los beneficiarios, teniendo en cuenta los intereses legítimos de terceros.</w:t>
      </w:r>
    </w:p>
    <w:p w14:paraId="183716AA" w14:textId="77777777" w:rsidR="00E86F88" w:rsidRPr="00FB0157" w:rsidRDefault="00E86F88" w:rsidP="00E86F88">
      <w:pPr>
        <w:ind w:left="567"/>
        <w:rPr>
          <w:szCs w:val="22"/>
        </w:rPr>
      </w:pPr>
    </w:p>
    <w:p w14:paraId="146D3055" w14:textId="77777777" w:rsidR="00E86F88" w:rsidRPr="00FB0157" w:rsidRDefault="00E86F88" w:rsidP="00E86F88">
      <w:pPr>
        <w:ind w:left="567"/>
        <w:rPr>
          <w:szCs w:val="22"/>
        </w:rPr>
      </w:pPr>
      <w:r w:rsidRPr="00FB0157">
        <w:rPr>
          <w:szCs w:val="22"/>
        </w:rPr>
        <w:t>e)</w:t>
      </w:r>
      <w:r w:rsidRPr="00FB0157">
        <w:rPr>
          <w:szCs w:val="22"/>
        </w:rPr>
        <w:tab/>
        <w:t xml:space="preserve">no entre en conflicto con el uso normal de los conocimientos tradicionales y las expresiones culturales tradicionales por los beneficiarios. </w:t>
      </w:r>
    </w:p>
    <w:p w14:paraId="3BE3E5AD" w14:textId="77777777" w:rsidR="008B322C" w:rsidRPr="00FB0157" w:rsidRDefault="008B322C" w:rsidP="008B322C">
      <w:pPr>
        <w:autoSpaceDE w:val="0"/>
        <w:autoSpaceDN w:val="0"/>
        <w:adjustRightInd w:val="0"/>
        <w:rPr>
          <w:szCs w:val="22"/>
        </w:rPr>
      </w:pPr>
    </w:p>
    <w:p w14:paraId="30EEEB8D" w14:textId="77777777" w:rsidR="008B322C" w:rsidRPr="00FB0157" w:rsidRDefault="00E86F88" w:rsidP="008B322C">
      <w:pPr>
        <w:autoSpaceDE w:val="0"/>
        <w:autoSpaceDN w:val="0"/>
        <w:adjustRightInd w:val="0"/>
        <w:rPr>
          <w:szCs w:val="22"/>
        </w:rPr>
      </w:pPr>
      <w:r w:rsidRPr="00FB0157">
        <w:rPr>
          <w:szCs w:val="22"/>
        </w:rPr>
        <w:t>2</w:t>
      </w:r>
      <w:r w:rsidRPr="00FB0157">
        <w:rPr>
          <w:szCs w:val="22"/>
        </w:rPr>
        <w:tab/>
        <w:t>Cuando haya dudas razonables sobre daños irreparables en relación con los conocimientos tradicionales y las expresiones culturales tradicionales sagradas, los Estados miembro no establecerán excepciones y limitaciones.</w:t>
      </w:r>
    </w:p>
    <w:p w14:paraId="58CF418F" w14:textId="77777777" w:rsidR="008B322C" w:rsidRPr="00FB0157" w:rsidRDefault="008B322C" w:rsidP="008B322C">
      <w:pPr>
        <w:autoSpaceDE w:val="0"/>
        <w:autoSpaceDN w:val="0"/>
        <w:adjustRightInd w:val="0"/>
        <w:rPr>
          <w:szCs w:val="22"/>
        </w:rPr>
      </w:pPr>
    </w:p>
    <w:p w14:paraId="2212F3C7" w14:textId="77777777" w:rsidR="00D554A8" w:rsidRPr="00FB0157" w:rsidRDefault="00D554A8">
      <w:pPr>
        <w:rPr>
          <w:szCs w:val="22"/>
        </w:rPr>
      </w:pPr>
      <w:r w:rsidRPr="00FB0157">
        <w:rPr>
          <w:szCs w:val="22"/>
        </w:rPr>
        <w:br w:type="page"/>
      </w:r>
    </w:p>
    <w:p w14:paraId="4C1ED130" w14:textId="77777777" w:rsidR="00D554A8" w:rsidRPr="00FB0157" w:rsidRDefault="00D554A8" w:rsidP="00D554A8">
      <w:pPr>
        <w:rPr>
          <w:szCs w:val="22"/>
        </w:rPr>
      </w:pPr>
      <w:r w:rsidRPr="00FB0157">
        <w:rPr>
          <w:szCs w:val="22"/>
        </w:rPr>
        <w:lastRenderedPageBreak/>
        <w:t>Notas explicativas:</w:t>
      </w:r>
    </w:p>
    <w:p w14:paraId="554C0B9B" w14:textId="77777777" w:rsidR="00D554A8" w:rsidRPr="00FB0157" w:rsidRDefault="00D554A8" w:rsidP="008B322C">
      <w:pPr>
        <w:autoSpaceDE w:val="0"/>
        <w:autoSpaceDN w:val="0"/>
        <w:adjustRightInd w:val="0"/>
        <w:rPr>
          <w:szCs w:val="22"/>
        </w:rPr>
      </w:pPr>
    </w:p>
    <w:p w14:paraId="61662C19" w14:textId="77777777" w:rsidR="00CA6A32" w:rsidRPr="00FB0157" w:rsidRDefault="00CA6A32" w:rsidP="00CA6A32">
      <w:pPr>
        <w:autoSpaceDE w:val="0"/>
        <w:autoSpaceDN w:val="0"/>
        <w:adjustRightInd w:val="0"/>
        <w:rPr>
          <w:szCs w:val="22"/>
        </w:rPr>
      </w:pPr>
      <w:r w:rsidRPr="00FB0157">
        <w:rPr>
          <w:szCs w:val="22"/>
        </w:rPr>
        <w:t xml:space="preserve">Considero que los Estados miembros deberían disponer de flexibilidad, en el plano nacional, para reglamentar las excepciones y limitaciones, si bien debería proporcionarse un marco a escala internacional. </w:t>
      </w:r>
    </w:p>
    <w:p w14:paraId="27B69F6A" w14:textId="77777777" w:rsidR="00CA6A32" w:rsidRPr="00FB0157" w:rsidRDefault="00CA6A32" w:rsidP="00CA6A32">
      <w:pPr>
        <w:autoSpaceDE w:val="0"/>
        <w:autoSpaceDN w:val="0"/>
        <w:adjustRightInd w:val="0"/>
        <w:rPr>
          <w:szCs w:val="22"/>
        </w:rPr>
      </w:pPr>
    </w:p>
    <w:p w14:paraId="240E614D" w14:textId="0DF569CB" w:rsidR="00D554A8" w:rsidRPr="00FB0157" w:rsidRDefault="00CA6A32" w:rsidP="008B322C">
      <w:pPr>
        <w:autoSpaceDE w:val="0"/>
        <w:autoSpaceDN w:val="0"/>
        <w:adjustRightInd w:val="0"/>
        <w:rPr>
          <w:szCs w:val="22"/>
        </w:rPr>
      </w:pPr>
      <w:r w:rsidRPr="00FB0157">
        <w:rPr>
          <w:szCs w:val="22"/>
        </w:rPr>
        <w:t>El apartado 1 prevé alguna forma de articulación de las condiciones que han de cumplirse, que se aplicaría en el plano nacional cuando los Estados miembros elaboren limitaciones y excepciones.</w:t>
      </w:r>
      <w:r w:rsidR="00FB0157" w:rsidRPr="00FB0157">
        <w:rPr>
          <w:szCs w:val="22"/>
        </w:rPr>
        <w:t xml:space="preserve"> </w:t>
      </w:r>
      <w:r w:rsidRPr="00FB0157">
        <w:rPr>
          <w:szCs w:val="22"/>
        </w:rPr>
        <w:t xml:space="preserve">Parece haber un entendimiento en el sentido de que la prueba podría incluir elementos de reconocimiento, utilización no ofensiva y compatibilidad con el uso leal. </w:t>
      </w:r>
    </w:p>
    <w:p w14:paraId="56B79EDD" w14:textId="77777777" w:rsidR="00046ADA" w:rsidRPr="00FB0157" w:rsidRDefault="00046ADA" w:rsidP="008B322C">
      <w:pPr>
        <w:autoSpaceDE w:val="0"/>
        <w:autoSpaceDN w:val="0"/>
        <w:adjustRightInd w:val="0"/>
        <w:rPr>
          <w:szCs w:val="22"/>
        </w:rPr>
      </w:pPr>
    </w:p>
    <w:p w14:paraId="5D566098" w14:textId="77777777" w:rsidR="00046ADA" w:rsidRPr="00FB0157" w:rsidRDefault="00046ADA" w:rsidP="008B322C">
      <w:pPr>
        <w:autoSpaceDE w:val="0"/>
        <w:autoSpaceDN w:val="0"/>
        <w:adjustRightInd w:val="0"/>
        <w:rPr>
          <w:szCs w:val="22"/>
        </w:rPr>
      </w:pPr>
      <w:r w:rsidRPr="00FB0157">
        <w:rPr>
          <w:szCs w:val="22"/>
        </w:rPr>
        <w:t>A partir de la introducción de un enfoque estratificado para definir el alcance de la protección, el apartado 2 prevé una excepción y una limitación especiales respecto de los CC.TT. y las ECT secretos o sagrados.</w:t>
      </w:r>
    </w:p>
    <w:p w14:paraId="55C49F07" w14:textId="77777777" w:rsidR="00046ADA" w:rsidRPr="00FB0157" w:rsidRDefault="00046ADA" w:rsidP="008B322C">
      <w:pPr>
        <w:autoSpaceDE w:val="0"/>
        <w:autoSpaceDN w:val="0"/>
        <w:adjustRightInd w:val="0"/>
        <w:rPr>
          <w:szCs w:val="22"/>
        </w:rPr>
      </w:pPr>
    </w:p>
    <w:p w14:paraId="7315BA63" w14:textId="77777777" w:rsidR="008B322C" w:rsidRPr="00FB0157" w:rsidRDefault="008B322C" w:rsidP="008B322C">
      <w:pPr>
        <w:tabs>
          <w:tab w:val="num" w:pos="993"/>
        </w:tabs>
        <w:autoSpaceDE w:val="0"/>
        <w:autoSpaceDN w:val="0"/>
        <w:adjustRightInd w:val="0"/>
        <w:jc w:val="center"/>
        <w:rPr>
          <w:i/>
          <w:szCs w:val="22"/>
        </w:rPr>
      </w:pPr>
      <w:r w:rsidRPr="00FB0157">
        <w:rPr>
          <w:szCs w:val="22"/>
        </w:rPr>
        <w:br w:type="page"/>
      </w:r>
    </w:p>
    <w:p w14:paraId="239C68EB" w14:textId="77777777" w:rsidR="0078309F" w:rsidRPr="00FB0157" w:rsidRDefault="000307D8" w:rsidP="0078309F">
      <w:pPr>
        <w:tabs>
          <w:tab w:val="num" w:pos="993"/>
        </w:tabs>
        <w:autoSpaceDE w:val="0"/>
        <w:autoSpaceDN w:val="0"/>
        <w:adjustRightInd w:val="0"/>
        <w:jc w:val="center"/>
        <w:rPr>
          <w:szCs w:val="22"/>
        </w:rPr>
      </w:pPr>
      <w:r w:rsidRPr="00FB0157">
        <w:rPr>
          <w:szCs w:val="22"/>
        </w:rPr>
        <w:lastRenderedPageBreak/>
        <w:t xml:space="preserve">SANCIONES Y RECURSOS </w:t>
      </w:r>
    </w:p>
    <w:p w14:paraId="4271CA13" w14:textId="77777777" w:rsidR="0078309F" w:rsidRPr="00FB0157" w:rsidRDefault="0078309F" w:rsidP="0078309F">
      <w:pPr>
        <w:tabs>
          <w:tab w:val="num" w:pos="993"/>
        </w:tabs>
        <w:autoSpaceDE w:val="0"/>
        <w:autoSpaceDN w:val="0"/>
        <w:adjustRightInd w:val="0"/>
        <w:rPr>
          <w:szCs w:val="22"/>
        </w:rPr>
      </w:pPr>
    </w:p>
    <w:p w14:paraId="2262186A" w14:textId="77777777" w:rsidR="0078309F" w:rsidRPr="00FB0157" w:rsidRDefault="0078309F" w:rsidP="0078309F">
      <w:pPr>
        <w:autoSpaceDE w:val="0"/>
        <w:autoSpaceDN w:val="0"/>
        <w:adjustRightInd w:val="0"/>
        <w:rPr>
          <w:szCs w:val="22"/>
        </w:rPr>
      </w:pPr>
      <w:r w:rsidRPr="00FB0157">
        <w:rPr>
          <w:szCs w:val="22"/>
        </w:rPr>
        <w:t>Los Estados miembros deberán adoptar medidas legales y/o administrativas adecuadas, eficaces, disuasorias y proporcionales para hacer frente a la violación de los derechos contenidos en el presente instrumento.</w:t>
      </w:r>
    </w:p>
    <w:p w14:paraId="284F685C" w14:textId="77777777" w:rsidR="0078309F" w:rsidRPr="00FB0157" w:rsidRDefault="0078309F" w:rsidP="0078309F">
      <w:pPr>
        <w:autoSpaceDE w:val="0"/>
        <w:autoSpaceDN w:val="0"/>
        <w:adjustRightInd w:val="0"/>
        <w:rPr>
          <w:szCs w:val="22"/>
        </w:rPr>
      </w:pPr>
    </w:p>
    <w:p w14:paraId="096360B3" w14:textId="77777777" w:rsidR="00A57761" w:rsidRPr="00FB0157" w:rsidRDefault="00A57761">
      <w:pPr>
        <w:rPr>
          <w:szCs w:val="22"/>
        </w:rPr>
      </w:pPr>
      <w:r w:rsidRPr="00FB0157">
        <w:rPr>
          <w:szCs w:val="22"/>
        </w:rPr>
        <w:br w:type="page"/>
      </w:r>
    </w:p>
    <w:p w14:paraId="44816D3F" w14:textId="77777777" w:rsidR="00A57761" w:rsidRPr="00FB0157" w:rsidRDefault="00A57761" w:rsidP="00A57761">
      <w:pPr>
        <w:rPr>
          <w:szCs w:val="22"/>
        </w:rPr>
      </w:pPr>
      <w:r w:rsidRPr="00FB0157">
        <w:rPr>
          <w:szCs w:val="22"/>
        </w:rPr>
        <w:lastRenderedPageBreak/>
        <w:t>Notas explicativas:</w:t>
      </w:r>
    </w:p>
    <w:p w14:paraId="3448E8E6" w14:textId="77777777" w:rsidR="00A57761" w:rsidRPr="00FB0157" w:rsidRDefault="00A57761" w:rsidP="0078309F">
      <w:pPr>
        <w:autoSpaceDE w:val="0"/>
        <w:autoSpaceDN w:val="0"/>
        <w:adjustRightInd w:val="0"/>
        <w:rPr>
          <w:szCs w:val="22"/>
        </w:rPr>
      </w:pPr>
    </w:p>
    <w:p w14:paraId="6C1B7F51" w14:textId="77777777" w:rsidR="00A57761" w:rsidRPr="00FB0157" w:rsidRDefault="00A57761" w:rsidP="0078309F">
      <w:pPr>
        <w:autoSpaceDE w:val="0"/>
        <w:autoSpaceDN w:val="0"/>
        <w:adjustRightInd w:val="0"/>
        <w:rPr>
          <w:szCs w:val="22"/>
        </w:rPr>
      </w:pPr>
      <w:r w:rsidRPr="00FB0157">
        <w:rPr>
          <w:szCs w:val="22"/>
        </w:rPr>
        <w:t xml:space="preserve">Esta disposición establece un marco general a escala internacional, dejando a cada Estado miembro la facultad de determinar las medidas legales o administrativas adecuadas, eficaces, disuasorias y proporcionadas a escala nacional. </w:t>
      </w:r>
    </w:p>
    <w:p w14:paraId="75F0365E" w14:textId="77777777" w:rsidR="003A0F60" w:rsidRPr="00FB0157" w:rsidRDefault="003A0F60" w:rsidP="0078309F">
      <w:pPr>
        <w:autoSpaceDE w:val="0"/>
        <w:autoSpaceDN w:val="0"/>
        <w:adjustRightInd w:val="0"/>
        <w:rPr>
          <w:szCs w:val="22"/>
        </w:rPr>
      </w:pPr>
    </w:p>
    <w:p w14:paraId="1B629C60" w14:textId="77777777" w:rsidR="003A0F60" w:rsidRPr="00FB0157" w:rsidRDefault="003A0F60" w:rsidP="0078309F">
      <w:pPr>
        <w:autoSpaceDE w:val="0"/>
        <w:autoSpaceDN w:val="0"/>
        <w:adjustRightInd w:val="0"/>
        <w:rPr>
          <w:szCs w:val="22"/>
        </w:rPr>
      </w:pPr>
    </w:p>
    <w:p w14:paraId="3115DBD4" w14:textId="77777777" w:rsidR="0078309F" w:rsidRPr="00FB0157" w:rsidRDefault="0078309F" w:rsidP="0078309F">
      <w:pPr>
        <w:autoSpaceDE w:val="0"/>
        <w:autoSpaceDN w:val="0"/>
        <w:adjustRightInd w:val="0"/>
        <w:rPr>
          <w:szCs w:val="22"/>
        </w:rPr>
      </w:pPr>
      <w:r w:rsidRPr="00FB0157">
        <w:rPr>
          <w:szCs w:val="22"/>
        </w:rPr>
        <w:br w:type="page"/>
      </w:r>
    </w:p>
    <w:p w14:paraId="2E9F1C66" w14:textId="77777777" w:rsidR="0078309F" w:rsidRPr="00FB0157" w:rsidRDefault="00F362E6" w:rsidP="0078309F">
      <w:pPr>
        <w:autoSpaceDE w:val="0"/>
        <w:autoSpaceDN w:val="0"/>
        <w:adjustRightInd w:val="0"/>
        <w:jc w:val="center"/>
        <w:rPr>
          <w:szCs w:val="22"/>
        </w:rPr>
      </w:pPr>
      <w:r w:rsidRPr="00FB0157">
        <w:rPr>
          <w:szCs w:val="22"/>
        </w:rPr>
        <w:lastRenderedPageBreak/>
        <w:t>Entre las cuestiones que pueden examinarse en más detalles en futuros proyectos, cabe señalar las siguientes:</w:t>
      </w:r>
    </w:p>
    <w:p w14:paraId="29113A5D" w14:textId="77777777" w:rsidR="00F362E6" w:rsidRPr="00FB0157" w:rsidRDefault="00F362E6" w:rsidP="0078309F">
      <w:pPr>
        <w:autoSpaceDE w:val="0"/>
        <w:autoSpaceDN w:val="0"/>
        <w:adjustRightInd w:val="0"/>
        <w:jc w:val="center"/>
        <w:rPr>
          <w:szCs w:val="22"/>
        </w:rPr>
      </w:pPr>
    </w:p>
    <w:p w14:paraId="14F8DC4D" w14:textId="77777777" w:rsidR="00F362E6" w:rsidRPr="00FB0157" w:rsidRDefault="00F362E6" w:rsidP="0078309F">
      <w:pPr>
        <w:autoSpaceDE w:val="0"/>
        <w:autoSpaceDN w:val="0"/>
        <w:adjustRightInd w:val="0"/>
        <w:jc w:val="center"/>
        <w:rPr>
          <w:szCs w:val="22"/>
        </w:rPr>
      </w:pPr>
      <w:r w:rsidRPr="00FB0157">
        <w:rPr>
          <w:szCs w:val="22"/>
        </w:rPr>
        <w:t>PREÁMBULO</w:t>
      </w:r>
    </w:p>
    <w:p w14:paraId="2A2839A2" w14:textId="77777777" w:rsidR="00BC7A2C" w:rsidRPr="00FB0157" w:rsidRDefault="00BC7A2C" w:rsidP="0078309F">
      <w:pPr>
        <w:autoSpaceDE w:val="0"/>
        <w:autoSpaceDN w:val="0"/>
        <w:adjustRightInd w:val="0"/>
        <w:jc w:val="center"/>
        <w:rPr>
          <w:szCs w:val="22"/>
        </w:rPr>
      </w:pPr>
    </w:p>
    <w:p w14:paraId="6437D683" w14:textId="77777777" w:rsidR="00F362E6" w:rsidRPr="00FB0157" w:rsidRDefault="00BC7A2C" w:rsidP="0078309F">
      <w:pPr>
        <w:autoSpaceDE w:val="0"/>
        <w:autoSpaceDN w:val="0"/>
        <w:adjustRightInd w:val="0"/>
        <w:jc w:val="center"/>
        <w:rPr>
          <w:szCs w:val="22"/>
        </w:rPr>
      </w:pPr>
      <w:r w:rsidRPr="00FB0157">
        <w:rPr>
          <w:szCs w:val="22"/>
        </w:rPr>
        <w:t>TÉRMINOS UTILIZADOS</w:t>
      </w:r>
    </w:p>
    <w:p w14:paraId="4D2D578D" w14:textId="77777777" w:rsidR="00BC7A2C" w:rsidRPr="00FB0157" w:rsidRDefault="00BC7A2C" w:rsidP="0078309F">
      <w:pPr>
        <w:autoSpaceDE w:val="0"/>
        <w:autoSpaceDN w:val="0"/>
        <w:adjustRightInd w:val="0"/>
        <w:jc w:val="center"/>
        <w:rPr>
          <w:szCs w:val="22"/>
        </w:rPr>
      </w:pPr>
    </w:p>
    <w:p w14:paraId="5F848EA4" w14:textId="77777777" w:rsidR="0078309F" w:rsidRPr="00FB0157" w:rsidRDefault="00F362E6" w:rsidP="0078309F">
      <w:pPr>
        <w:tabs>
          <w:tab w:val="num" w:pos="993"/>
        </w:tabs>
        <w:autoSpaceDE w:val="0"/>
        <w:autoSpaceDN w:val="0"/>
        <w:adjustRightInd w:val="0"/>
        <w:jc w:val="center"/>
        <w:rPr>
          <w:szCs w:val="22"/>
        </w:rPr>
      </w:pPr>
      <w:r w:rsidRPr="00FB0157">
        <w:rPr>
          <w:szCs w:val="22"/>
        </w:rPr>
        <w:t>REQUISITO DE DIVULGACIÓN</w:t>
      </w:r>
    </w:p>
    <w:p w14:paraId="7B612249" w14:textId="77777777" w:rsidR="00F362E6" w:rsidRPr="00FB0157" w:rsidRDefault="00F362E6" w:rsidP="0078309F">
      <w:pPr>
        <w:tabs>
          <w:tab w:val="num" w:pos="993"/>
        </w:tabs>
        <w:autoSpaceDE w:val="0"/>
        <w:autoSpaceDN w:val="0"/>
        <w:adjustRightInd w:val="0"/>
        <w:jc w:val="center"/>
        <w:rPr>
          <w:szCs w:val="22"/>
        </w:rPr>
      </w:pPr>
    </w:p>
    <w:p w14:paraId="586D3C42" w14:textId="77777777" w:rsidR="0078309F" w:rsidRPr="00FB0157" w:rsidRDefault="00015CA5" w:rsidP="0078309F">
      <w:pPr>
        <w:tabs>
          <w:tab w:val="num" w:pos="993"/>
        </w:tabs>
        <w:autoSpaceDE w:val="0"/>
        <w:autoSpaceDN w:val="0"/>
        <w:adjustRightInd w:val="0"/>
        <w:jc w:val="center"/>
        <w:rPr>
          <w:szCs w:val="22"/>
        </w:rPr>
      </w:pPr>
      <w:r w:rsidRPr="00FB0157">
        <w:rPr>
          <w:szCs w:val="22"/>
        </w:rPr>
        <w:t>ADMINISTRACIÓN DE LOS DERECHOS</w:t>
      </w:r>
    </w:p>
    <w:p w14:paraId="71ADA5FC" w14:textId="77777777" w:rsidR="0078309F" w:rsidRPr="00FB0157" w:rsidRDefault="0078309F" w:rsidP="0078309F">
      <w:pPr>
        <w:tabs>
          <w:tab w:val="num" w:pos="993"/>
        </w:tabs>
        <w:autoSpaceDE w:val="0"/>
        <w:autoSpaceDN w:val="0"/>
        <w:adjustRightInd w:val="0"/>
        <w:rPr>
          <w:szCs w:val="22"/>
        </w:rPr>
      </w:pPr>
    </w:p>
    <w:p w14:paraId="2DC5B7F9" w14:textId="77777777" w:rsidR="00015CA5" w:rsidRPr="00FB0157" w:rsidRDefault="00015CA5" w:rsidP="00015CA5">
      <w:pPr>
        <w:tabs>
          <w:tab w:val="num" w:pos="1100"/>
        </w:tabs>
        <w:autoSpaceDE w:val="0"/>
        <w:autoSpaceDN w:val="0"/>
        <w:adjustRightInd w:val="0"/>
        <w:jc w:val="center"/>
        <w:rPr>
          <w:szCs w:val="22"/>
        </w:rPr>
      </w:pPr>
      <w:r w:rsidRPr="00FB0157">
        <w:rPr>
          <w:szCs w:val="22"/>
        </w:rPr>
        <w:t>PROTECCIÓN MEDIANTE BASES DE DATOS</w:t>
      </w:r>
    </w:p>
    <w:p w14:paraId="152F9603" w14:textId="77777777" w:rsidR="00015CA5" w:rsidRPr="00FB0157" w:rsidRDefault="00015CA5" w:rsidP="00015CA5">
      <w:pPr>
        <w:tabs>
          <w:tab w:val="num" w:pos="993"/>
        </w:tabs>
        <w:autoSpaceDE w:val="0"/>
        <w:autoSpaceDN w:val="0"/>
        <w:adjustRightInd w:val="0"/>
        <w:rPr>
          <w:szCs w:val="22"/>
        </w:rPr>
      </w:pPr>
    </w:p>
    <w:p w14:paraId="5D9AC0AA" w14:textId="77777777" w:rsidR="0078309F" w:rsidRPr="00FB0157" w:rsidRDefault="002B0E47" w:rsidP="0078309F">
      <w:pPr>
        <w:tabs>
          <w:tab w:val="num" w:pos="993"/>
        </w:tabs>
        <w:autoSpaceDE w:val="0"/>
        <w:autoSpaceDN w:val="0"/>
        <w:adjustRightInd w:val="0"/>
        <w:jc w:val="center"/>
        <w:rPr>
          <w:szCs w:val="22"/>
        </w:rPr>
      </w:pPr>
      <w:r w:rsidRPr="00FB0157">
        <w:rPr>
          <w:szCs w:val="22"/>
        </w:rPr>
        <w:t>DURACIÓN DE LA PROTECCIÓN</w:t>
      </w:r>
    </w:p>
    <w:p w14:paraId="14DE0FDA" w14:textId="77777777" w:rsidR="0078309F" w:rsidRPr="00FB0157" w:rsidRDefault="0078309F" w:rsidP="0078309F">
      <w:pPr>
        <w:tabs>
          <w:tab w:val="num" w:pos="993"/>
        </w:tabs>
        <w:autoSpaceDE w:val="0"/>
        <w:autoSpaceDN w:val="0"/>
        <w:adjustRightInd w:val="0"/>
        <w:jc w:val="center"/>
        <w:rPr>
          <w:szCs w:val="22"/>
        </w:rPr>
      </w:pPr>
    </w:p>
    <w:p w14:paraId="2612ECB9" w14:textId="77777777" w:rsidR="0078309F" w:rsidRPr="00FB0157" w:rsidRDefault="0078309F" w:rsidP="0078309F">
      <w:pPr>
        <w:tabs>
          <w:tab w:val="num" w:pos="993"/>
        </w:tabs>
        <w:autoSpaceDE w:val="0"/>
        <w:autoSpaceDN w:val="0"/>
        <w:adjustRightInd w:val="0"/>
        <w:jc w:val="center"/>
        <w:rPr>
          <w:szCs w:val="22"/>
        </w:rPr>
      </w:pPr>
      <w:r w:rsidRPr="00FB0157">
        <w:rPr>
          <w:szCs w:val="22"/>
        </w:rPr>
        <w:t>FORMALIDADES</w:t>
      </w:r>
    </w:p>
    <w:p w14:paraId="3F103678" w14:textId="77777777" w:rsidR="0078309F" w:rsidRPr="00FB0157" w:rsidRDefault="0078309F" w:rsidP="0078309F">
      <w:pPr>
        <w:tabs>
          <w:tab w:val="num" w:pos="993"/>
        </w:tabs>
        <w:autoSpaceDE w:val="0"/>
        <w:autoSpaceDN w:val="0"/>
        <w:adjustRightInd w:val="0"/>
        <w:jc w:val="center"/>
        <w:rPr>
          <w:szCs w:val="22"/>
        </w:rPr>
      </w:pPr>
    </w:p>
    <w:p w14:paraId="6C067B73" w14:textId="77777777" w:rsidR="00C36831" w:rsidRPr="00FB0157" w:rsidRDefault="00C36831" w:rsidP="0078309F">
      <w:pPr>
        <w:tabs>
          <w:tab w:val="num" w:pos="993"/>
        </w:tabs>
        <w:autoSpaceDE w:val="0"/>
        <w:autoSpaceDN w:val="0"/>
        <w:adjustRightInd w:val="0"/>
        <w:jc w:val="center"/>
        <w:rPr>
          <w:szCs w:val="22"/>
        </w:rPr>
      </w:pPr>
      <w:r w:rsidRPr="00FB0157">
        <w:rPr>
          <w:szCs w:val="22"/>
        </w:rPr>
        <w:t xml:space="preserve">NO RETROACTIVIDAD </w:t>
      </w:r>
    </w:p>
    <w:p w14:paraId="4FBACD28" w14:textId="77777777" w:rsidR="00C36831" w:rsidRPr="00FB0157" w:rsidRDefault="00C36831" w:rsidP="0078309F">
      <w:pPr>
        <w:tabs>
          <w:tab w:val="num" w:pos="993"/>
        </w:tabs>
        <w:autoSpaceDE w:val="0"/>
        <w:autoSpaceDN w:val="0"/>
        <w:adjustRightInd w:val="0"/>
        <w:jc w:val="center"/>
        <w:rPr>
          <w:szCs w:val="22"/>
        </w:rPr>
      </w:pPr>
    </w:p>
    <w:p w14:paraId="4C5D6467" w14:textId="77777777" w:rsidR="0078309F" w:rsidRPr="00FB0157" w:rsidRDefault="0078309F" w:rsidP="0078309F">
      <w:pPr>
        <w:tabs>
          <w:tab w:val="num" w:pos="993"/>
        </w:tabs>
        <w:autoSpaceDE w:val="0"/>
        <w:autoSpaceDN w:val="0"/>
        <w:adjustRightInd w:val="0"/>
        <w:jc w:val="center"/>
        <w:rPr>
          <w:szCs w:val="22"/>
        </w:rPr>
      </w:pPr>
      <w:r w:rsidRPr="00FB0157">
        <w:rPr>
          <w:szCs w:val="22"/>
        </w:rPr>
        <w:t>RELACIÓN CON OTROS ACUERDOS INTERNACIONALES</w:t>
      </w:r>
    </w:p>
    <w:p w14:paraId="35E19A56" w14:textId="77777777" w:rsidR="0078309F" w:rsidRPr="00FB0157" w:rsidRDefault="0078309F" w:rsidP="0078309F">
      <w:pPr>
        <w:tabs>
          <w:tab w:val="num" w:pos="993"/>
        </w:tabs>
        <w:autoSpaceDE w:val="0"/>
        <w:autoSpaceDN w:val="0"/>
        <w:adjustRightInd w:val="0"/>
        <w:rPr>
          <w:szCs w:val="22"/>
        </w:rPr>
      </w:pPr>
    </w:p>
    <w:p w14:paraId="2AEAA3B2" w14:textId="77777777" w:rsidR="0078309F" w:rsidRPr="00FB0157" w:rsidRDefault="0078309F" w:rsidP="0078309F">
      <w:pPr>
        <w:tabs>
          <w:tab w:val="num" w:pos="993"/>
        </w:tabs>
        <w:autoSpaceDE w:val="0"/>
        <w:autoSpaceDN w:val="0"/>
        <w:adjustRightInd w:val="0"/>
        <w:jc w:val="center"/>
        <w:rPr>
          <w:szCs w:val="22"/>
        </w:rPr>
      </w:pPr>
      <w:r w:rsidRPr="00FB0157">
        <w:rPr>
          <w:szCs w:val="22"/>
        </w:rPr>
        <w:t>CLÁUSULA DE NO DEROGACIÓN</w:t>
      </w:r>
    </w:p>
    <w:p w14:paraId="06969DF6" w14:textId="77777777" w:rsidR="0078309F" w:rsidRPr="00FB0157" w:rsidRDefault="0078309F" w:rsidP="0078309F">
      <w:pPr>
        <w:tabs>
          <w:tab w:val="num" w:pos="993"/>
        </w:tabs>
        <w:autoSpaceDE w:val="0"/>
        <w:autoSpaceDN w:val="0"/>
        <w:adjustRightInd w:val="0"/>
        <w:jc w:val="center"/>
        <w:rPr>
          <w:szCs w:val="22"/>
        </w:rPr>
      </w:pPr>
    </w:p>
    <w:p w14:paraId="5B36A5FB" w14:textId="77777777" w:rsidR="0078309F" w:rsidRPr="00FB0157" w:rsidRDefault="0078309F" w:rsidP="0078309F">
      <w:pPr>
        <w:tabs>
          <w:tab w:val="num" w:pos="993"/>
        </w:tabs>
        <w:autoSpaceDE w:val="0"/>
        <w:autoSpaceDN w:val="0"/>
        <w:adjustRightInd w:val="0"/>
        <w:jc w:val="center"/>
        <w:rPr>
          <w:szCs w:val="22"/>
        </w:rPr>
      </w:pPr>
      <w:r w:rsidRPr="00FB0157">
        <w:rPr>
          <w:szCs w:val="22"/>
        </w:rPr>
        <w:t>TRATO NACIONAL</w:t>
      </w:r>
    </w:p>
    <w:p w14:paraId="5A8A7030" w14:textId="77777777" w:rsidR="0078309F" w:rsidRPr="00FB0157" w:rsidRDefault="0078309F" w:rsidP="0078309F">
      <w:pPr>
        <w:tabs>
          <w:tab w:val="num" w:pos="993"/>
        </w:tabs>
        <w:autoSpaceDE w:val="0"/>
        <w:autoSpaceDN w:val="0"/>
        <w:adjustRightInd w:val="0"/>
        <w:rPr>
          <w:szCs w:val="22"/>
        </w:rPr>
      </w:pPr>
    </w:p>
    <w:p w14:paraId="0BFED1C2" w14:textId="77777777" w:rsidR="00900842" w:rsidRPr="00FB0157" w:rsidRDefault="0078309F" w:rsidP="0078309F">
      <w:pPr>
        <w:tabs>
          <w:tab w:val="num" w:pos="993"/>
        </w:tabs>
        <w:autoSpaceDE w:val="0"/>
        <w:autoSpaceDN w:val="0"/>
        <w:adjustRightInd w:val="0"/>
        <w:jc w:val="center"/>
        <w:rPr>
          <w:szCs w:val="22"/>
        </w:rPr>
      </w:pPr>
      <w:r w:rsidRPr="00FB0157">
        <w:rPr>
          <w:szCs w:val="22"/>
        </w:rPr>
        <w:t>COOPERACIÓN TRANSFRONTERIZA</w:t>
      </w:r>
      <w:r w:rsidRPr="00FB0157">
        <w:rPr>
          <w:szCs w:val="22"/>
        </w:rPr>
        <w:br/>
      </w:r>
    </w:p>
    <w:p w14:paraId="49C1BDAB" w14:textId="77777777" w:rsidR="0078309F" w:rsidRPr="00FB0157" w:rsidRDefault="00900842" w:rsidP="0078309F">
      <w:pPr>
        <w:tabs>
          <w:tab w:val="num" w:pos="993"/>
        </w:tabs>
        <w:autoSpaceDE w:val="0"/>
        <w:autoSpaceDN w:val="0"/>
        <w:adjustRightInd w:val="0"/>
        <w:jc w:val="center"/>
        <w:rPr>
          <w:szCs w:val="22"/>
        </w:rPr>
      </w:pPr>
      <w:r w:rsidRPr="00FB0157">
        <w:rPr>
          <w:szCs w:val="22"/>
        </w:rPr>
        <w:t>EXAMEN</w:t>
      </w:r>
      <w:r w:rsidRPr="00FB0157">
        <w:rPr>
          <w:szCs w:val="22"/>
        </w:rPr>
        <w:br/>
      </w:r>
    </w:p>
    <w:p w14:paraId="289619D2" w14:textId="77777777" w:rsidR="00636914" w:rsidRPr="00FB0157" w:rsidRDefault="00636914" w:rsidP="0078309F">
      <w:pPr>
        <w:tabs>
          <w:tab w:val="num" w:pos="993"/>
        </w:tabs>
        <w:autoSpaceDE w:val="0"/>
        <w:autoSpaceDN w:val="0"/>
        <w:adjustRightInd w:val="0"/>
        <w:jc w:val="center"/>
        <w:rPr>
          <w:szCs w:val="22"/>
        </w:rPr>
      </w:pPr>
      <w:r w:rsidRPr="00FB0157">
        <w:rPr>
          <w:szCs w:val="22"/>
        </w:rPr>
        <w:t>CLÁUSULAS ADMINISTRATIVAS</w:t>
      </w:r>
    </w:p>
    <w:p w14:paraId="216958D2" w14:textId="77777777" w:rsidR="0078309F" w:rsidRPr="00FB0157" w:rsidRDefault="0078309F" w:rsidP="0078309F">
      <w:pPr>
        <w:tabs>
          <w:tab w:val="num" w:pos="993"/>
        </w:tabs>
        <w:autoSpaceDE w:val="0"/>
        <w:autoSpaceDN w:val="0"/>
        <w:adjustRightInd w:val="0"/>
        <w:rPr>
          <w:szCs w:val="22"/>
        </w:rPr>
      </w:pPr>
    </w:p>
    <w:p w14:paraId="6181275C" w14:textId="77777777" w:rsidR="0078309F" w:rsidRPr="00FB0157" w:rsidRDefault="0078309F" w:rsidP="0078309F">
      <w:pPr>
        <w:tabs>
          <w:tab w:val="num" w:pos="993"/>
        </w:tabs>
        <w:autoSpaceDE w:val="0"/>
        <w:autoSpaceDN w:val="0"/>
        <w:adjustRightInd w:val="0"/>
        <w:rPr>
          <w:szCs w:val="22"/>
        </w:rPr>
      </w:pPr>
    </w:p>
    <w:p w14:paraId="32CFE1AB" w14:textId="77777777" w:rsidR="007713E7" w:rsidRPr="00FB0157" w:rsidRDefault="00F362E6" w:rsidP="00F362E6">
      <w:pPr>
        <w:tabs>
          <w:tab w:val="num" w:pos="993"/>
        </w:tabs>
        <w:autoSpaceDE w:val="0"/>
        <w:autoSpaceDN w:val="0"/>
        <w:adjustRightInd w:val="0"/>
        <w:jc w:val="center"/>
        <w:rPr>
          <w:szCs w:val="22"/>
        </w:rPr>
      </w:pPr>
      <w:r w:rsidRPr="00FB0157">
        <w:rPr>
          <w:szCs w:val="22"/>
        </w:rPr>
        <w:t>____________</w:t>
      </w:r>
    </w:p>
    <w:p w14:paraId="6C113084" w14:textId="77777777" w:rsidR="0078309F" w:rsidRPr="00FB0157" w:rsidRDefault="0078309F" w:rsidP="0078309F">
      <w:pPr>
        <w:tabs>
          <w:tab w:val="num" w:pos="993"/>
        </w:tabs>
        <w:autoSpaceDE w:val="0"/>
        <w:autoSpaceDN w:val="0"/>
        <w:adjustRightInd w:val="0"/>
        <w:rPr>
          <w:szCs w:val="22"/>
        </w:rPr>
      </w:pPr>
    </w:p>
    <w:p w14:paraId="6A7F1829" w14:textId="77777777" w:rsidR="0078309F" w:rsidRPr="00FB0157" w:rsidRDefault="0078309F" w:rsidP="0078309F">
      <w:pPr>
        <w:tabs>
          <w:tab w:val="num" w:pos="993"/>
        </w:tabs>
        <w:autoSpaceDE w:val="0"/>
        <w:autoSpaceDN w:val="0"/>
        <w:adjustRightInd w:val="0"/>
        <w:rPr>
          <w:szCs w:val="22"/>
        </w:rPr>
      </w:pPr>
    </w:p>
    <w:p w14:paraId="28CEBF6D" w14:textId="77777777" w:rsidR="0078309F" w:rsidRPr="00FB0157" w:rsidRDefault="0078309F" w:rsidP="0078309F">
      <w:pPr>
        <w:rPr>
          <w:szCs w:val="22"/>
        </w:rPr>
      </w:pPr>
    </w:p>
    <w:p w14:paraId="1E928CF8" w14:textId="77777777" w:rsidR="0078309F" w:rsidRPr="00FB0157" w:rsidRDefault="0078309F" w:rsidP="00804DB7">
      <w:pPr>
        <w:rPr>
          <w:szCs w:val="22"/>
        </w:rPr>
      </w:pPr>
    </w:p>
    <w:sectPr w:rsidR="0078309F" w:rsidRPr="00FB0157" w:rsidSect="0078309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8ADE4" w14:textId="77777777" w:rsidR="00965017" w:rsidRDefault="00965017" w:rsidP="0078309F">
      <w:r>
        <w:separator/>
      </w:r>
    </w:p>
  </w:endnote>
  <w:endnote w:type="continuationSeparator" w:id="0">
    <w:p w14:paraId="7BDC11CF" w14:textId="77777777" w:rsidR="00965017" w:rsidRDefault="00965017" w:rsidP="0078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50E08" w14:textId="77777777" w:rsidR="008365AF" w:rsidRDefault="00836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71F8" w14:textId="77777777" w:rsidR="008365AF" w:rsidRDefault="00836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917AF" w14:textId="77777777" w:rsidR="008365AF" w:rsidRDefault="0083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B44FD" w14:textId="77777777" w:rsidR="00965017" w:rsidRDefault="00965017" w:rsidP="0078309F">
      <w:r>
        <w:separator/>
      </w:r>
    </w:p>
  </w:footnote>
  <w:footnote w:type="continuationSeparator" w:id="0">
    <w:p w14:paraId="05099545" w14:textId="77777777" w:rsidR="00965017" w:rsidRDefault="00965017" w:rsidP="0078309F">
      <w:r>
        <w:continuationSeparator/>
      </w:r>
    </w:p>
  </w:footnote>
  <w:footnote w:id="1">
    <w:p w14:paraId="08E9C838" w14:textId="2D291CA7" w:rsidR="00A7612F" w:rsidRPr="00FB0157" w:rsidRDefault="00A7612F" w:rsidP="00A7612F">
      <w:pPr>
        <w:pStyle w:val="Body1"/>
        <w:spacing w:line="20" w:lineRule="atLeast"/>
        <w:rPr>
          <w:rFonts w:ascii="Arial" w:hAnsi="Arial" w:cs="Arial"/>
          <w:sz w:val="18"/>
          <w:szCs w:val="18"/>
        </w:rPr>
      </w:pPr>
      <w:r w:rsidRPr="00FB0157">
        <w:rPr>
          <w:rStyle w:val="FootnoteReference"/>
          <w:rFonts w:ascii="Arial" w:hAnsi="Arial" w:cs="Arial"/>
          <w:sz w:val="18"/>
          <w:szCs w:val="18"/>
        </w:rPr>
        <w:footnoteRef/>
      </w:r>
      <w:r w:rsidRPr="00FB0157">
        <w:rPr>
          <w:rFonts w:ascii="Arial" w:hAnsi="Arial" w:cs="Arial"/>
          <w:sz w:val="18"/>
          <w:szCs w:val="18"/>
        </w:rPr>
        <w:t xml:space="preserve"> Con ese fin, cabe señalar la información proporcionada en los “</w:t>
      </w:r>
      <w:r w:rsidR="00FB0157" w:rsidRPr="00FB0157">
        <w:rPr>
          <w:rFonts w:ascii="Arial" w:hAnsi="Arial" w:cs="Arial"/>
          <w:sz w:val="18"/>
          <w:szCs w:val="18"/>
        </w:rPr>
        <w:t>Análisis</w:t>
      </w:r>
      <w:r w:rsidRPr="00FB0157">
        <w:rPr>
          <w:rFonts w:ascii="Arial" w:hAnsi="Arial" w:cs="Arial"/>
          <w:sz w:val="18"/>
          <w:szCs w:val="18"/>
        </w:rPr>
        <w:t xml:space="preserve"> de las carencias” que figura en los documentos WIPO/GRTKF/IC/45/6 y WIPO/GRTKF/IC/45/7.</w:t>
      </w:r>
      <w:r w:rsidR="00FB0157" w:rsidRPr="00FB0157">
        <w:rPr>
          <w:rFonts w:ascii="Arial" w:hAnsi="Arial" w:cs="Arial"/>
          <w:sz w:val="18"/>
          <w:szCs w:val="18"/>
        </w:rPr>
        <w:t xml:space="preserve"> </w:t>
      </w:r>
      <w:r w:rsidRPr="00FB0157">
        <w:rPr>
          <w:rFonts w:ascii="Arial" w:hAnsi="Arial" w:cs="Arial"/>
          <w:sz w:val="18"/>
          <w:szCs w:val="18"/>
        </w:rPr>
        <w:t>En el “Análisis de las carencias”, se señalan las carencias existentes en el plano internacional con respecto a la protección de los CC.TT. y las ECT, se recogen las consideraciones pertinentes para determinar si es necesario tratar tales carencias y se describen las opciones existentes o eventuales para abordar las carencias señaladas.</w:t>
      </w:r>
      <w:r w:rsidR="00FB0157" w:rsidRPr="00FB0157">
        <w:rPr>
          <w:rFonts w:ascii="Arial" w:hAnsi="Arial" w:cs="Arial"/>
          <w:sz w:val="18"/>
          <w:szCs w:val="18"/>
        </w:rPr>
        <w:t xml:space="preserve"> </w:t>
      </w:r>
      <w:r w:rsidRPr="00FB0157">
        <w:rPr>
          <w:rFonts w:ascii="Arial" w:hAnsi="Arial" w:cs="Arial"/>
          <w:sz w:val="18"/>
          <w:szCs w:val="18"/>
        </w:rPr>
        <w:t>En estos documentos se analiza asimismo el concepto de “protección” en el sentido de la propiedad intelectual.</w:t>
      </w:r>
      <w:r w:rsidR="00FB0157" w:rsidRPr="00FB0157">
        <w:rPr>
          <w:rFonts w:ascii="Arial" w:hAnsi="Arial" w:cs="Arial"/>
          <w:sz w:val="18"/>
          <w:szCs w:val="18"/>
        </w:rPr>
        <w:t xml:space="preserve"> </w:t>
      </w:r>
    </w:p>
    <w:p w14:paraId="0BB2C55E" w14:textId="77777777" w:rsidR="00A7612F" w:rsidRPr="00FB0157" w:rsidRDefault="00A7612F" w:rsidP="00A7612F">
      <w:pPr>
        <w:pStyle w:val="FootnoteText"/>
        <w:spacing w:line="20" w:lineRule="atLeast"/>
        <w:rPr>
          <w:szCs w:val="18"/>
        </w:rPr>
      </w:pPr>
    </w:p>
  </w:footnote>
  <w:footnote w:id="2">
    <w:p w14:paraId="644A6364" w14:textId="77777777" w:rsidR="006C79A0" w:rsidRPr="00FB0157" w:rsidRDefault="006C79A0" w:rsidP="006C79A0">
      <w:pPr>
        <w:pStyle w:val="FootnoteText"/>
        <w:spacing w:before="2"/>
        <w:rPr>
          <w:szCs w:val="18"/>
        </w:rPr>
      </w:pPr>
      <w:r w:rsidRPr="00FB0157">
        <w:rPr>
          <w:rStyle w:val="FootnoteReference"/>
          <w:szCs w:val="18"/>
        </w:rPr>
        <w:footnoteRef/>
      </w:r>
      <w:r w:rsidRPr="00FB0157">
        <w:rPr>
          <w:szCs w:val="18"/>
        </w:rPr>
        <w:t xml:space="preserve"> [Como los relatos, las gestas épicas, las leyendas, los cuentos, la poesía, los enigmas y otras narraciones; las palabras, los signos, los nombres y los símbolos.] </w:t>
      </w:r>
    </w:p>
  </w:footnote>
  <w:footnote w:id="3">
    <w:p w14:paraId="14D3CEAB" w14:textId="77777777" w:rsidR="006C79A0" w:rsidRPr="00FB0157" w:rsidRDefault="006C79A0" w:rsidP="006C79A0">
      <w:pPr>
        <w:pStyle w:val="FootnoteText"/>
        <w:spacing w:before="2"/>
        <w:rPr>
          <w:szCs w:val="18"/>
        </w:rPr>
      </w:pPr>
      <w:r w:rsidRPr="00FB0157">
        <w:rPr>
          <w:rStyle w:val="FootnoteReference"/>
          <w:szCs w:val="18"/>
        </w:rPr>
        <w:footnoteRef/>
      </w:r>
      <w:r w:rsidRPr="00FB0157">
        <w:rPr>
          <w:szCs w:val="18"/>
        </w:rPr>
        <w:t xml:space="preserve"> [Como las canciones, los ritmos, la música instrumental y los cantos que son expresión de rituales.] </w:t>
      </w:r>
    </w:p>
  </w:footnote>
  <w:footnote w:id="4">
    <w:p w14:paraId="1CAC39B5" w14:textId="77777777" w:rsidR="006C79A0" w:rsidRPr="00FB0157" w:rsidRDefault="006C79A0" w:rsidP="006C79A0">
      <w:pPr>
        <w:pStyle w:val="FootnoteText"/>
        <w:spacing w:before="2"/>
        <w:rPr>
          <w:szCs w:val="18"/>
        </w:rPr>
      </w:pPr>
      <w:r w:rsidRPr="00FB0157">
        <w:rPr>
          <w:rStyle w:val="FootnoteReference"/>
          <w:szCs w:val="18"/>
        </w:rPr>
        <w:footnoteRef/>
      </w:r>
      <w:r w:rsidRPr="00FB0157">
        <w:rPr>
          <w:szCs w:val="18"/>
        </w:rPr>
        <w:t xml:space="preserve"> [Como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 </w:t>
      </w:r>
    </w:p>
  </w:footnote>
  <w:footnote w:id="5">
    <w:p w14:paraId="162EA874" w14:textId="694C45E7" w:rsidR="006C79A0" w:rsidRPr="00FB0157" w:rsidRDefault="006C79A0" w:rsidP="006C79A0">
      <w:pPr>
        <w:pStyle w:val="FootnoteText"/>
        <w:spacing w:before="2"/>
        <w:rPr>
          <w:szCs w:val="18"/>
        </w:rPr>
      </w:pPr>
      <w:r w:rsidRPr="00FB0157">
        <w:rPr>
          <w:rStyle w:val="FootnoteReference"/>
          <w:szCs w:val="18"/>
        </w:rPr>
        <w:footnoteRef/>
      </w:r>
      <w:r w:rsidRPr="00FB0157">
        <w:rPr>
          <w:szCs w:val="18"/>
        </w:rPr>
        <w:t xml:space="preserve"> [Como las manifestaciones artísticas tangibles, obras de artesanía, máscaras o vestidos ceremoniales, alfombras hechas a mano, obras arquitectónicas, formas espirituales tangibles y lugares sagrados.]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63EC" w14:textId="77777777" w:rsidR="00F14A41" w:rsidRDefault="00F14A41" w:rsidP="0078309F">
    <w:pPr>
      <w:pStyle w:val="Header"/>
      <w:jc w:val="right"/>
    </w:pPr>
    <w:r>
      <w:t xml:space="preserve">página </w:t>
    </w:r>
    <w:r>
      <w:fldChar w:fldCharType="begin"/>
    </w:r>
    <w:r>
      <w:instrText xml:space="preserve"> PAGE   \* MERGEFORMAT </w:instrText>
    </w:r>
    <w:r>
      <w:fldChar w:fldCharType="separate"/>
    </w:r>
    <w:r>
      <w:t>28</w:t>
    </w:r>
    <w:r>
      <w:fldChar w:fldCharType="end"/>
    </w:r>
  </w:p>
  <w:p w14:paraId="3139347E" w14:textId="77777777" w:rsidR="00F14A41" w:rsidRDefault="00F14A41" w:rsidP="0078309F">
    <w:pPr>
      <w:pStyle w:val="Header"/>
    </w:pPr>
  </w:p>
  <w:p w14:paraId="7A9FA501" w14:textId="77777777" w:rsidR="00F14A41" w:rsidRDefault="00F14A41" w:rsidP="00783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3D72" w14:textId="4182C278" w:rsidR="00865878" w:rsidRDefault="00865878" w:rsidP="0078309F">
    <w:pPr>
      <w:pStyle w:val="Header"/>
      <w:jc w:val="right"/>
    </w:pPr>
    <w:r>
      <w:t>Documento oficioso</w:t>
    </w:r>
    <w:r w:rsidR="00364CE2">
      <w:t>:</w:t>
    </w:r>
    <w:r>
      <w:t xml:space="preserve"> Texto de la presidenta sobre CC.TT. y ECT</w:t>
    </w:r>
  </w:p>
  <w:p w14:paraId="20F0906C" w14:textId="3C143E78" w:rsidR="00F14A41" w:rsidRPr="00A46542" w:rsidRDefault="00F14A41" w:rsidP="0078309F">
    <w:pPr>
      <w:pStyle w:val="Header"/>
      <w:jc w:val="right"/>
    </w:pPr>
    <w:r>
      <w:t xml:space="preserve">página </w:t>
    </w:r>
    <w:r w:rsidRPr="00A46542">
      <w:fldChar w:fldCharType="begin"/>
    </w:r>
    <w:r w:rsidRPr="00A46542">
      <w:instrText xml:space="preserve"> PAGE   \* MERGEFORMAT </w:instrText>
    </w:r>
    <w:r w:rsidRPr="00A46542">
      <w:fldChar w:fldCharType="separate"/>
    </w:r>
    <w:r w:rsidR="008365AF">
      <w:rPr>
        <w:noProof/>
      </w:rPr>
      <w:t>5</w:t>
    </w:r>
    <w:r w:rsidRPr="00A46542">
      <w:fldChar w:fldCharType="end"/>
    </w:r>
  </w:p>
  <w:p w14:paraId="47E15002" w14:textId="77777777" w:rsidR="00F14A41" w:rsidRDefault="00F14A41"/>
  <w:p w14:paraId="29C72F39" w14:textId="77777777" w:rsidR="00F14A41" w:rsidRDefault="00F14A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CE8AB" w14:textId="77777777" w:rsidR="008365AF" w:rsidRDefault="00836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000003"/>
    <w:multiLevelType w:val="multilevel"/>
    <w:tmpl w:val="894EE875"/>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125190B"/>
    <w:multiLevelType w:val="hybridMultilevel"/>
    <w:tmpl w:val="0E6C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D00A97"/>
    <w:multiLevelType w:val="hybridMultilevel"/>
    <w:tmpl w:val="607E2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6" w15:restartNumberingAfterBreak="0">
    <w:nsid w:val="52722BC8"/>
    <w:multiLevelType w:val="hybridMultilevel"/>
    <w:tmpl w:val="B8D6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8A4CDB"/>
    <w:multiLevelType w:val="hybridMultilevel"/>
    <w:tmpl w:val="1540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3"/>
  </w:num>
  <w:num w:numId="4">
    <w:abstractNumId w:val="21"/>
  </w:num>
  <w:num w:numId="5">
    <w:abstractNumId w:val="0"/>
  </w:num>
  <w:num w:numId="6">
    <w:abstractNumId w:val="18"/>
  </w:num>
  <w:num w:numId="7">
    <w:abstractNumId w:val="12"/>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num>
  <w:num w:numId="15">
    <w:abstractNumId w:val="6"/>
  </w:num>
  <w:num w:numId="16">
    <w:abstractNumId w:val="3"/>
  </w:num>
  <w:num w:numId="17">
    <w:abstractNumId w:val="5"/>
  </w:num>
  <w:num w:numId="18">
    <w:abstractNumId w:val="22"/>
  </w:num>
  <w:num w:numId="19">
    <w:abstractNumId w:val="11"/>
  </w:num>
  <w:num w:numId="20">
    <w:abstractNumId w:val="24"/>
  </w:num>
  <w:num w:numId="21">
    <w:abstractNumId w:val="1"/>
  </w:num>
  <w:num w:numId="22">
    <w:abstractNumId w:val="2"/>
  </w:num>
  <w:num w:numId="23">
    <w:abstractNumId w:val="4"/>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DF"/>
    <w:rsid w:val="00015CA5"/>
    <w:rsid w:val="000307D8"/>
    <w:rsid w:val="00043C2E"/>
    <w:rsid w:val="0004447C"/>
    <w:rsid w:val="00046ADA"/>
    <w:rsid w:val="0005271A"/>
    <w:rsid w:val="0005323E"/>
    <w:rsid w:val="00080298"/>
    <w:rsid w:val="000C450E"/>
    <w:rsid w:val="000F5E56"/>
    <w:rsid w:val="000F655E"/>
    <w:rsid w:val="00106435"/>
    <w:rsid w:val="00111865"/>
    <w:rsid w:val="001138F6"/>
    <w:rsid w:val="00114693"/>
    <w:rsid w:val="00127596"/>
    <w:rsid w:val="00135D44"/>
    <w:rsid w:val="00162BB0"/>
    <w:rsid w:val="00163958"/>
    <w:rsid w:val="00186E50"/>
    <w:rsid w:val="001F77E6"/>
    <w:rsid w:val="0021183F"/>
    <w:rsid w:val="0021299A"/>
    <w:rsid w:val="00223F41"/>
    <w:rsid w:val="00233AD2"/>
    <w:rsid w:val="00267CB5"/>
    <w:rsid w:val="002704C3"/>
    <w:rsid w:val="00274793"/>
    <w:rsid w:val="00291A1C"/>
    <w:rsid w:val="002A5F71"/>
    <w:rsid w:val="002A6342"/>
    <w:rsid w:val="002A64B8"/>
    <w:rsid w:val="002B0E47"/>
    <w:rsid w:val="002E5823"/>
    <w:rsid w:val="002F25CC"/>
    <w:rsid w:val="002F4594"/>
    <w:rsid w:val="00306CE3"/>
    <w:rsid w:val="00334538"/>
    <w:rsid w:val="00364CE2"/>
    <w:rsid w:val="003A0F60"/>
    <w:rsid w:val="003A3F65"/>
    <w:rsid w:val="003B6E6F"/>
    <w:rsid w:val="003C7CC7"/>
    <w:rsid w:val="003D11B5"/>
    <w:rsid w:val="003D5E12"/>
    <w:rsid w:val="003E2003"/>
    <w:rsid w:val="003E6531"/>
    <w:rsid w:val="003F03F7"/>
    <w:rsid w:val="003F2301"/>
    <w:rsid w:val="00401A98"/>
    <w:rsid w:val="00404BEA"/>
    <w:rsid w:val="00407B3F"/>
    <w:rsid w:val="00427502"/>
    <w:rsid w:val="00431118"/>
    <w:rsid w:val="004316AE"/>
    <w:rsid w:val="00437E16"/>
    <w:rsid w:val="004601AD"/>
    <w:rsid w:val="00477028"/>
    <w:rsid w:val="004A48A4"/>
    <w:rsid w:val="004D3E60"/>
    <w:rsid w:val="005416DA"/>
    <w:rsid w:val="005438A0"/>
    <w:rsid w:val="0056714E"/>
    <w:rsid w:val="005861D4"/>
    <w:rsid w:val="005A75F9"/>
    <w:rsid w:val="005E12EA"/>
    <w:rsid w:val="00632971"/>
    <w:rsid w:val="00636914"/>
    <w:rsid w:val="006436F0"/>
    <w:rsid w:val="00646D5A"/>
    <w:rsid w:val="00666B4D"/>
    <w:rsid w:val="006721AF"/>
    <w:rsid w:val="006C79A0"/>
    <w:rsid w:val="006E31C9"/>
    <w:rsid w:val="006E385D"/>
    <w:rsid w:val="006F1777"/>
    <w:rsid w:val="006F7303"/>
    <w:rsid w:val="00762097"/>
    <w:rsid w:val="007713E7"/>
    <w:rsid w:val="00774CFE"/>
    <w:rsid w:val="0078309F"/>
    <w:rsid w:val="00786A17"/>
    <w:rsid w:val="00790753"/>
    <w:rsid w:val="007B240C"/>
    <w:rsid w:val="007B77CA"/>
    <w:rsid w:val="007D1238"/>
    <w:rsid w:val="007D53C7"/>
    <w:rsid w:val="007F7AD0"/>
    <w:rsid w:val="0080068C"/>
    <w:rsid w:val="00804DB7"/>
    <w:rsid w:val="00805E9A"/>
    <w:rsid w:val="008229D3"/>
    <w:rsid w:val="00827BF2"/>
    <w:rsid w:val="00835CB0"/>
    <w:rsid w:val="008365AF"/>
    <w:rsid w:val="00845C7A"/>
    <w:rsid w:val="00857F13"/>
    <w:rsid w:val="008652ED"/>
    <w:rsid w:val="00865878"/>
    <w:rsid w:val="008766B4"/>
    <w:rsid w:val="0089046D"/>
    <w:rsid w:val="008B322C"/>
    <w:rsid w:val="00900842"/>
    <w:rsid w:val="00903212"/>
    <w:rsid w:val="009406D5"/>
    <w:rsid w:val="00965017"/>
    <w:rsid w:val="009711C2"/>
    <w:rsid w:val="009C58DE"/>
    <w:rsid w:val="009D7261"/>
    <w:rsid w:val="00A1453B"/>
    <w:rsid w:val="00A46542"/>
    <w:rsid w:val="00A57761"/>
    <w:rsid w:val="00A73F0E"/>
    <w:rsid w:val="00A7612F"/>
    <w:rsid w:val="00A76F5C"/>
    <w:rsid w:val="00A858DC"/>
    <w:rsid w:val="00A94C66"/>
    <w:rsid w:val="00AA3C59"/>
    <w:rsid w:val="00AA7458"/>
    <w:rsid w:val="00AC14ED"/>
    <w:rsid w:val="00AF7FB5"/>
    <w:rsid w:val="00B55DFD"/>
    <w:rsid w:val="00B56D00"/>
    <w:rsid w:val="00B66E28"/>
    <w:rsid w:val="00B67A5F"/>
    <w:rsid w:val="00B973EB"/>
    <w:rsid w:val="00BB16FB"/>
    <w:rsid w:val="00BB669F"/>
    <w:rsid w:val="00BC7A2C"/>
    <w:rsid w:val="00BD02A7"/>
    <w:rsid w:val="00BD1615"/>
    <w:rsid w:val="00C00771"/>
    <w:rsid w:val="00C11DAC"/>
    <w:rsid w:val="00C36831"/>
    <w:rsid w:val="00C52306"/>
    <w:rsid w:val="00C554EC"/>
    <w:rsid w:val="00C56CC5"/>
    <w:rsid w:val="00C63D8A"/>
    <w:rsid w:val="00C9293A"/>
    <w:rsid w:val="00CA69F7"/>
    <w:rsid w:val="00CA6A32"/>
    <w:rsid w:val="00CB0D66"/>
    <w:rsid w:val="00CE1B6D"/>
    <w:rsid w:val="00CE2657"/>
    <w:rsid w:val="00CE2865"/>
    <w:rsid w:val="00D03431"/>
    <w:rsid w:val="00D25402"/>
    <w:rsid w:val="00D25FE0"/>
    <w:rsid w:val="00D278FD"/>
    <w:rsid w:val="00D46C80"/>
    <w:rsid w:val="00D554A8"/>
    <w:rsid w:val="00D83135"/>
    <w:rsid w:val="00D95CF0"/>
    <w:rsid w:val="00DA02D8"/>
    <w:rsid w:val="00DA1206"/>
    <w:rsid w:val="00DA3CDF"/>
    <w:rsid w:val="00DA7EA4"/>
    <w:rsid w:val="00DB7932"/>
    <w:rsid w:val="00E1597C"/>
    <w:rsid w:val="00E35DDC"/>
    <w:rsid w:val="00E37167"/>
    <w:rsid w:val="00E55623"/>
    <w:rsid w:val="00E7052A"/>
    <w:rsid w:val="00E86F88"/>
    <w:rsid w:val="00E87268"/>
    <w:rsid w:val="00EB0B09"/>
    <w:rsid w:val="00EB401E"/>
    <w:rsid w:val="00EB51DF"/>
    <w:rsid w:val="00ED5DC0"/>
    <w:rsid w:val="00F14A41"/>
    <w:rsid w:val="00F17589"/>
    <w:rsid w:val="00F26794"/>
    <w:rsid w:val="00F362E6"/>
    <w:rsid w:val="00F5049D"/>
    <w:rsid w:val="00F50944"/>
    <w:rsid w:val="00F703AE"/>
    <w:rsid w:val="00FA3882"/>
    <w:rsid w:val="00FB0157"/>
    <w:rsid w:val="00FB79D0"/>
    <w:rsid w:val="00FD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653B3F1"/>
  <w15:chartTrackingRefBased/>
  <w15:docId w15:val="{DA2E1CC0-3282-448F-A524-44CCD24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s-E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8309F"/>
    <w:pPr>
      <w:ind w:left="720"/>
      <w:contextualSpacing/>
    </w:pPr>
    <w:rPr>
      <w:rFonts w:eastAsia="SimSun"/>
    </w:rPr>
  </w:style>
  <w:style w:type="character" w:customStyle="1" w:styleId="FootnoteTextChar">
    <w:name w:val="Footnote Text Char"/>
    <w:basedOn w:val="DefaultParagraphFont"/>
    <w:link w:val="FootnoteText"/>
    <w:rsid w:val="0078309F"/>
    <w:rPr>
      <w:rFonts w:ascii="Arial" w:hAnsi="Arial" w:cs="Arial"/>
      <w:sz w:val="18"/>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78309F"/>
    <w:rPr>
      <w:vertAlign w:val="superscript"/>
    </w:rPr>
  </w:style>
  <w:style w:type="paragraph" w:styleId="NormalWeb">
    <w:name w:val="Normal (Web)"/>
    <w:basedOn w:val="Normal"/>
    <w:semiHidden/>
    <w:unhideWhenUsed/>
    <w:rsid w:val="007713E7"/>
    <w:rPr>
      <w:rFonts w:ascii="Times New Roman" w:hAnsi="Times New Roman" w:cs="Times New Roman"/>
      <w:sz w:val="24"/>
      <w:szCs w:val="24"/>
    </w:rPr>
  </w:style>
  <w:style w:type="character" w:styleId="PageNumber">
    <w:name w:val="page number"/>
    <w:basedOn w:val="DefaultParagraphFont"/>
    <w:rsid w:val="007713E7"/>
  </w:style>
  <w:style w:type="character" w:styleId="CommentReference">
    <w:name w:val="annotation reference"/>
    <w:basedOn w:val="DefaultParagraphFont"/>
    <w:semiHidden/>
    <w:unhideWhenUsed/>
    <w:rsid w:val="00E35DDC"/>
    <w:rPr>
      <w:sz w:val="16"/>
      <w:szCs w:val="16"/>
    </w:rPr>
  </w:style>
  <w:style w:type="paragraph" w:styleId="CommentSubject">
    <w:name w:val="annotation subject"/>
    <w:basedOn w:val="CommentText"/>
    <w:next w:val="CommentText"/>
    <w:link w:val="CommentSubjectChar"/>
    <w:semiHidden/>
    <w:unhideWhenUsed/>
    <w:rsid w:val="00E35DDC"/>
    <w:rPr>
      <w:b/>
      <w:bCs/>
      <w:sz w:val="20"/>
    </w:rPr>
  </w:style>
  <w:style w:type="character" w:customStyle="1" w:styleId="CommentTextChar">
    <w:name w:val="Comment Text Char"/>
    <w:basedOn w:val="DefaultParagraphFont"/>
    <w:link w:val="CommentText"/>
    <w:semiHidden/>
    <w:rsid w:val="00E35DDC"/>
    <w:rPr>
      <w:rFonts w:ascii="Arial" w:hAnsi="Arial" w:cs="Arial"/>
      <w:sz w:val="18"/>
    </w:rPr>
  </w:style>
  <w:style w:type="character" w:customStyle="1" w:styleId="CommentSubjectChar">
    <w:name w:val="Comment Subject Char"/>
    <w:basedOn w:val="CommentTextChar"/>
    <w:link w:val="CommentSubject"/>
    <w:semiHidden/>
    <w:rsid w:val="00E35DDC"/>
    <w:rPr>
      <w:rFonts w:ascii="Arial" w:hAnsi="Arial" w:cs="Arial"/>
      <w:b/>
      <w:bCs/>
      <w:sz w:val="18"/>
    </w:rPr>
  </w:style>
  <w:style w:type="paragraph" w:styleId="BalloonText">
    <w:name w:val="Balloon Text"/>
    <w:basedOn w:val="Normal"/>
    <w:link w:val="BalloonTextChar"/>
    <w:semiHidden/>
    <w:unhideWhenUsed/>
    <w:rsid w:val="00E35DDC"/>
    <w:rPr>
      <w:rFonts w:ascii="Segoe UI" w:hAnsi="Segoe UI" w:cs="Segoe UI"/>
      <w:sz w:val="18"/>
      <w:szCs w:val="18"/>
    </w:rPr>
  </w:style>
  <w:style w:type="character" w:customStyle="1" w:styleId="BalloonTextChar">
    <w:name w:val="Balloon Text Char"/>
    <w:basedOn w:val="DefaultParagraphFont"/>
    <w:link w:val="BalloonText"/>
    <w:semiHidden/>
    <w:rsid w:val="00E35DDC"/>
    <w:rPr>
      <w:rFonts w:ascii="Segoe UI" w:hAnsi="Segoe UI" w:cs="Segoe UI"/>
      <w:sz w:val="18"/>
      <w:szCs w:val="18"/>
    </w:rPr>
  </w:style>
  <w:style w:type="paragraph" w:customStyle="1" w:styleId="Body1">
    <w:name w:val="Body 1"/>
    <w:uiPriority w:val="99"/>
    <w:rsid w:val="00A7612F"/>
    <w:pPr>
      <w:outlineLvl w:val="0"/>
    </w:pPr>
    <w:rPr>
      <w:rFonts w:eastAsia="Arial Unicode MS"/>
      <w:color w:val="000000"/>
      <w:sz w:val="24"/>
      <w:u w:color="000000"/>
      <w:lang w:eastAsia="en-US"/>
    </w:rPr>
  </w:style>
  <w:style w:type="character" w:styleId="Hyperlink">
    <w:name w:val="Hyperlink"/>
    <w:basedOn w:val="DefaultParagraphFont"/>
    <w:unhideWhenUsed/>
    <w:rsid w:val="00401A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igclilyclair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650F5-C488-43B8-8CE4-54A9BD9D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2064</Words>
  <Characters>11762</Characters>
  <Application>Microsoft Office Word</Application>
  <DocSecurity>0</DocSecurity>
  <Lines>317</Lines>
  <Paragraphs>86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MCCAULEY Tana</dc:creator>
  <cp:keywords>FOR OFFICIAL USE ONLY</cp:keywords>
  <dc:description/>
  <cp:lastModifiedBy>MORENO PALESTINI Maria del Pilar</cp:lastModifiedBy>
  <cp:revision>3</cp:revision>
  <dcterms:created xsi:type="dcterms:W3CDTF">2022-11-30T07:16:00Z</dcterms:created>
  <dcterms:modified xsi:type="dcterms:W3CDTF">2022-12-01T11:03:00Z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0b4f0429-1722-4f22-8b58-64e518b64ed0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