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405D3" w:rsidRDefault="00472A6E" w:rsidP="006239C7">
      <w:pPr>
        <w:pBdr>
          <w:bottom w:val="single" w:sz="4" w:space="11" w:color="auto"/>
        </w:pBdr>
        <w:spacing w:after="120"/>
        <w:ind w:right="-57"/>
        <w:jc w:val="right"/>
        <w:rPr>
          <w:lang w:val="es-419"/>
        </w:rPr>
      </w:pPr>
      <w:r w:rsidRPr="002405D3">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2405D3" w:rsidRDefault="006239C7" w:rsidP="00472A6E">
      <w:pPr>
        <w:jc w:val="right"/>
        <w:rPr>
          <w:rFonts w:ascii="Arial Black" w:hAnsi="Arial Black"/>
          <w:caps/>
          <w:sz w:val="15"/>
          <w:lang w:val="es-419"/>
        </w:rPr>
      </w:pPr>
      <w:r w:rsidRPr="002405D3">
        <w:rPr>
          <w:rFonts w:ascii="Arial Black" w:hAnsi="Arial Black"/>
          <w:caps/>
          <w:sz w:val="15"/>
          <w:lang w:val="es-419"/>
        </w:rPr>
        <w:t>WIPO/GRTKF/IC/46/</w:t>
      </w:r>
      <w:bookmarkStart w:id="0" w:name="Code"/>
      <w:bookmarkEnd w:id="0"/>
      <w:r w:rsidR="0050487D" w:rsidRPr="002405D3">
        <w:rPr>
          <w:rFonts w:ascii="Arial Black" w:hAnsi="Arial Black"/>
          <w:caps/>
          <w:sz w:val="15"/>
          <w:lang w:val="es-419"/>
        </w:rPr>
        <w:t>INF/7</w:t>
      </w:r>
    </w:p>
    <w:p w:rsidR="008B2CC1" w:rsidRPr="002405D3" w:rsidRDefault="00472A6E" w:rsidP="00472A6E">
      <w:pPr>
        <w:jc w:val="right"/>
        <w:rPr>
          <w:lang w:val="es-419"/>
        </w:rPr>
      </w:pPr>
      <w:r w:rsidRPr="002405D3">
        <w:rPr>
          <w:rFonts w:ascii="Arial Black" w:hAnsi="Arial Black"/>
          <w:caps/>
          <w:sz w:val="15"/>
          <w:lang w:val="es-419"/>
        </w:rPr>
        <w:t xml:space="preserve">ORIGINAL: </w:t>
      </w:r>
      <w:bookmarkStart w:id="1" w:name="Original"/>
      <w:r w:rsidR="0050487D" w:rsidRPr="002405D3">
        <w:rPr>
          <w:rFonts w:ascii="Arial Black" w:hAnsi="Arial Black"/>
          <w:caps/>
          <w:sz w:val="15"/>
          <w:lang w:val="es-419"/>
        </w:rPr>
        <w:t>INGLÉS</w:t>
      </w:r>
    </w:p>
    <w:bookmarkEnd w:id="1"/>
    <w:p w:rsidR="008B2CC1" w:rsidRPr="002405D3" w:rsidRDefault="00472A6E" w:rsidP="00472A6E">
      <w:pPr>
        <w:spacing w:after="1200"/>
        <w:jc w:val="right"/>
        <w:rPr>
          <w:lang w:val="es-419"/>
        </w:rPr>
      </w:pPr>
      <w:r w:rsidRPr="002405D3">
        <w:rPr>
          <w:rFonts w:ascii="Arial Black" w:hAnsi="Arial Black"/>
          <w:caps/>
          <w:sz w:val="15"/>
          <w:lang w:val="es-419"/>
        </w:rPr>
        <w:t xml:space="preserve">fecha: </w:t>
      </w:r>
      <w:bookmarkStart w:id="2" w:name="Date"/>
      <w:r w:rsidR="0050487D" w:rsidRPr="002405D3">
        <w:rPr>
          <w:rFonts w:ascii="Arial Black" w:hAnsi="Arial Black"/>
          <w:caps/>
          <w:sz w:val="15"/>
          <w:lang w:val="es-419"/>
        </w:rPr>
        <w:t>15 DE DICIEMBRE DE 2022</w:t>
      </w:r>
    </w:p>
    <w:p w:rsidR="00B67CDC" w:rsidRPr="002405D3" w:rsidRDefault="006239C7" w:rsidP="00472A6E">
      <w:pPr>
        <w:pStyle w:val="Heading1"/>
        <w:spacing w:before="0" w:after="480"/>
        <w:rPr>
          <w:sz w:val="28"/>
          <w:lang w:val="es-419"/>
        </w:rPr>
      </w:pPr>
      <w:bookmarkStart w:id="3" w:name="_Toc124942407"/>
      <w:bookmarkEnd w:id="2"/>
      <w:r w:rsidRPr="002405D3">
        <w:rPr>
          <w:caps w:val="0"/>
          <w:sz w:val="28"/>
          <w:lang w:val="es-419"/>
        </w:rPr>
        <w:t>Comité Intergubernamental sobre Propiedad Intelectual y Recursos Genéticos, Conocimientos Tradicionales y Folclore</w:t>
      </w:r>
      <w:bookmarkEnd w:id="3"/>
    </w:p>
    <w:p w:rsidR="005B2EAE" w:rsidRPr="002405D3" w:rsidRDefault="006239C7" w:rsidP="005B2EAE">
      <w:pPr>
        <w:outlineLvl w:val="1"/>
        <w:rPr>
          <w:b/>
          <w:sz w:val="24"/>
          <w:szCs w:val="24"/>
          <w:lang w:val="es-419"/>
        </w:rPr>
      </w:pPr>
      <w:bookmarkStart w:id="4" w:name="_Toc124942408"/>
      <w:r w:rsidRPr="002405D3">
        <w:rPr>
          <w:b/>
          <w:sz w:val="24"/>
          <w:szCs w:val="24"/>
          <w:lang w:val="es-419"/>
        </w:rPr>
        <w:t>Cuadragésima sexta sesión</w:t>
      </w:r>
      <w:bookmarkEnd w:id="4"/>
    </w:p>
    <w:p w:rsidR="00B67CDC" w:rsidRPr="002405D3" w:rsidRDefault="006239C7" w:rsidP="00472A6E">
      <w:pPr>
        <w:spacing w:after="720"/>
        <w:outlineLvl w:val="1"/>
        <w:rPr>
          <w:b/>
          <w:sz w:val="24"/>
          <w:szCs w:val="24"/>
          <w:lang w:val="es-419"/>
        </w:rPr>
      </w:pPr>
      <w:bookmarkStart w:id="5" w:name="_Toc124942409"/>
      <w:r w:rsidRPr="002405D3">
        <w:rPr>
          <w:b/>
          <w:sz w:val="24"/>
          <w:szCs w:val="24"/>
          <w:lang w:val="es-419"/>
        </w:rPr>
        <w:t>Ginebra, 27 de febrero a 3 de marzo de 2023</w:t>
      </w:r>
      <w:bookmarkEnd w:id="5"/>
    </w:p>
    <w:p w:rsidR="008B2CC1" w:rsidRPr="002405D3" w:rsidRDefault="0050487D" w:rsidP="00472A6E">
      <w:pPr>
        <w:spacing w:after="360"/>
        <w:rPr>
          <w:caps/>
          <w:sz w:val="24"/>
          <w:lang w:val="es-419"/>
        </w:rPr>
      </w:pPr>
      <w:bookmarkStart w:id="6" w:name="TitleOfDoc"/>
      <w:r w:rsidRPr="002405D3">
        <w:rPr>
          <w:caps/>
          <w:sz w:val="24"/>
          <w:lang w:val="es-419"/>
        </w:rPr>
        <w:t>Glosario de los términos más importantes relacionados con la propiedad intelectual y los recursos genéticos, los conocimientos tradicionales y las expresiones culturales tradicionales</w:t>
      </w:r>
    </w:p>
    <w:p w:rsidR="008B2CC1" w:rsidRPr="002405D3" w:rsidRDefault="0050487D" w:rsidP="00472A6E">
      <w:pPr>
        <w:spacing w:after="1040"/>
        <w:rPr>
          <w:i/>
          <w:lang w:val="es-419"/>
        </w:rPr>
      </w:pPr>
      <w:bookmarkStart w:id="7" w:name="Prepared"/>
      <w:bookmarkEnd w:id="6"/>
      <w:bookmarkEnd w:id="7"/>
      <w:r w:rsidRPr="002405D3">
        <w:rPr>
          <w:i/>
          <w:lang w:val="es-419"/>
        </w:rPr>
        <w:t>preparado por la Secretaría</w:t>
      </w:r>
    </w:p>
    <w:p w:rsidR="0050487D" w:rsidRPr="002405D3" w:rsidRDefault="0050487D" w:rsidP="0050487D">
      <w:pPr>
        <w:spacing w:after="220"/>
        <w:rPr>
          <w:b/>
          <w:lang w:val="es-419"/>
        </w:rPr>
      </w:pPr>
      <w:r w:rsidRPr="002405D3">
        <w:rPr>
          <w:b/>
          <w:lang w:val="es-419"/>
        </w:rPr>
        <w:t>INTRODUCCIÓN</w:t>
      </w:r>
    </w:p>
    <w:p w:rsidR="0050487D" w:rsidRPr="002405D3" w:rsidRDefault="0050487D" w:rsidP="0050487D">
      <w:pPr>
        <w:pStyle w:val="ONUMFS"/>
        <w:rPr>
          <w:lang w:val="es-419"/>
        </w:rPr>
      </w:pPr>
      <w:r w:rsidRPr="002405D3">
        <w:rPr>
          <w:lang w:val="es-419"/>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2405D3">
        <w:rPr>
          <w:rStyle w:val="FootnoteReference"/>
          <w:szCs w:val="22"/>
          <w:lang w:val="es-419"/>
        </w:rPr>
        <w:footnoteReference w:id="2"/>
      </w:r>
      <w:r w:rsidRPr="002405D3">
        <w:rPr>
          <w:lang w:val="es-419"/>
        </w:rPr>
        <w:t xml:space="preserve"> y los pusiera a disposición del CIG. </w:t>
      </w:r>
    </w:p>
    <w:p w:rsidR="0050487D" w:rsidRPr="002405D3" w:rsidRDefault="0050487D" w:rsidP="0050487D">
      <w:pPr>
        <w:pStyle w:val="ONUMFS"/>
        <w:rPr>
          <w:lang w:val="es-419"/>
        </w:rPr>
      </w:pPr>
      <w:r w:rsidRPr="002405D3">
        <w:rPr>
          <w:lang w:val="es-419"/>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w:t>
      </w:r>
      <w:r w:rsidRPr="002405D3">
        <w:rPr>
          <w:lang w:val="es-419"/>
        </w:rPr>
        <w:lastRenderedPageBreak/>
        <w:t>documento y a publicar el glosario consolidado en tanto que documento de información para la siguiente sesión del Comité.”</w:t>
      </w:r>
      <w:r w:rsidRPr="002405D3">
        <w:rPr>
          <w:rStyle w:val="FootnoteReference"/>
          <w:szCs w:val="22"/>
          <w:lang w:val="es-419"/>
        </w:rPr>
        <w:footnoteReference w:id="3"/>
      </w:r>
    </w:p>
    <w:p w:rsidR="0050487D" w:rsidRPr="002405D3" w:rsidRDefault="0050487D" w:rsidP="0050487D">
      <w:pPr>
        <w:pStyle w:val="ONUMFS"/>
        <w:rPr>
          <w:lang w:val="es-419"/>
        </w:rPr>
      </w:pPr>
      <w:r w:rsidRPr="002405D3">
        <w:rPr>
          <w:lang w:val="es-419"/>
        </w:rPr>
        <w:t xml:space="preserve">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 Se incluye un índice de términos para facilitar la consulta. </w:t>
      </w:r>
    </w:p>
    <w:p w:rsidR="0050487D" w:rsidRPr="002405D3" w:rsidRDefault="0050487D" w:rsidP="0050487D">
      <w:pPr>
        <w:pStyle w:val="ONUMFS"/>
        <w:rPr>
          <w:lang w:val="es-419"/>
        </w:rPr>
      </w:pPr>
      <w:r w:rsidRPr="002405D3">
        <w:rPr>
          <w:lang w:val="es-419"/>
        </w:rPr>
        <w:t xml:space="preserve">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rsidR="0050487D" w:rsidRPr="002405D3" w:rsidRDefault="0050487D" w:rsidP="0050487D">
      <w:pPr>
        <w:pStyle w:val="ONUMFS"/>
        <w:rPr>
          <w:lang w:val="es-419"/>
        </w:rPr>
      </w:pPr>
      <w:r w:rsidRPr="002405D3">
        <w:rPr>
          <w:lang w:val="es-419"/>
        </w:rPr>
        <w:t xml:space="preserve">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 </w:t>
      </w:r>
    </w:p>
    <w:p w:rsidR="0050487D" w:rsidRPr="002405D3" w:rsidRDefault="0050487D" w:rsidP="0050487D">
      <w:pPr>
        <w:pStyle w:val="ONUMFS"/>
        <w:tabs>
          <w:tab w:val="clear" w:pos="567"/>
        </w:tabs>
        <w:spacing w:after="600"/>
        <w:ind w:left="5528"/>
        <w:rPr>
          <w:i/>
          <w:lang w:val="es-419"/>
        </w:rPr>
      </w:pPr>
      <w:r w:rsidRPr="002405D3">
        <w:rPr>
          <w:i/>
          <w:lang w:val="es-419"/>
        </w:rPr>
        <w:t>Se invita al CIG a tomar nota del presente documento y de su Anexo.</w:t>
      </w:r>
    </w:p>
    <w:p w:rsidR="0050487D" w:rsidRPr="002405D3" w:rsidRDefault="0050487D" w:rsidP="0050487D">
      <w:pPr>
        <w:ind w:left="5528"/>
        <w:rPr>
          <w:szCs w:val="22"/>
          <w:lang w:val="es-419"/>
        </w:rPr>
      </w:pPr>
      <w:r w:rsidRPr="002405D3">
        <w:rPr>
          <w:lang w:val="es-419"/>
        </w:rPr>
        <w:t>[Sigue el Anexo]</w:t>
      </w:r>
    </w:p>
    <w:p w:rsidR="0050487D" w:rsidRPr="002405D3" w:rsidRDefault="0050487D" w:rsidP="0050487D">
      <w:pPr>
        <w:spacing w:before="600"/>
        <w:rPr>
          <w:szCs w:val="22"/>
          <w:lang w:val="es-419"/>
        </w:rPr>
        <w:sectPr w:rsidR="0050487D" w:rsidRPr="002405D3" w:rsidSect="003233B9">
          <w:headerReference w:type="default" r:id="rId9"/>
          <w:endnotePr>
            <w:numFmt w:val="decimal"/>
          </w:endnotePr>
          <w:pgSz w:w="11907" w:h="16840" w:code="9"/>
          <w:pgMar w:top="567" w:right="1134" w:bottom="1418" w:left="1418" w:header="510" w:footer="1021" w:gutter="0"/>
          <w:cols w:space="720"/>
          <w:titlePg/>
          <w:docGrid w:linePitch="299"/>
        </w:sectPr>
      </w:pPr>
    </w:p>
    <w:p w:rsidR="0050487D" w:rsidRPr="002405D3" w:rsidRDefault="0050487D" w:rsidP="0050487D">
      <w:pPr>
        <w:rPr>
          <w:lang w:val="es-419"/>
        </w:rPr>
      </w:pPr>
      <w:r w:rsidRPr="002405D3">
        <w:rPr>
          <w:lang w:val="es-419"/>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419" w:eastAsia="zh-CN"/>
        </w:rPr>
        <w:id w:val="-303618145"/>
        <w:docPartObj>
          <w:docPartGallery w:val="Table of Contents"/>
          <w:docPartUnique/>
        </w:docPartObj>
      </w:sdtPr>
      <w:sdtEndPr>
        <w:rPr>
          <w:b/>
          <w:bCs/>
          <w:noProof/>
        </w:rPr>
      </w:sdtEndPr>
      <w:sdtContent>
        <w:p w:rsidR="00244683" w:rsidRPr="002405D3" w:rsidRDefault="0050487D" w:rsidP="00244683">
          <w:pPr>
            <w:pStyle w:val="TOCHeading"/>
            <w:spacing w:before="0" w:line="240" w:lineRule="auto"/>
            <w:rPr>
              <w:rFonts w:ascii="Arial" w:hAnsi="Arial" w:cs="Arial"/>
              <w:noProof/>
              <w:sz w:val="22"/>
              <w:szCs w:val="22"/>
              <w:lang w:val="es-419"/>
            </w:rPr>
          </w:pPr>
          <w:r w:rsidRPr="002405D3">
            <w:rPr>
              <w:b/>
              <w:lang w:val="es-419"/>
            </w:rPr>
            <w:fldChar w:fldCharType="begin"/>
          </w:r>
          <w:r w:rsidRPr="002405D3">
            <w:rPr>
              <w:b/>
              <w:lang w:val="es-419"/>
            </w:rPr>
            <w:instrText xml:space="preserve"> TOC \o "1-3" \h \z \u </w:instrText>
          </w:r>
          <w:r w:rsidRPr="002405D3">
            <w:rPr>
              <w:b/>
              <w:lang w:val="es-419"/>
            </w:rPr>
            <w:fldChar w:fldCharType="separate"/>
          </w:r>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0" w:history="1">
            <w:r w:rsidRPr="002405D3">
              <w:rPr>
                <w:rStyle w:val="Hyperlink"/>
                <w:noProof/>
                <w:lang w:val="es-419"/>
              </w:rPr>
              <w:t>Acceso y participación en los beneficios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_Toc124942410 \h </w:instrText>
            </w:r>
            <w:r w:rsidRPr="002405D3">
              <w:rPr>
                <w:noProof/>
                <w:webHidden/>
                <w:lang w:val="es-419"/>
              </w:rPr>
            </w:r>
            <w:r w:rsidRPr="002405D3">
              <w:rPr>
                <w:noProof/>
                <w:webHidden/>
                <w:lang w:val="es-419"/>
              </w:rPr>
              <w:fldChar w:fldCharType="separate"/>
            </w:r>
            <w:r w:rsidR="008F5FB5">
              <w:rPr>
                <w:noProof/>
                <w:webHidden/>
                <w:lang w:val="es-419"/>
              </w:rPr>
              <w:t>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1" w:history="1">
            <w:r w:rsidRPr="002405D3">
              <w:rPr>
                <w:rStyle w:val="Hyperlink"/>
                <w:noProof/>
                <w:lang w:val="es-419"/>
              </w:rPr>
              <w:t>Adaptación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_Toc124942411 \h </w:instrText>
            </w:r>
            <w:r w:rsidRPr="002405D3">
              <w:rPr>
                <w:noProof/>
                <w:webHidden/>
                <w:lang w:val="es-419"/>
              </w:rPr>
            </w:r>
            <w:r w:rsidRPr="002405D3">
              <w:rPr>
                <w:noProof/>
                <w:webHidden/>
                <w:lang w:val="es-419"/>
              </w:rPr>
              <w:fldChar w:fldCharType="separate"/>
            </w:r>
            <w:r w:rsidR="008F5FB5">
              <w:rPr>
                <w:noProof/>
                <w:webHidden/>
                <w:lang w:val="es-419"/>
              </w:rPr>
              <w:t>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2" w:history="1">
            <w:r w:rsidRPr="002405D3">
              <w:rPr>
                <w:rStyle w:val="Hyperlink"/>
                <w:noProof/>
                <w:lang w:val="es-419"/>
              </w:rPr>
              <w:t>Solución extrajudicial de controversias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_Toc124942412 \h </w:instrText>
            </w:r>
            <w:r w:rsidRPr="002405D3">
              <w:rPr>
                <w:noProof/>
                <w:webHidden/>
                <w:lang w:val="es-419"/>
              </w:rPr>
            </w:r>
            <w:r w:rsidRPr="002405D3">
              <w:rPr>
                <w:noProof/>
                <w:webHidden/>
                <w:lang w:val="es-419"/>
              </w:rPr>
              <w:fldChar w:fldCharType="separate"/>
            </w:r>
            <w:r w:rsidR="008F5FB5">
              <w:rPr>
                <w:noProof/>
                <w:webHidden/>
                <w:lang w:val="es-419"/>
              </w:rPr>
              <w:t>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3" w:history="1">
            <w:r w:rsidRPr="002405D3">
              <w:rPr>
                <w:rStyle w:val="Hyperlink"/>
                <w:noProof/>
                <w:lang w:val="es-419"/>
              </w:rPr>
              <w:t>Aprobación y participación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_Toc124942413 \h </w:instrText>
            </w:r>
            <w:r w:rsidRPr="002405D3">
              <w:rPr>
                <w:noProof/>
                <w:webHidden/>
                <w:lang w:val="es-419"/>
              </w:rPr>
            </w:r>
            <w:r w:rsidRPr="002405D3">
              <w:rPr>
                <w:noProof/>
                <w:webHidden/>
                <w:lang w:val="es-419"/>
              </w:rPr>
              <w:fldChar w:fldCharType="separate"/>
            </w:r>
            <w:r w:rsidR="008F5FB5">
              <w:rPr>
                <w:noProof/>
                <w:webHidden/>
                <w:lang w:val="es-419"/>
              </w:rPr>
              <w:t>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4" w:history="1">
            <w:r w:rsidRPr="002405D3">
              <w:rPr>
                <w:rStyle w:val="Hyperlink"/>
                <w:noProof/>
                <w:lang w:val="es-419"/>
              </w:rPr>
              <w:t>Beneficiarios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_Toc124942414 \h </w:instrText>
            </w:r>
            <w:r w:rsidRPr="002405D3">
              <w:rPr>
                <w:noProof/>
                <w:webHidden/>
                <w:lang w:val="es-419"/>
              </w:rPr>
            </w:r>
            <w:r w:rsidRPr="002405D3">
              <w:rPr>
                <w:noProof/>
                <w:webHidden/>
                <w:lang w:val="es-419"/>
              </w:rPr>
              <w:fldChar w:fldCharType="separate"/>
            </w:r>
            <w:r w:rsidR="008F5FB5">
              <w:rPr>
                <w:noProof/>
                <w:webHidden/>
                <w:lang w:val="es-419"/>
              </w:rPr>
              <w:t>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5" w:history="1">
            <w:r w:rsidRPr="002405D3">
              <w:rPr>
                <w:rStyle w:val="Hyperlink"/>
                <w:noProof/>
                <w:lang w:val="es-419"/>
              </w:rPr>
              <w:t>Diversidad biológica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_Toc124942415 \h </w:instrText>
            </w:r>
            <w:r w:rsidRPr="002405D3">
              <w:rPr>
                <w:noProof/>
                <w:webHidden/>
                <w:lang w:val="es-419"/>
              </w:rPr>
            </w:r>
            <w:r w:rsidRPr="002405D3">
              <w:rPr>
                <w:noProof/>
                <w:webHidden/>
                <w:lang w:val="es-419"/>
              </w:rPr>
              <w:fldChar w:fldCharType="separate"/>
            </w:r>
            <w:r w:rsidR="008F5FB5">
              <w:rPr>
                <w:noProof/>
                <w:webHidden/>
                <w:lang w:val="es-419"/>
              </w:rPr>
              <w:t>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6" w:history="1">
            <w:r w:rsidRPr="002405D3">
              <w:rPr>
                <w:rStyle w:val="Hyperlink"/>
                <w:noProof/>
                <w:lang w:val="es-419"/>
              </w:rPr>
              <w:t>Recursos biológicos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_Toc124942416 \h </w:instrText>
            </w:r>
            <w:r w:rsidRPr="002405D3">
              <w:rPr>
                <w:noProof/>
                <w:webHidden/>
                <w:lang w:val="es-419"/>
              </w:rPr>
            </w:r>
            <w:r w:rsidRPr="002405D3">
              <w:rPr>
                <w:noProof/>
                <w:webHidden/>
                <w:lang w:val="es-419"/>
              </w:rPr>
              <w:fldChar w:fldCharType="separate"/>
            </w:r>
            <w:r w:rsidR="008F5FB5">
              <w:rPr>
                <w:noProof/>
                <w:webHidden/>
                <w:lang w:val="es-419"/>
              </w:rPr>
              <w:t>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7" w:history="1">
            <w:r w:rsidRPr="002405D3">
              <w:rPr>
                <w:rStyle w:val="Hyperlink"/>
                <w:noProof/>
                <w:lang w:val="es-419"/>
              </w:rPr>
              <w:t>Invenciones biotecnológicas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_Toc124942417 \h </w:instrText>
            </w:r>
            <w:r w:rsidRPr="002405D3">
              <w:rPr>
                <w:noProof/>
                <w:webHidden/>
                <w:lang w:val="es-419"/>
              </w:rPr>
            </w:r>
            <w:r w:rsidRPr="002405D3">
              <w:rPr>
                <w:noProof/>
                <w:webHidden/>
                <w:lang w:val="es-419"/>
              </w:rPr>
              <w:fldChar w:fldCharType="separate"/>
            </w:r>
            <w:r w:rsidR="008F5FB5">
              <w:rPr>
                <w:noProof/>
                <w:webHidden/>
                <w:lang w:val="es-419"/>
              </w:rPr>
              <w:t>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8" w:history="1">
            <w:r w:rsidRPr="002405D3">
              <w:rPr>
                <w:rStyle w:val="Hyperlink"/>
                <w:noProof/>
                <w:lang w:val="es-419"/>
              </w:rPr>
              <w:t>Biotecnología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_Toc124942418 \h </w:instrText>
            </w:r>
            <w:r w:rsidRPr="002405D3">
              <w:rPr>
                <w:noProof/>
                <w:webHidden/>
                <w:lang w:val="es-419"/>
              </w:rPr>
            </w:r>
            <w:r w:rsidRPr="002405D3">
              <w:rPr>
                <w:noProof/>
                <w:webHidden/>
                <w:lang w:val="es-419"/>
              </w:rPr>
              <w:fldChar w:fldCharType="separate"/>
            </w:r>
            <w:r w:rsidR="008F5FB5">
              <w:rPr>
                <w:noProof/>
                <w:webHidden/>
                <w:lang w:val="es-419"/>
              </w:rPr>
              <w:t>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9" w:history="1">
            <w:r w:rsidRPr="002405D3">
              <w:rPr>
                <w:rStyle w:val="Hyperlink"/>
                <w:noProof/>
                <w:lang w:val="es-419"/>
              </w:rPr>
              <w:t>Directrices de Bonn sobre el Acceso a los Recursos Genéticos y la Participación Justa y Equitativa en los Beneficios Provenientes de su Utilización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_Toc124942419 \h </w:instrText>
            </w:r>
            <w:r w:rsidRPr="002405D3">
              <w:rPr>
                <w:noProof/>
                <w:webHidden/>
                <w:lang w:val="es-419"/>
              </w:rPr>
            </w:r>
            <w:r w:rsidRPr="002405D3">
              <w:rPr>
                <w:noProof/>
                <w:webHidden/>
                <w:lang w:val="es-419"/>
              </w:rPr>
              <w:fldChar w:fldCharType="separate"/>
            </w:r>
            <w:r w:rsidR="008F5FB5">
              <w:rPr>
                <w:noProof/>
                <w:webHidden/>
                <w:lang w:val="es-419"/>
              </w:rPr>
              <w:t>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0" w:history="1">
            <w:r w:rsidRPr="002405D3">
              <w:rPr>
                <w:rStyle w:val="Hyperlink"/>
                <w:noProof/>
                <w:lang w:val="es-419"/>
              </w:rPr>
              <w:t>Mecanismo de facilitación del Convenio sobre la Diversidad Biológica (CDB)</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_Toc124942420 \h </w:instrText>
            </w:r>
            <w:r w:rsidRPr="002405D3">
              <w:rPr>
                <w:noProof/>
                <w:webHidden/>
                <w:lang w:val="es-419"/>
              </w:rPr>
            </w:r>
            <w:r w:rsidRPr="002405D3">
              <w:rPr>
                <w:noProof/>
                <w:webHidden/>
                <w:lang w:val="es-419"/>
              </w:rPr>
              <w:fldChar w:fldCharType="separate"/>
            </w:r>
            <w:r w:rsidR="008F5FB5">
              <w:rPr>
                <w:noProof/>
                <w:webHidden/>
                <w:lang w:val="es-419"/>
              </w:rPr>
              <w:t>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1" w:history="1">
            <w:r w:rsidRPr="002405D3">
              <w:rPr>
                <w:rStyle w:val="Hyperlink"/>
                <w:noProof/>
                <w:lang w:val="es-419"/>
              </w:rPr>
              <w:t>Conocimientos tradicionales codificados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_Toc124942421 \h </w:instrText>
            </w:r>
            <w:r w:rsidRPr="002405D3">
              <w:rPr>
                <w:noProof/>
                <w:webHidden/>
                <w:lang w:val="es-419"/>
              </w:rPr>
            </w:r>
            <w:r w:rsidRPr="002405D3">
              <w:rPr>
                <w:noProof/>
                <w:webHidden/>
                <w:lang w:val="es-419"/>
              </w:rPr>
              <w:fldChar w:fldCharType="separate"/>
            </w:r>
            <w:r w:rsidR="008F5FB5">
              <w:rPr>
                <w:noProof/>
                <w:webHidden/>
                <w:lang w:val="es-419"/>
              </w:rPr>
              <w:t>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2" w:history="1">
            <w:r w:rsidRPr="002405D3">
              <w:rPr>
                <w:rStyle w:val="Hyperlink"/>
                <w:noProof/>
                <w:lang w:val="es-419"/>
              </w:rPr>
              <w:t>Consulta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_Toc124942422 \h </w:instrText>
            </w:r>
            <w:r w:rsidRPr="002405D3">
              <w:rPr>
                <w:noProof/>
                <w:webHidden/>
                <w:lang w:val="es-419"/>
              </w:rPr>
            </w:r>
            <w:r w:rsidRPr="002405D3">
              <w:rPr>
                <w:noProof/>
                <w:webHidden/>
                <w:lang w:val="es-419"/>
              </w:rPr>
              <w:fldChar w:fldCharType="separate"/>
            </w:r>
            <w:r w:rsidR="008F5FB5">
              <w:rPr>
                <w:noProof/>
                <w:webHidden/>
                <w:lang w:val="es-419"/>
              </w:rPr>
              <w:t>10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3" w:history="1">
            <w:r w:rsidRPr="002405D3">
              <w:rPr>
                <w:rStyle w:val="Hyperlink"/>
                <w:noProof/>
                <w:lang w:val="es-419"/>
              </w:rPr>
              <w:t>Convenio sobre la Diversidad Biológica (CDB)</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_Toc124942423 \h </w:instrText>
            </w:r>
            <w:r w:rsidRPr="002405D3">
              <w:rPr>
                <w:noProof/>
                <w:webHidden/>
                <w:lang w:val="es-419"/>
              </w:rPr>
            </w:r>
            <w:r w:rsidRPr="002405D3">
              <w:rPr>
                <w:noProof/>
                <w:webHidden/>
                <w:lang w:val="es-419"/>
              </w:rPr>
              <w:fldChar w:fldCharType="separate"/>
            </w:r>
            <w:r w:rsidR="008F5FB5">
              <w:rPr>
                <w:noProof/>
                <w:webHidden/>
                <w:lang w:val="es-419"/>
              </w:rPr>
              <w:t>10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4" w:history="1">
            <w:r w:rsidRPr="002405D3">
              <w:rPr>
                <w:rStyle w:val="Hyperlink"/>
                <w:noProof/>
                <w:lang w:val="es-419"/>
              </w:rPr>
              <w:t>País de origen de los recursos genéticos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_Toc124942424 \h </w:instrText>
            </w:r>
            <w:r w:rsidRPr="002405D3">
              <w:rPr>
                <w:noProof/>
                <w:webHidden/>
                <w:lang w:val="es-419"/>
              </w:rPr>
            </w:r>
            <w:r w:rsidRPr="002405D3">
              <w:rPr>
                <w:noProof/>
                <w:webHidden/>
                <w:lang w:val="es-419"/>
              </w:rPr>
              <w:fldChar w:fldCharType="separate"/>
            </w:r>
            <w:r w:rsidR="008F5FB5">
              <w:rPr>
                <w:noProof/>
                <w:webHidden/>
                <w:lang w:val="es-419"/>
              </w:rPr>
              <w:t>10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5" w:history="1">
            <w:r w:rsidRPr="002405D3">
              <w:rPr>
                <w:rStyle w:val="Hyperlink"/>
                <w:noProof/>
                <w:lang w:val="es-419"/>
              </w:rPr>
              <w:t>País que aporta recursos genéticos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_Toc124942425 \h </w:instrText>
            </w:r>
            <w:r w:rsidRPr="002405D3">
              <w:rPr>
                <w:noProof/>
                <w:webHidden/>
                <w:lang w:val="es-419"/>
              </w:rPr>
            </w:r>
            <w:r w:rsidRPr="002405D3">
              <w:rPr>
                <w:noProof/>
                <w:webHidden/>
                <w:lang w:val="es-419"/>
              </w:rPr>
              <w:fldChar w:fldCharType="separate"/>
            </w:r>
            <w:r w:rsidR="008F5FB5">
              <w:rPr>
                <w:noProof/>
                <w:webHidden/>
                <w:lang w:val="es-419"/>
              </w:rPr>
              <w:t>10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6" w:history="1">
            <w:r w:rsidRPr="002405D3">
              <w:rPr>
                <w:rStyle w:val="Hyperlink"/>
                <w:noProof/>
                <w:lang w:val="es-419"/>
              </w:rPr>
              <w:t>Comunidad cultural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_Toc124942426 \h </w:instrText>
            </w:r>
            <w:r w:rsidRPr="002405D3">
              <w:rPr>
                <w:noProof/>
                <w:webHidden/>
                <w:lang w:val="es-419"/>
              </w:rPr>
            </w:r>
            <w:r w:rsidRPr="002405D3">
              <w:rPr>
                <w:noProof/>
                <w:webHidden/>
                <w:lang w:val="es-419"/>
              </w:rPr>
              <w:fldChar w:fldCharType="separate"/>
            </w:r>
            <w:r w:rsidR="008F5FB5">
              <w:rPr>
                <w:noProof/>
                <w:webHidden/>
                <w:lang w:val="es-419"/>
              </w:rPr>
              <w:t>11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7" w:history="1">
            <w:r w:rsidRPr="002405D3">
              <w:rPr>
                <w:rStyle w:val="Hyperlink"/>
                <w:noProof/>
                <w:lang w:val="es-419"/>
              </w:rPr>
              <w:t>Diversidad cultural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_Toc124942427 \h </w:instrText>
            </w:r>
            <w:r w:rsidRPr="002405D3">
              <w:rPr>
                <w:noProof/>
                <w:webHidden/>
                <w:lang w:val="es-419"/>
              </w:rPr>
            </w:r>
            <w:r w:rsidRPr="002405D3">
              <w:rPr>
                <w:noProof/>
                <w:webHidden/>
                <w:lang w:val="es-419"/>
              </w:rPr>
              <w:fldChar w:fldCharType="separate"/>
            </w:r>
            <w:r w:rsidR="008F5FB5">
              <w:rPr>
                <w:noProof/>
                <w:webHidden/>
                <w:lang w:val="es-419"/>
              </w:rPr>
              <w:t>11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8" w:history="1">
            <w:r w:rsidRPr="002405D3">
              <w:rPr>
                <w:rStyle w:val="Hyperlink"/>
                <w:noProof/>
                <w:lang w:val="es-419"/>
              </w:rPr>
              <w:t>Expresiones culturales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_Toc124942428 \h </w:instrText>
            </w:r>
            <w:r w:rsidRPr="002405D3">
              <w:rPr>
                <w:noProof/>
                <w:webHidden/>
                <w:lang w:val="es-419"/>
              </w:rPr>
            </w:r>
            <w:r w:rsidRPr="002405D3">
              <w:rPr>
                <w:noProof/>
                <w:webHidden/>
                <w:lang w:val="es-419"/>
              </w:rPr>
              <w:fldChar w:fldCharType="separate"/>
            </w:r>
            <w:r w:rsidR="008F5FB5">
              <w:rPr>
                <w:noProof/>
                <w:webHidden/>
                <w:lang w:val="es-419"/>
              </w:rPr>
              <w:t>11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9" w:history="1">
            <w:r w:rsidRPr="002405D3">
              <w:rPr>
                <w:rStyle w:val="Hyperlink"/>
                <w:noProof/>
                <w:lang w:val="es-419"/>
              </w:rPr>
              <w:t>Patrimonio cultural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_Toc124942429 \h </w:instrText>
            </w:r>
            <w:r w:rsidRPr="002405D3">
              <w:rPr>
                <w:noProof/>
                <w:webHidden/>
                <w:lang w:val="es-419"/>
              </w:rPr>
            </w:r>
            <w:r w:rsidRPr="002405D3">
              <w:rPr>
                <w:noProof/>
                <w:webHidden/>
                <w:lang w:val="es-419"/>
              </w:rPr>
              <w:fldChar w:fldCharType="separate"/>
            </w:r>
            <w:r w:rsidR="008F5FB5">
              <w:rPr>
                <w:noProof/>
                <w:webHidden/>
                <w:lang w:val="es-419"/>
              </w:rPr>
              <w:t>11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0" w:history="1">
            <w:r w:rsidRPr="002405D3">
              <w:rPr>
                <w:rStyle w:val="Hyperlink"/>
                <w:noProof/>
                <w:lang w:val="es-419"/>
              </w:rPr>
              <w:t>Identidad cultural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_Toc124942430 \h </w:instrText>
            </w:r>
            <w:r w:rsidRPr="002405D3">
              <w:rPr>
                <w:noProof/>
                <w:webHidden/>
                <w:lang w:val="es-419"/>
              </w:rPr>
            </w:r>
            <w:r w:rsidRPr="002405D3">
              <w:rPr>
                <w:noProof/>
                <w:webHidden/>
                <w:lang w:val="es-419"/>
              </w:rPr>
              <w:fldChar w:fldCharType="separate"/>
            </w:r>
            <w:r w:rsidR="008F5FB5">
              <w:rPr>
                <w:noProof/>
                <w:webHidden/>
                <w:lang w:val="es-419"/>
              </w:rPr>
              <w:t>11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1" w:history="1">
            <w:r w:rsidRPr="002405D3">
              <w:rPr>
                <w:rStyle w:val="Hyperlink"/>
                <w:noProof/>
                <w:lang w:val="es-419"/>
              </w:rPr>
              <w:t>Bienes culturales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_Toc124942431 \h </w:instrText>
            </w:r>
            <w:r w:rsidRPr="002405D3">
              <w:rPr>
                <w:noProof/>
                <w:webHidden/>
                <w:lang w:val="es-419"/>
              </w:rPr>
            </w:r>
            <w:r w:rsidRPr="002405D3">
              <w:rPr>
                <w:noProof/>
                <w:webHidden/>
                <w:lang w:val="es-419"/>
              </w:rPr>
              <w:fldChar w:fldCharType="separate"/>
            </w:r>
            <w:r w:rsidR="008F5FB5">
              <w:rPr>
                <w:noProof/>
                <w:webHidden/>
                <w:lang w:val="es-419"/>
              </w:rPr>
              <w:t>12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2" w:history="1">
            <w:r w:rsidRPr="002405D3">
              <w:rPr>
                <w:rStyle w:val="Hyperlink"/>
                <w:noProof/>
                <w:lang w:val="es-419"/>
              </w:rPr>
              <w:t>Custodio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_Toc124942432 \h </w:instrText>
            </w:r>
            <w:r w:rsidRPr="002405D3">
              <w:rPr>
                <w:noProof/>
                <w:webHidden/>
                <w:lang w:val="es-419"/>
              </w:rPr>
            </w:r>
            <w:r w:rsidRPr="002405D3">
              <w:rPr>
                <w:noProof/>
                <w:webHidden/>
                <w:lang w:val="es-419"/>
              </w:rPr>
              <w:fldChar w:fldCharType="separate"/>
            </w:r>
            <w:r w:rsidR="008F5FB5">
              <w:rPr>
                <w:noProof/>
                <w:webHidden/>
                <w:lang w:val="es-419"/>
              </w:rPr>
              <w:t>12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3" w:history="1">
            <w:r w:rsidRPr="002405D3">
              <w:rPr>
                <w:rStyle w:val="Hyperlink"/>
                <w:noProof/>
                <w:lang w:val="es-419"/>
              </w:rPr>
              <w:t>Contexto consuetudinario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_Toc124942433 \h </w:instrText>
            </w:r>
            <w:r w:rsidRPr="002405D3">
              <w:rPr>
                <w:noProof/>
                <w:webHidden/>
                <w:lang w:val="es-419"/>
              </w:rPr>
            </w:r>
            <w:r w:rsidRPr="002405D3">
              <w:rPr>
                <w:noProof/>
                <w:webHidden/>
                <w:lang w:val="es-419"/>
              </w:rPr>
              <w:fldChar w:fldCharType="separate"/>
            </w:r>
            <w:r w:rsidR="008F5FB5">
              <w:rPr>
                <w:noProof/>
                <w:webHidden/>
                <w:lang w:val="es-419"/>
              </w:rPr>
              <w:t>12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4" w:history="1">
            <w:r w:rsidRPr="002405D3">
              <w:rPr>
                <w:rStyle w:val="Hyperlink"/>
                <w:noProof/>
                <w:lang w:val="es-419"/>
              </w:rPr>
              <w:t>Derecho y protocolos consuetudinarios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_Toc124942434 \h </w:instrText>
            </w:r>
            <w:r w:rsidRPr="002405D3">
              <w:rPr>
                <w:noProof/>
                <w:webHidden/>
                <w:lang w:val="es-419"/>
              </w:rPr>
            </w:r>
            <w:r w:rsidRPr="002405D3">
              <w:rPr>
                <w:noProof/>
                <w:webHidden/>
                <w:lang w:val="es-419"/>
              </w:rPr>
              <w:fldChar w:fldCharType="separate"/>
            </w:r>
            <w:r w:rsidR="008F5FB5">
              <w:rPr>
                <w:noProof/>
                <w:webHidden/>
                <w:lang w:val="es-419"/>
              </w:rPr>
              <w:t>13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5" w:history="1">
            <w:r w:rsidRPr="002405D3">
              <w:rPr>
                <w:rStyle w:val="Hyperlink"/>
                <w:noProof/>
                <w:lang w:val="es-419"/>
              </w:rPr>
              <w:t>Prácticas consuetudinarias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_Toc124942435 \h </w:instrText>
            </w:r>
            <w:r w:rsidRPr="002405D3">
              <w:rPr>
                <w:noProof/>
                <w:webHidden/>
                <w:lang w:val="es-419"/>
              </w:rPr>
            </w:r>
            <w:r w:rsidRPr="002405D3">
              <w:rPr>
                <w:noProof/>
                <w:webHidden/>
                <w:lang w:val="es-419"/>
              </w:rPr>
              <w:fldChar w:fldCharType="separate"/>
            </w:r>
            <w:r w:rsidR="008F5FB5">
              <w:rPr>
                <w:noProof/>
                <w:webHidden/>
                <w:lang w:val="es-419"/>
              </w:rPr>
              <w:t>13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6" w:history="1">
            <w:r w:rsidRPr="002405D3">
              <w:rPr>
                <w:rStyle w:val="Hyperlink"/>
                <w:noProof/>
                <w:lang w:val="es-419"/>
              </w:rPr>
              <w:t>Base de datos de los acuerdos de acceso y de participación en los beneficios relacionados con la biodiversidad</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_Toc124942436 \h </w:instrText>
            </w:r>
            <w:r w:rsidRPr="002405D3">
              <w:rPr>
                <w:noProof/>
                <w:webHidden/>
                <w:lang w:val="es-419"/>
              </w:rPr>
            </w:r>
            <w:r w:rsidRPr="002405D3">
              <w:rPr>
                <w:noProof/>
                <w:webHidden/>
                <w:lang w:val="es-419"/>
              </w:rPr>
              <w:fldChar w:fldCharType="separate"/>
            </w:r>
            <w:r w:rsidR="008F5FB5">
              <w:rPr>
                <w:noProof/>
                <w:webHidden/>
                <w:lang w:val="es-419"/>
              </w:rPr>
              <w:t>14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7" w:history="1">
            <w:r w:rsidRPr="002405D3">
              <w:rPr>
                <w:rStyle w:val="Hyperlink"/>
                <w:noProof/>
                <w:lang w:val="es-419"/>
              </w:rPr>
              <w:t>Derivado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_Toc124942437 \h </w:instrText>
            </w:r>
            <w:r w:rsidRPr="002405D3">
              <w:rPr>
                <w:noProof/>
                <w:webHidden/>
                <w:lang w:val="es-419"/>
              </w:rPr>
            </w:r>
            <w:r w:rsidRPr="002405D3">
              <w:rPr>
                <w:noProof/>
                <w:webHidden/>
                <w:lang w:val="es-419"/>
              </w:rPr>
              <w:fldChar w:fldCharType="separate"/>
            </w:r>
            <w:r w:rsidR="008F5FB5">
              <w:rPr>
                <w:noProof/>
                <w:webHidden/>
                <w:lang w:val="es-419"/>
              </w:rPr>
              <w:t>14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8" w:history="1">
            <w:r w:rsidRPr="002405D3">
              <w:rPr>
                <w:rStyle w:val="Hyperlink"/>
                <w:noProof/>
                <w:lang w:val="es-419"/>
              </w:rPr>
              <w:t>Conocimientos tradicionales divulgados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_Toc124942438 \h </w:instrText>
            </w:r>
            <w:r w:rsidRPr="002405D3">
              <w:rPr>
                <w:noProof/>
                <w:webHidden/>
                <w:lang w:val="es-419"/>
              </w:rPr>
            </w:r>
            <w:r w:rsidRPr="002405D3">
              <w:rPr>
                <w:noProof/>
                <w:webHidden/>
                <w:lang w:val="es-419"/>
              </w:rPr>
              <w:fldChar w:fldCharType="separate"/>
            </w:r>
            <w:r w:rsidR="008F5FB5">
              <w:rPr>
                <w:noProof/>
                <w:webHidden/>
                <w:lang w:val="es-419"/>
              </w:rPr>
              <w:t>15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9" w:history="1">
            <w:r w:rsidRPr="002405D3">
              <w:rPr>
                <w:rStyle w:val="Hyperlink"/>
                <w:noProof/>
                <w:lang w:val="es-419"/>
              </w:rPr>
              <w:t>Divulgación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_Toc124942439 \h </w:instrText>
            </w:r>
            <w:r w:rsidRPr="002405D3">
              <w:rPr>
                <w:noProof/>
                <w:webHidden/>
                <w:lang w:val="es-419"/>
              </w:rPr>
            </w:r>
            <w:r w:rsidRPr="002405D3">
              <w:rPr>
                <w:noProof/>
                <w:webHidden/>
                <w:lang w:val="es-419"/>
              </w:rPr>
              <w:fldChar w:fldCharType="separate"/>
            </w:r>
            <w:r w:rsidR="008F5FB5">
              <w:rPr>
                <w:noProof/>
                <w:webHidden/>
                <w:lang w:val="es-419"/>
              </w:rPr>
              <w:t>15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0" w:history="1">
            <w:r w:rsidRPr="002405D3">
              <w:rPr>
                <w:rStyle w:val="Hyperlink"/>
                <w:noProof/>
                <w:lang w:val="es-419"/>
              </w:rPr>
              <w:t>Requisitos de divulgación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_Toc124942440 \h </w:instrText>
            </w:r>
            <w:r w:rsidRPr="002405D3">
              <w:rPr>
                <w:noProof/>
                <w:webHidden/>
                <w:lang w:val="es-419"/>
              </w:rPr>
            </w:r>
            <w:r w:rsidRPr="002405D3">
              <w:rPr>
                <w:noProof/>
                <w:webHidden/>
                <w:lang w:val="es-419"/>
              </w:rPr>
              <w:fldChar w:fldCharType="separate"/>
            </w:r>
            <w:r w:rsidR="008F5FB5">
              <w:rPr>
                <w:noProof/>
                <w:webHidden/>
                <w:lang w:val="es-419"/>
              </w:rPr>
              <w:t>16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1" w:history="1">
            <w:r w:rsidRPr="002405D3">
              <w:rPr>
                <w:rStyle w:val="Hyperlink"/>
                <w:noProof/>
                <w:lang w:val="es-419"/>
              </w:rPr>
              <w:t>Catalogación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_Toc124942441 \h </w:instrText>
            </w:r>
            <w:r w:rsidRPr="002405D3">
              <w:rPr>
                <w:noProof/>
                <w:webHidden/>
                <w:lang w:val="es-419"/>
              </w:rPr>
            </w:r>
            <w:r w:rsidRPr="002405D3">
              <w:rPr>
                <w:noProof/>
                <w:webHidden/>
                <w:lang w:val="es-419"/>
              </w:rPr>
              <w:fldChar w:fldCharType="separate"/>
            </w:r>
            <w:r w:rsidR="008F5FB5">
              <w:rPr>
                <w:noProof/>
                <w:webHidden/>
                <w:lang w:val="es-419"/>
              </w:rPr>
              <w:t>17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2" w:history="1">
            <w:r w:rsidRPr="002405D3">
              <w:rPr>
                <w:rStyle w:val="Hyperlink"/>
                <w:noProof/>
                <w:lang w:val="es-419"/>
              </w:rPr>
              <w:t>Diligencia debida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_Toc124942442 \h </w:instrText>
            </w:r>
            <w:r w:rsidRPr="002405D3">
              <w:rPr>
                <w:noProof/>
                <w:webHidden/>
                <w:lang w:val="es-419"/>
              </w:rPr>
            </w:r>
            <w:r w:rsidRPr="002405D3">
              <w:rPr>
                <w:noProof/>
                <w:webHidden/>
                <w:lang w:val="es-419"/>
              </w:rPr>
              <w:fldChar w:fldCharType="separate"/>
            </w:r>
            <w:r w:rsidR="008F5FB5">
              <w:rPr>
                <w:noProof/>
                <w:webHidden/>
                <w:lang w:val="es-419"/>
              </w:rPr>
              <w:t>17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3" w:history="1">
            <w:r w:rsidRPr="002405D3">
              <w:rPr>
                <w:rStyle w:val="Hyperlink"/>
                <w:noProof/>
                <w:lang w:val="es-419"/>
              </w:rPr>
              <w:t>Remuneración equitativa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_Toc124942443 \h </w:instrText>
            </w:r>
            <w:r w:rsidRPr="002405D3">
              <w:rPr>
                <w:noProof/>
                <w:webHidden/>
                <w:lang w:val="es-419"/>
              </w:rPr>
            </w:r>
            <w:r w:rsidRPr="002405D3">
              <w:rPr>
                <w:noProof/>
                <w:webHidden/>
                <w:lang w:val="es-419"/>
              </w:rPr>
              <w:fldChar w:fldCharType="separate"/>
            </w:r>
            <w:r w:rsidR="008F5FB5">
              <w:rPr>
                <w:noProof/>
                <w:webHidden/>
                <w:lang w:val="es-419"/>
              </w:rPr>
              <w:t>17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4" w:history="1">
            <w:r w:rsidRPr="002405D3">
              <w:rPr>
                <w:rStyle w:val="Hyperlink"/>
                <w:noProof/>
                <w:lang w:val="es-419"/>
              </w:rPr>
              <w:t>Excepciones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_Toc124942444 \h </w:instrText>
            </w:r>
            <w:r w:rsidRPr="002405D3">
              <w:rPr>
                <w:noProof/>
                <w:webHidden/>
                <w:lang w:val="es-419"/>
              </w:rPr>
            </w:r>
            <w:r w:rsidRPr="002405D3">
              <w:rPr>
                <w:noProof/>
                <w:webHidden/>
                <w:lang w:val="es-419"/>
              </w:rPr>
              <w:fldChar w:fldCharType="separate"/>
            </w:r>
            <w:r w:rsidR="008F5FB5">
              <w:rPr>
                <w:noProof/>
                <w:webHidden/>
                <w:lang w:val="es-419"/>
              </w:rPr>
              <w:t>17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5" w:history="1">
            <w:r w:rsidRPr="002405D3">
              <w:rPr>
                <w:rStyle w:val="Hyperlink"/>
                <w:noProof/>
                <w:lang w:val="es-419"/>
              </w:rPr>
              <w:t>Expresión corporal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_Toc124942445 \h </w:instrText>
            </w:r>
            <w:r w:rsidRPr="002405D3">
              <w:rPr>
                <w:noProof/>
                <w:webHidden/>
                <w:lang w:val="es-419"/>
              </w:rPr>
            </w:r>
            <w:r w:rsidRPr="002405D3">
              <w:rPr>
                <w:noProof/>
                <w:webHidden/>
                <w:lang w:val="es-419"/>
              </w:rPr>
              <w:fldChar w:fldCharType="separate"/>
            </w:r>
            <w:r w:rsidR="008F5FB5">
              <w:rPr>
                <w:noProof/>
                <w:webHidden/>
                <w:lang w:val="es-419"/>
              </w:rPr>
              <w:t>18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6" w:history="1">
            <w:r w:rsidRPr="002405D3">
              <w:rPr>
                <w:rStyle w:val="Hyperlink"/>
                <w:noProof/>
                <w:lang w:val="es-419"/>
              </w:rPr>
              <w:t>Expresiones del folclore</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_Toc124942446 \h </w:instrText>
            </w:r>
            <w:r w:rsidRPr="002405D3">
              <w:rPr>
                <w:noProof/>
                <w:webHidden/>
                <w:lang w:val="es-419"/>
              </w:rPr>
            </w:r>
            <w:r w:rsidRPr="002405D3">
              <w:rPr>
                <w:noProof/>
                <w:webHidden/>
                <w:lang w:val="es-419"/>
              </w:rPr>
              <w:fldChar w:fldCharType="separate"/>
            </w:r>
            <w:r w:rsidR="008F5FB5">
              <w:rPr>
                <w:noProof/>
                <w:webHidden/>
                <w:lang w:val="es-419"/>
              </w:rPr>
              <w:t>18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7" w:history="1">
            <w:r w:rsidRPr="002405D3">
              <w:rPr>
                <w:rStyle w:val="Hyperlink"/>
                <w:noProof/>
                <w:lang w:val="es-419"/>
              </w:rPr>
              <w:t xml:space="preserve">Conservación </w:t>
            </w:r>
            <w:r w:rsidRPr="002405D3">
              <w:rPr>
                <w:rStyle w:val="Hyperlink"/>
                <w:i/>
                <w:iCs/>
                <w:noProof/>
                <w:lang w:val="es-419"/>
              </w:rPr>
              <w:t>ex situ</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_Toc124942447 \h </w:instrText>
            </w:r>
            <w:r w:rsidRPr="002405D3">
              <w:rPr>
                <w:noProof/>
                <w:webHidden/>
                <w:lang w:val="es-419"/>
              </w:rPr>
            </w:r>
            <w:r w:rsidRPr="002405D3">
              <w:rPr>
                <w:noProof/>
                <w:webHidden/>
                <w:lang w:val="es-419"/>
              </w:rPr>
              <w:fldChar w:fldCharType="separate"/>
            </w:r>
            <w:r w:rsidR="008F5FB5">
              <w:rPr>
                <w:noProof/>
                <w:webHidden/>
                <w:lang w:val="es-419"/>
              </w:rPr>
              <w:t>18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8" w:history="1">
            <w:r w:rsidRPr="002405D3">
              <w:rPr>
                <w:rStyle w:val="Hyperlink"/>
                <w:noProof/>
                <w:lang w:val="es-419"/>
              </w:rPr>
              <w:t>Uso leal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_Toc124942448 \h </w:instrText>
            </w:r>
            <w:r w:rsidRPr="002405D3">
              <w:rPr>
                <w:noProof/>
                <w:webHidden/>
                <w:lang w:val="es-419"/>
              </w:rPr>
            </w:r>
            <w:r w:rsidRPr="002405D3">
              <w:rPr>
                <w:noProof/>
                <w:webHidden/>
                <w:lang w:val="es-419"/>
              </w:rPr>
              <w:fldChar w:fldCharType="separate"/>
            </w:r>
            <w:r w:rsidR="008F5FB5">
              <w:rPr>
                <w:noProof/>
                <w:webHidden/>
                <w:lang w:val="es-419"/>
              </w:rPr>
              <w:t>18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9" w:history="1">
            <w:r w:rsidRPr="002405D3">
              <w:rPr>
                <w:rStyle w:val="Hyperlink"/>
                <w:noProof/>
                <w:lang w:val="es-419"/>
              </w:rPr>
              <w:t>Derechos del agricultor</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_Toc124942449 \h </w:instrText>
            </w:r>
            <w:r w:rsidRPr="002405D3">
              <w:rPr>
                <w:noProof/>
                <w:webHidden/>
                <w:lang w:val="es-419"/>
              </w:rPr>
            </w:r>
            <w:r w:rsidRPr="002405D3">
              <w:rPr>
                <w:noProof/>
                <w:webHidden/>
                <w:lang w:val="es-419"/>
              </w:rPr>
              <w:fldChar w:fldCharType="separate"/>
            </w:r>
            <w:r w:rsidR="008F5FB5">
              <w:rPr>
                <w:noProof/>
                <w:webHidden/>
                <w:lang w:val="es-419"/>
              </w:rPr>
              <w:t>19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0" w:history="1">
            <w:r w:rsidRPr="002405D3">
              <w:rPr>
                <w:rStyle w:val="Hyperlink"/>
                <w:noProof/>
                <w:lang w:val="es-419"/>
              </w:rPr>
              <w:t>Fijación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_Toc124942450 \h </w:instrText>
            </w:r>
            <w:r w:rsidRPr="002405D3">
              <w:rPr>
                <w:noProof/>
                <w:webHidden/>
                <w:lang w:val="es-419"/>
              </w:rPr>
            </w:r>
            <w:r w:rsidRPr="002405D3">
              <w:rPr>
                <w:noProof/>
                <w:webHidden/>
                <w:lang w:val="es-419"/>
              </w:rPr>
              <w:fldChar w:fldCharType="separate"/>
            </w:r>
            <w:r w:rsidR="008F5FB5">
              <w:rPr>
                <w:noProof/>
                <w:webHidden/>
                <w:lang w:val="es-419"/>
              </w:rPr>
              <w:t>19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1" w:history="1">
            <w:r w:rsidRPr="002405D3">
              <w:rPr>
                <w:rStyle w:val="Hyperlink"/>
                <w:noProof/>
                <w:lang w:val="es-419"/>
              </w:rPr>
              <w:t>Folclore</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_Toc124942451 \h </w:instrText>
            </w:r>
            <w:r w:rsidRPr="002405D3">
              <w:rPr>
                <w:noProof/>
                <w:webHidden/>
                <w:lang w:val="es-419"/>
              </w:rPr>
            </w:r>
            <w:r w:rsidRPr="002405D3">
              <w:rPr>
                <w:noProof/>
                <w:webHidden/>
                <w:lang w:val="es-419"/>
              </w:rPr>
              <w:fldChar w:fldCharType="separate"/>
            </w:r>
            <w:r w:rsidR="008F5FB5">
              <w:rPr>
                <w:noProof/>
                <w:webHidden/>
                <w:lang w:val="es-419"/>
              </w:rPr>
              <w:t>19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2" w:history="1">
            <w:r w:rsidRPr="002405D3">
              <w:rPr>
                <w:rStyle w:val="Hyperlink"/>
                <w:noProof/>
                <w:lang w:val="es-419"/>
              </w:rPr>
              <w:t>Formalidades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_Toc124942452 \h </w:instrText>
            </w:r>
            <w:r w:rsidRPr="002405D3">
              <w:rPr>
                <w:noProof/>
                <w:webHidden/>
                <w:lang w:val="es-419"/>
              </w:rPr>
            </w:r>
            <w:r w:rsidRPr="002405D3">
              <w:rPr>
                <w:noProof/>
                <w:webHidden/>
                <w:lang w:val="es-419"/>
              </w:rPr>
              <w:fldChar w:fldCharType="separate"/>
            </w:r>
            <w:r w:rsidR="008F5FB5">
              <w:rPr>
                <w:noProof/>
                <w:webHidden/>
                <w:lang w:val="es-419"/>
              </w:rPr>
              <w:t>20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3" w:history="1">
            <w:r w:rsidRPr="002405D3">
              <w:rPr>
                <w:rStyle w:val="Hyperlink"/>
                <w:noProof/>
                <w:lang w:val="es-419"/>
              </w:rPr>
              <w:t>Material genético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_Toc124942453 \h </w:instrText>
            </w:r>
            <w:r w:rsidRPr="002405D3">
              <w:rPr>
                <w:noProof/>
                <w:webHidden/>
                <w:lang w:val="es-419"/>
              </w:rPr>
            </w:r>
            <w:r w:rsidRPr="002405D3">
              <w:rPr>
                <w:noProof/>
                <w:webHidden/>
                <w:lang w:val="es-419"/>
              </w:rPr>
              <w:fldChar w:fldCharType="separate"/>
            </w:r>
            <w:r w:rsidR="008F5FB5">
              <w:rPr>
                <w:noProof/>
                <w:webHidden/>
                <w:lang w:val="es-419"/>
              </w:rPr>
              <w:t>21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4" w:history="1">
            <w:r w:rsidRPr="002405D3">
              <w:rPr>
                <w:rStyle w:val="Hyperlink"/>
                <w:noProof/>
                <w:lang w:val="es-419"/>
              </w:rPr>
              <w:t>Recursos genéticos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_Toc124942454 \h </w:instrText>
            </w:r>
            <w:r w:rsidRPr="002405D3">
              <w:rPr>
                <w:noProof/>
                <w:webHidden/>
                <w:lang w:val="es-419"/>
              </w:rPr>
            </w:r>
            <w:r w:rsidRPr="002405D3">
              <w:rPr>
                <w:noProof/>
                <w:webHidden/>
                <w:lang w:val="es-419"/>
              </w:rPr>
              <w:fldChar w:fldCharType="separate"/>
            </w:r>
            <w:r w:rsidR="008F5FB5">
              <w:rPr>
                <w:noProof/>
                <w:webHidden/>
                <w:lang w:val="es-419"/>
              </w:rPr>
              <w:t>21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5" w:history="1">
            <w:r w:rsidRPr="002405D3">
              <w:rPr>
                <w:rStyle w:val="Hyperlink"/>
                <w:noProof/>
                <w:lang w:val="es-419"/>
              </w:rPr>
              <w:t>Patrimonio (de los pueblos indígenas)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_Toc124942455 \h </w:instrText>
            </w:r>
            <w:r w:rsidRPr="002405D3">
              <w:rPr>
                <w:noProof/>
                <w:webHidden/>
                <w:lang w:val="es-419"/>
              </w:rPr>
            </w:r>
            <w:r w:rsidRPr="002405D3">
              <w:rPr>
                <w:noProof/>
                <w:webHidden/>
                <w:lang w:val="es-419"/>
              </w:rPr>
              <w:fldChar w:fldCharType="separate"/>
            </w:r>
            <w:r w:rsidR="008F5FB5">
              <w:rPr>
                <w:noProof/>
                <w:webHidden/>
                <w:lang w:val="es-419"/>
              </w:rPr>
              <w:t>21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6" w:history="1">
            <w:r w:rsidRPr="002405D3">
              <w:rPr>
                <w:rStyle w:val="Hyperlink"/>
                <w:noProof/>
                <w:lang w:val="es-419"/>
              </w:rPr>
              <w:t>Poseedor</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_Toc124942456 \h </w:instrText>
            </w:r>
            <w:r w:rsidRPr="002405D3">
              <w:rPr>
                <w:noProof/>
                <w:webHidden/>
                <w:lang w:val="es-419"/>
              </w:rPr>
            </w:r>
            <w:r w:rsidRPr="002405D3">
              <w:rPr>
                <w:noProof/>
                <w:webHidden/>
                <w:lang w:val="es-419"/>
              </w:rPr>
              <w:fldChar w:fldCharType="separate"/>
            </w:r>
            <w:r w:rsidR="008F5FB5">
              <w:rPr>
                <w:noProof/>
                <w:webHidden/>
                <w:lang w:val="es-419"/>
              </w:rPr>
              <w:t>22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7" w:history="1">
            <w:r w:rsidRPr="002405D3">
              <w:rPr>
                <w:rStyle w:val="Hyperlink"/>
                <w:noProof/>
                <w:lang w:val="es-419"/>
              </w:rPr>
              <w:t>Comunidades indígenas y locales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_Toc124942457 \h </w:instrText>
            </w:r>
            <w:r w:rsidRPr="002405D3">
              <w:rPr>
                <w:noProof/>
                <w:webHidden/>
                <w:lang w:val="es-419"/>
              </w:rPr>
            </w:r>
            <w:r w:rsidRPr="002405D3">
              <w:rPr>
                <w:noProof/>
                <w:webHidden/>
                <w:lang w:val="es-419"/>
              </w:rPr>
              <w:fldChar w:fldCharType="separate"/>
            </w:r>
            <w:r w:rsidR="008F5FB5">
              <w:rPr>
                <w:noProof/>
                <w:webHidden/>
                <w:lang w:val="es-419"/>
              </w:rPr>
              <w:t>23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8" w:history="1">
            <w:r w:rsidRPr="002405D3">
              <w:rPr>
                <w:rStyle w:val="Hyperlink"/>
                <w:noProof/>
                <w:lang w:val="es-419"/>
              </w:rPr>
              <w:t>Conocimientos indígenas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_Toc124942458 \h </w:instrText>
            </w:r>
            <w:r w:rsidRPr="002405D3">
              <w:rPr>
                <w:noProof/>
                <w:webHidden/>
                <w:lang w:val="es-419"/>
              </w:rPr>
            </w:r>
            <w:r w:rsidRPr="002405D3">
              <w:rPr>
                <w:noProof/>
                <w:webHidden/>
                <w:lang w:val="es-419"/>
              </w:rPr>
              <w:fldChar w:fldCharType="separate"/>
            </w:r>
            <w:r w:rsidR="008F5FB5">
              <w:rPr>
                <w:noProof/>
                <w:webHidden/>
                <w:lang w:val="es-419"/>
              </w:rPr>
              <w:t>24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9" w:history="1">
            <w:r w:rsidRPr="002405D3">
              <w:rPr>
                <w:rStyle w:val="Hyperlink"/>
                <w:noProof/>
                <w:lang w:val="es-419"/>
              </w:rPr>
              <w:t>Pueblos indígenas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_Toc124942459 \h </w:instrText>
            </w:r>
            <w:r w:rsidRPr="002405D3">
              <w:rPr>
                <w:noProof/>
                <w:webHidden/>
                <w:lang w:val="es-419"/>
              </w:rPr>
            </w:r>
            <w:r w:rsidRPr="002405D3">
              <w:rPr>
                <w:noProof/>
                <w:webHidden/>
                <w:lang w:val="es-419"/>
              </w:rPr>
              <w:fldChar w:fldCharType="separate"/>
            </w:r>
            <w:r w:rsidR="008F5FB5">
              <w:rPr>
                <w:noProof/>
                <w:webHidden/>
                <w:lang w:val="es-419"/>
              </w:rPr>
              <w:t>24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0" w:history="1">
            <w:r w:rsidRPr="002405D3">
              <w:rPr>
                <w:rStyle w:val="Hyperlink"/>
                <w:noProof/>
                <w:lang w:val="es-419"/>
              </w:rPr>
              <w:t>Infracción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_Toc124942460 \h </w:instrText>
            </w:r>
            <w:r w:rsidRPr="002405D3">
              <w:rPr>
                <w:noProof/>
                <w:webHidden/>
                <w:lang w:val="es-419"/>
              </w:rPr>
            </w:r>
            <w:r w:rsidRPr="002405D3">
              <w:rPr>
                <w:noProof/>
                <w:webHidden/>
                <w:lang w:val="es-419"/>
              </w:rPr>
              <w:fldChar w:fldCharType="separate"/>
            </w:r>
            <w:r w:rsidR="008F5FB5">
              <w:rPr>
                <w:noProof/>
                <w:webHidden/>
                <w:lang w:val="es-419"/>
              </w:rPr>
              <w:t>27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1" w:history="1">
            <w:r w:rsidRPr="002405D3">
              <w:rPr>
                <w:rStyle w:val="Hyperlink"/>
                <w:noProof/>
                <w:lang w:val="es-419"/>
              </w:rPr>
              <w:t xml:space="preserve">Condiciones </w:t>
            </w:r>
            <w:r w:rsidRPr="002405D3">
              <w:rPr>
                <w:rStyle w:val="Hyperlink"/>
                <w:i/>
                <w:iCs/>
                <w:noProof/>
                <w:lang w:val="es-419"/>
              </w:rPr>
              <w:t>in situ</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_Toc124942461 \h </w:instrText>
            </w:r>
            <w:r w:rsidRPr="002405D3">
              <w:rPr>
                <w:noProof/>
                <w:webHidden/>
                <w:lang w:val="es-419"/>
              </w:rPr>
            </w:r>
            <w:r w:rsidRPr="002405D3">
              <w:rPr>
                <w:noProof/>
                <w:webHidden/>
                <w:lang w:val="es-419"/>
              </w:rPr>
              <w:fldChar w:fldCharType="separate"/>
            </w:r>
            <w:r w:rsidR="008F5FB5">
              <w:rPr>
                <w:noProof/>
                <w:webHidden/>
                <w:lang w:val="es-419"/>
              </w:rPr>
              <w:t>27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2" w:history="1">
            <w:r w:rsidRPr="002405D3">
              <w:rPr>
                <w:rStyle w:val="Hyperlink"/>
                <w:noProof/>
                <w:lang w:val="es-419"/>
              </w:rPr>
              <w:t>Patrimonio cultural inmaterial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_Toc124942462 \h </w:instrText>
            </w:r>
            <w:r w:rsidRPr="002405D3">
              <w:rPr>
                <w:noProof/>
                <w:webHidden/>
                <w:lang w:val="es-419"/>
              </w:rPr>
            </w:r>
            <w:r w:rsidRPr="002405D3">
              <w:rPr>
                <w:noProof/>
                <w:webHidden/>
                <w:lang w:val="es-419"/>
              </w:rPr>
              <w:fldChar w:fldCharType="separate"/>
            </w:r>
            <w:r w:rsidR="008F5FB5">
              <w:rPr>
                <w:noProof/>
                <w:webHidden/>
                <w:lang w:val="es-419"/>
              </w:rPr>
              <w:t>27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3" w:history="1">
            <w:r w:rsidRPr="002405D3">
              <w:rPr>
                <w:rStyle w:val="Hyperlink"/>
                <w:noProof/>
                <w:lang w:val="es-419"/>
              </w:rPr>
              <w:t>Integridad [derecho de] [de la obra]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_Toc124942463 \h </w:instrText>
            </w:r>
            <w:r w:rsidRPr="002405D3">
              <w:rPr>
                <w:noProof/>
                <w:webHidden/>
                <w:lang w:val="es-419"/>
              </w:rPr>
            </w:r>
            <w:r w:rsidRPr="002405D3">
              <w:rPr>
                <w:noProof/>
                <w:webHidden/>
                <w:lang w:val="es-419"/>
              </w:rPr>
              <w:fldChar w:fldCharType="separate"/>
            </w:r>
            <w:r w:rsidR="008F5FB5">
              <w:rPr>
                <w:noProof/>
                <w:webHidden/>
                <w:lang w:val="es-419"/>
              </w:rPr>
              <w:t>28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4" w:history="1">
            <w:r w:rsidRPr="002405D3">
              <w:rPr>
                <w:rStyle w:val="Hyperlink"/>
                <w:noProof/>
                <w:lang w:val="es-419"/>
              </w:rPr>
              <w:t>Directrices de propiedad intelectual sobre acceso y participación en los beneficios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_Toc124942464 \h </w:instrText>
            </w:r>
            <w:r w:rsidRPr="002405D3">
              <w:rPr>
                <w:noProof/>
                <w:webHidden/>
                <w:lang w:val="es-419"/>
              </w:rPr>
            </w:r>
            <w:r w:rsidRPr="002405D3">
              <w:rPr>
                <w:noProof/>
                <w:webHidden/>
                <w:lang w:val="es-419"/>
              </w:rPr>
              <w:fldChar w:fldCharType="separate"/>
            </w:r>
            <w:r w:rsidR="008F5FB5">
              <w:rPr>
                <w:noProof/>
                <w:webHidden/>
                <w:lang w:val="es-419"/>
              </w:rPr>
              <w:t>28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5" w:history="1">
            <w:r w:rsidRPr="002405D3">
              <w:rPr>
                <w:rStyle w:val="Hyperlink"/>
                <w:noProof/>
                <w:lang w:val="es-419"/>
              </w:rPr>
              <w:t>Clasificación Internacional de Patentes (CIP)</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_Toc124942465 \h </w:instrText>
            </w:r>
            <w:r w:rsidRPr="002405D3">
              <w:rPr>
                <w:noProof/>
                <w:webHidden/>
                <w:lang w:val="es-419"/>
              </w:rPr>
            </w:r>
            <w:r w:rsidRPr="002405D3">
              <w:rPr>
                <w:noProof/>
                <w:webHidden/>
                <w:lang w:val="es-419"/>
              </w:rPr>
              <w:fldChar w:fldCharType="separate"/>
            </w:r>
            <w:r w:rsidR="008F5FB5">
              <w:rPr>
                <w:noProof/>
                <w:webHidden/>
                <w:lang w:val="es-419"/>
              </w:rPr>
              <w:t>29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6" w:history="1">
            <w:r w:rsidRPr="002405D3">
              <w:rPr>
                <w:rStyle w:val="Hyperlink"/>
                <w:noProof/>
                <w:lang w:val="es-419"/>
              </w:rPr>
              <w:t>Tratado Internacional sobre los Recursos Fitogenéticos para la Alimentación y la Agricultura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_Toc124942466 \h </w:instrText>
            </w:r>
            <w:r w:rsidRPr="002405D3">
              <w:rPr>
                <w:noProof/>
                <w:webHidden/>
                <w:lang w:val="es-419"/>
              </w:rPr>
            </w:r>
            <w:r w:rsidRPr="002405D3">
              <w:rPr>
                <w:noProof/>
                <w:webHidden/>
                <w:lang w:val="es-419"/>
              </w:rPr>
              <w:fldChar w:fldCharType="separate"/>
            </w:r>
            <w:r w:rsidR="008F5FB5">
              <w:rPr>
                <w:noProof/>
                <w:webHidden/>
                <w:lang w:val="es-419"/>
              </w:rPr>
              <w:t>29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7" w:history="1">
            <w:r w:rsidRPr="002405D3">
              <w:rPr>
                <w:rStyle w:val="Hyperlink"/>
                <w:noProof/>
                <w:lang w:val="es-419"/>
              </w:rPr>
              <w:t>Actividad inventiva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_Toc124942467 \h </w:instrText>
            </w:r>
            <w:r w:rsidRPr="002405D3">
              <w:rPr>
                <w:noProof/>
                <w:webHidden/>
                <w:lang w:val="es-419"/>
              </w:rPr>
            </w:r>
            <w:r w:rsidRPr="002405D3">
              <w:rPr>
                <w:noProof/>
                <w:webHidden/>
                <w:lang w:val="es-419"/>
              </w:rPr>
              <w:fldChar w:fldCharType="separate"/>
            </w:r>
            <w:r w:rsidR="008F5FB5">
              <w:rPr>
                <w:noProof/>
                <w:webHidden/>
                <w:lang w:val="es-419"/>
              </w:rPr>
              <w:t>30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8" w:history="1">
            <w:r w:rsidRPr="002405D3">
              <w:rPr>
                <w:rStyle w:val="Hyperlink"/>
                <w:noProof/>
                <w:lang w:val="es-419"/>
              </w:rPr>
              <w:t>Acuerdos de licencia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_Toc124942468 \h </w:instrText>
            </w:r>
            <w:r w:rsidRPr="002405D3">
              <w:rPr>
                <w:noProof/>
                <w:webHidden/>
                <w:lang w:val="es-419"/>
              </w:rPr>
            </w:r>
            <w:r w:rsidRPr="002405D3">
              <w:rPr>
                <w:noProof/>
                <w:webHidden/>
                <w:lang w:val="es-419"/>
              </w:rPr>
              <w:fldChar w:fldCharType="separate"/>
            </w:r>
            <w:r w:rsidR="008F5FB5">
              <w:rPr>
                <w:noProof/>
                <w:webHidden/>
                <w:lang w:val="es-419"/>
              </w:rPr>
              <w:t>30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9" w:history="1">
            <w:r w:rsidRPr="002405D3">
              <w:rPr>
                <w:rStyle w:val="Hyperlink"/>
                <w:noProof/>
                <w:lang w:val="es-419"/>
              </w:rPr>
              <w:t>Limitación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_Toc124942469 \h </w:instrText>
            </w:r>
            <w:r w:rsidRPr="002405D3">
              <w:rPr>
                <w:noProof/>
                <w:webHidden/>
                <w:lang w:val="es-419"/>
              </w:rPr>
            </w:r>
            <w:r w:rsidRPr="002405D3">
              <w:rPr>
                <w:noProof/>
                <w:webHidden/>
                <w:lang w:val="es-419"/>
              </w:rPr>
              <w:fldChar w:fldCharType="separate"/>
            </w:r>
            <w:r w:rsidR="008F5FB5">
              <w:rPr>
                <w:noProof/>
                <w:webHidden/>
                <w:lang w:val="es-419"/>
              </w:rPr>
              <w:t>30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0" w:history="1">
            <w:r w:rsidRPr="002405D3">
              <w:rPr>
                <w:rStyle w:val="Hyperlink"/>
                <w:noProof/>
                <w:lang w:val="es-419"/>
              </w:rPr>
              <w:t>Acuerdos de transferencia de material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_Toc124942470 \h </w:instrText>
            </w:r>
            <w:r w:rsidRPr="002405D3">
              <w:rPr>
                <w:noProof/>
                <w:webHidden/>
                <w:lang w:val="es-419"/>
              </w:rPr>
            </w:r>
            <w:r w:rsidRPr="002405D3">
              <w:rPr>
                <w:noProof/>
                <w:webHidden/>
                <w:lang w:val="es-419"/>
              </w:rPr>
              <w:fldChar w:fldCharType="separate"/>
            </w:r>
            <w:r w:rsidR="008F5FB5">
              <w:rPr>
                <w:noProof/>
                <w:webHidden/>
                <w:lang w:val="es-419"/>
              </w:rPr>
              <w:t>31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1" w:history="1">
            <w:r w:rsidRPr="002405D3">
              <w:rPr>
                <w:rStyle w:val="Hyperlink"/>
                <w:noProof/>
                <w:lang w:val="es-419"/>
              </w:rPr>
              <w:t>Documentación mínima del PCT</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_Toc124942471 \h </w:instrText>
            </w:r>
            <w:r w:rsidRPr="002405D3">
              <w:rPr>
                <w:noProof/>
                <w:webHidden/>
                <w:lang w:val="es-419"/>
              </w:rPr>
            </w:r>
            <w:r w:rsidRPr="002405D3">
              <w:rPr>
                <w:noProof/>
                <w:webHidden/>
                <w:lang w:val="es-419"/>
              </w:rPr>
              <w:fldChar w:fldCharType="separate"/>
            </w:r>
            <w:r w:rsidR="008F5FB5">
              <w:rPr>
                <w:noProof/>
                <w:webHidden/>
                <w:lang w:val="es-419"/>
              </w:rPr>
              <w:t>31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2" w:history="1">
            <w:r w:rsidRPr="002405D3">
              <w:rPr>
                <w:rStyle w:val="Hyperlink"/>
                <w:noProof/>
                <w:lang w:val="es-419"/>
              </w:rPr>
              <w:t>Minoría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_Toc124942472 \h </w:instrText>
            </w:r>
            <w:r w:rsidRPr="002405D3">
              <w:rPr>
                <w:noProof/>
                <w:webHidden/>
                <w:lang w:val="es-419"/>
              </w:rPr>
            </w:r>
            <w:r w:rsidRPr="002405D3">
              <w:rPr>
                <w:noProof/>
                <w:webHidden/>
                <w:lang w:val="es-419"/>
              </w:rPr>
              <w:fldChar w:fldCharType="separate"/>
            </w:r>
            <w:r w:rsidR="008F5FB5">
              <w:rPr>
                <w:noProof/>
                <w:webHidden/>
                <w:lang w:val="es-419"/>
              </w:rPr>
              <w:t>31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3" w:history="1">
            <w:r w:rsidRPr="002405D3">
              <w:rPr>
                <w:rStyle w:val="Hyperlink"/>
                <w:noProof/>
                <w:lang w:val="es-419"/>
              </w:rPr>
              <w:t>Apropiación indebida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_Toc124942473 \h </w:instrText>
            </w:r>
            <w:r w:rsidRPr="002405D3">
              <w:rPr>
                <w:noProof/>
                <w:webHidden/>
                <w:lang w:val="es-419"/>
              </w:rPr>
            </w:r>
            <w:r w:rsidRPr="002405D3">
              <w:rPr>
                <w:noProof/>
                <w:webHidden/>
                <w:lang w:val="es-419"/>
              </w:rPr>
              <w:fldChar w:fldCharType="separate"/>
            </w:r>
            <w:r w:rsidR="008F5FB5">
              <w:rPr>
                <w:noProof/>
                <w:webHidden/>
                <w:lang w:val="es-419"/>
              </w:rPr>
              <w:t>32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4" w:history="1">
            <w:r w:rsidRPr="002405D3">
              <w:rPr>
                <w:rStyle w:val="Hyperlink"/>
                <w:noProof/>
                <w:lang w:val="es-419"/>
              </w:rPr>
              <w:t>Utilización indebida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_Toc124942474 \h </w:instrText>
            </w:r>
            <w:r w:rsidRPr="002405D3">
              <w:rPr>
                <w:noProof/>
                <w:webHidden/>
                <w:lang w:val="es-419"/>
              </w:rPr>
            </w:r>
            <w:r w:rsidRPr="002405D3">
              <w:rPr>
                <w:noProof/>
                <w:webHidden/>
                <w:lang w:val="es-419"/>
              </w:rPr>
              <w:fldChar w:fldCharType="separate"/>
            </w:r>
            <w:r w:rsidR="008F5FB5">
              <w:rPr>
                <w:noProof/>
                <w:webHidden/>
                <w:lang w:val="es-419"/>
              </w:rPr>
              <w:t>33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5" w:history="1">
            <w:r w:rsidRPr="002405D3">
              <w:rPr>
                <w:rStyle w:val="Hyperlink"/>
                <w:noProof/>
                <w:lang w:val="es-419"/>
              </w:rPr>
              <w:t>Modificación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_Toc124942475 \h </w:instrText>
            </w:r>
            <w:r w:rsidRPr="002405D3">
              <w:rPr>
                <w:noProof/>
                <w:webHidden/>
                <w:lang w:val="es-419"/>
              </w:rPr>
            </w:r>
            <w:r w:rsidRPr="002405D3">
              <w:rPr>
                <w:noProof/>
                <w:webHidden/>
                <w:lang w:val="es-419"/>
              </w:rPr>
              <w:fldChar w:fldCharType="separate"/>
            </w:r>
            <w:r w:rsidR="008F5FB5">
              <w:rPr>
                <w:noProof/>
                <w:webHidden/>
                <w:lang w:val="es-419"/>
              </w:rPr>
              <w:t>33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6" w:history="1">
            <w:r w:rsidRPr="002405D3">
              <w:rPr>
                <w:rStyle w:val="Hyperlink"/>
                <w:noProof/>
                <w:lang w:val="es-419"/>
              </w:rPr>
              <w:t>Mutilación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_Toc124942476 \h </w:instrText>
            </w:r>
            <w:r w:rsidRPr="002405D3">
              <w:rPr>
                <w:noProof/>
                <w:webHidden/>
                <w:lang w:val="es-419"/>
              </w:rPr>
            </w:r>
            <w:r w:rsidRPr="002405D3">
              <w:rPr>
                <w:noProof/>
                <w:webHidden/>
                <w:lang w:val="es-419"/>
              </w:rPr>
              <w:fldChar w:fldCharType="separate"/>
            </w:r>
            <w:r w:rsidR="008F5FB5">
              <w:rPr>
                <w:noProof/>
                <w:webHidden/>
                <w:lang w:val="es-419"/>
              </w:rPr>
              <w:t>33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7" w:history="1">
            <w:r w:rsidRPr="002405D3">
              <w:rPr>
                <w:rStyle w:val="Hyperlink"/>
                <w:noProof/>
                <w:lang w:val="es-419"/>
              </w:rPr>
              <w:t>Respeto mutuo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_Toc124942477 \h </w:instrText>
            </w:r>
            <w:r w:rsidRPr="002405D3">
              <w:rPr>
                <w:noProof/>
                <w:webHidden/>
                <w:lang w:val="es-419"/>
              </w:rPr>
            </w:r>
            <w:r w:rsidRPr="002405D3">
              <w:rPr>
                <w:noProof/>
                <w:webHidden/>
                <w:lang w:val="es-419"/>
              </w:rPr>
              <w:fldChar w:fldCharType="separate"/>
            </w:r>
            <w:r w:rsidR="008F5FB5">
              <w:rPr>
                <w:noProof/>
                <w:webHidden/>
                <w:lang w:val="es-419"/>
              </w:rPr>
              <w:t>33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8" w:history="1">
            <w:r w:rsidRPr="002405D3">
              <w:rPr>
                <w:rStyle w:val="Hyperlink"/>
                <w:noProof/>
                <w:lang w:val="es-419"/>
              </w:rPr>
              <w:t>Condiciones mutuamente convenidas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_Toc124942478 \h </w:instrText>
            </w:r>
            <w:r w:rsidRPr="002405D3">
              <w:rPr>
                <w:noProof/>
                <w:webHidden/>
                <w:lang w:val="es-419"/>
              </w:rPr>
            </w:r>
            <w:r w:rsidRPr="002405D3">
              <w:rPr>
                <w:noProof/>
                <w:webHidden/>
                <w:lang w:val="es-419"/>
              </w:rPr>
              <w:fldChar w:fldCharType="separate"/>
            </w:r>
            <w:r w:rsidR="008F5FB5">
              <w:rPr>
                <w:noProof/>
                <w:webHidden/>
                <w:lang w:val="es-419"/>
              </w:rPr>
              <w:t>34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9" w:history="1">
            <w:r w:rsidRPr="002405D3">
              <w:rPr>
                <w:rStyle w:val="Hyperlink"/>
                <w:noProof/>
                <w:lang w:val="es-419"/>
              </w:rPr>
              <w:t>Protocolo de Nagoya sobre Acceso a los Recursos Genéticos y Participación Justa y Equitativa en los Beneficios que se Deriven de su Utilización al Convenio sobre la Diversidad Biológica (2010)</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_Toc124942479 \h </w:instrText>
            </w:r>
            <w:r w:rsidRPr="002405D3">
              <w:rPr>
                <w:noProof/>
                <w:webHidden/>
                <w:lang w:val="es-419"/>
              </w:rPr>
            </w:r>
            <w:r w:rsidRPr="002405D3">
              <w:rPr>
                <w:noProof/>
                <w:webHidden/>
                <w:lang w:val="es-419"/>
              </w:rPr>
              <w:fldChar w:fldCharType="separate"/>
            </w:r>
            <w:r w:rsidR="008F5FB5">
              <w:rPr>
                <w:noProof/>
                <w:webHidden/>
                <w:lang w:val="es-419"/>
              </w:rPr>
              <w:t>34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0" w:history="1">
            <w:r w:rsidRPr="002405D3">
              <w:rPr>
                <w:rStyle w:val="Hyperlink"/>
                <w:noProof/>
                <w:lang w:val="es-419"/>
              </w:rPr>
              <w:t>Nación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_Toc124942480 \h </w:instrText>
            </w:r>
            <w:r w:rsidRPr="002405D3">
              <w:rPr>
                <w:noProof/>
                <w:webHidden/>
                <w:lang w:val="es-419"/>
              </w:rPr>
            </w:r>
            <w:r w:rsidRPr="002405D3">
              <w:rPr>
                <w:noProof/>
                <w:webHidden/>
                <w:lang w:val="es-419"/>
              </w:rPr>
              <w:fldChar w:fldCharType="separate"/>
            </w:r>
            <w:r w:rsidR="008F5FB5">
              <w:rPr>
                <w:noProof/>
                <w:webHidden/>
                <w:lang w:val="es-419"/>
              </w:rPr>
              <w:t>34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1" w:history="1">
            <w:r w:rsidRPr="002405D3">
              <w:rPr>
                <w:rStyle w:val="Hyperlink"/>
                <w:noProof/>
                <w:lang w:val="es-419"/>
              </w:rPr>
              <w:t>Novedad</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_Toc124942481 \h </w:instrText>
            </w:r>
            <w:r w:rsidRPr="002405D3">
              <w:rPr>
                <w:noProof/>
                <w:webHidden/>
                <w:lang w:val="es-419"/>
              </w:rPr>
            </w:r>
            <w:r w:rsidRPr="002405D3">
              <w:rPr>
                <w:noProof/>
                <w:webHidden/>
                <w:lang w:val="es-419"/>
              </w:rPr>
              <w:fldChar w:fldCharType="separate"/>
            </w:r>
            <w:r w:rsidR="008F5FB5">
              <w:rPr>
                <w:noProof/>
                <w:webHidden/>
                <w:lang w:val="es-419"/>
              </w:rPr>
              <w:t>35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2" w:history="1">
            <w:r w:rsidRPr="002405D3">
              <w:rPr>
                <w:rStyle w:val="Hyperlink"/>
                <w:noProof/>
                <w:lang w:val="es-419"/>
              </w:rPr>
              <w:t>Ofensivo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_Toc124942482 \h </w:instrText>
            </w:r>
            <w:r w:rsidRPr="002405D3">
              <w:rPr>
                <w:noProof/>
                <w:webHidden/>
                <w:lang w:val="es-419"/>
              </w:rPr>
            </w:r>
            <w:r w:rsidRPr="002405D3">
              <w:rPr>
                <w:noProof/>
                <w:webHidden/>
                <w:lang w:val="es-419"/>
              </w:rPr>
              <w:fldChar w:fldCharType="separate"/>
            </w:r>
            <w:r w:rsidR="008F5FB5">
              <w:rPr>
                <w:noProof/>
                <w:webHidden/>
                <w:lang w:val="es-419"/>
              </w:rPr>
              <w:t>36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3" w:history="1">
            <w:r w:rsidRPr="002405D3">
              <w:rPr>
                <w:rStyle w:val="Hyperlink"/>
                <w:noProof/>
                <w:lang w:val="es-419"/>
              </w:rPr>
              <w:t>Patente</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_Toc124942483 \h </w:instrText>
            </w:r>
            <w:r w:rsidRPr="002405D3">
              <w:rPr>
                <w:noProof/>
                <w:webHidden/>
                <w:lang w:val="es-419"/>
              </w:rPr>
            </w:r>
            <w:r w:rsidRPr="002405D3">
              <w:rPr>
                <w:noProof/>
                <w:webHidden/>
                <w:lang w:val="es-419"/>
              </w:rPr>
              <w:fldChar w:fldCharType="separate"/>
            </w:r>
            <w:r w:rsidR="008F5FB5">
              <w:rPr>
                <w:noProof/>
                <w:webHidden/>
                <w:lang w:val="es-419"/>
              </w:rPr>
              <w:t>36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4" w:history="1">
            <w:r w:rsidRPr="002405D3">
              <w:rPr>
                <w:rStyle w:val="Hyperlink"/>
                <w:noProof/>
                <w:lang w:val="es-419"/>
              </w:rPr>
              <w:t>Conservación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_Toc124942484 \h </w:instrText>
            </w:r>
            <w:r w:rsidRPr="002405D3">
              <w:rPr>
                <w:noProof/>
                <w:webHidden/>
                <w:lang w:val="es-419"/>
              </w:rPr>
            </w:r>
            <w:r w:rsidRPr="002405D3">
              <w:rPr>
                <w:noProof/>
                <w:webHidden/>
                <w:lang w:val="es-419"/>
              </w:rPr>
              <w:fldChar w:fldCharType="separate"/>
            </w:r>
            <w:r w:rsidR="008F5FB5">
              <w:rPr>
                <w:noProof/>
                <w:webHidden/>
                <w:lang w:val="es-419"/>
              </w:rPr>
              <w:t>36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5" w:history="1">
            <w:r w:rsidRPr="002405D3">
              <w:rPr>
                <w:rStyle w:val="Hyperlink"/>
                <w:noProof/>
                <w:lang w:val="es-419"/>
              </w:rPr>
              <w:t>Consentimiento fundamentado previo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_Toc124942485 \h </w:instrText>
            </w:r>
            <w:r w:rsidRPr="002405D3">
              <w:rPr>
                <w:noProof/>
                <w:webHidden/>
                <w:lang w:val="es-419"/>
              </w:rPr>
            </w:r>
            <w:r w:rsidRPr="002405D3">
              <w:rPr>
                <w:noProof/>
                <w:webHidden/>
                <w:lang w:val="es-419"/>
              </w:rPr>
              <w:fldChar w:fldCharType="separate"/>
            </w:r>
            <w:r w:rsidR="008F5FB5">
              <w:rPr>
                <w:noProof/>
                <w:webHidden/>
                <w:lang w:val="es-419"/>
              </w:rPr>
              <w:t>37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6" w:history="1">
            <w:r w:rsidRPr="002405D3">
              <w:rPr>
                <w:rStyle w:val="Hyperlink"/>
                <w:noProof/>
                <w:lang w:val="es-419"/>
              </w:rPr>
              <w:t>Estado de la técnica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_Toc124942486 \h </w:instrText>
            </w:r>
            <w:r w:rsidRPr="002405D3">
              <w:rPr>
                <w:noProof/>
                <w:webHidden/>
                <w:lang w:val="es-419"/>
              </w:rPr>
            </w:r>
            <w:r w:rsidRPr="002405D3">
              <w:rPr>
                <w:noProof/>
                <w:webHidden/>
                <w:lang w:val="es-419"/>
              </w:rPr>
              <w:fldChar w:fldCharType="separate"/>
            </w:r>
            <w:r w:rsidR="008F5FB5">
              <w:rPr>
                <w:noProof/>
                <w:webHidden/>
                <w:lang w:val="es-419"/>
              </w:rPr>
              <w:t>38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7" w:history="1">
            <w:r w:rsidRPr="002405D3">
              <w:rPr>
                <w:rStyle w:val="Hyperlink"/>
                <w:noProof/>
                <w:lang w:val="es-419"/>
              </w:rPr>
              <w:t>Protección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_Toc124942487 \h </w:instrText>
            </w:r>
            <w:r w:rsidRPr="002405D3">
              <w:rPr>
                <w:noProof/>
                <w:webHidden/>
                <w:lang w:val="es-419"/>
              </w:rPr>
            </w:r>
            <w:r w:rsidRPr="002405D3">
              <w:rPr>
                <w:noProof/>
                <w:webHidden/>
                <w:lang w:val="es-419"/>
              </w:rPr>
              <w:fldChar w:fldCharType="separate"/>
            </w:r>
            <w:r w:rsidR="008F5FB5">
              <w:rPr>
                <w:noProof/>
                <w:webHidden/>
                <w:lang w:val="es-419"/>
              </w:rPr>
              <w:t>39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8" w:history="1">
            <w:r w:rsidRPr="002405D3">
              <w:rPr>
                <w:rStyle w:val="Hyperlink"/>
                <w:i/>
                <w:noProof/>
                <w:lang w:val="es-419"/>
              </w:rPr>
              <w:t>Protección positiva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_Toc124942488 \h </w:instrText>
            </w:r>
            <w:r w:rsidRPr="002405D3">
              <w:rPr>
                <w:noProof/>
                <w:webHidden/>
                <w:lang w:val="es-419"/>
              </w:rPr>
            </w:r>
            <w:r w:rsidRPr="002405D3">
              <w:rPr>
                <w:noProof/>
                <w:webHidden/>
                <w:lang w:val="es-419"/>
              </w:rPr>
              <w:fldChar w:fldCharType="separate"/>
            </w:r>
            <w:r w:rsidR="008F5FB5">
              <w:rPr>
                <w:noProof/>
                <w:webHidden/>
                <w:lang w:val="es-419"/>
              </w:rPr>
              <w:t>39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9" w:history="1">
            <w:r w:rsidRPr="002405D3">
              <w:rPr>
                <w:rStyle w:val="Hyperlink"/>
                <w:i/>
                <w:noProof/>
                <w:lang w:val="es-419"/>
              </w:rPr>
              <w:t>Protección preventiva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_Toc124942489 \h </w:instrText>
            </w:r>
            <w:r w:rsidRPr="002405D3">
              <w:rPr>
                <w:noProof/>
                <w:webHidden/>
                <w:lang w:val="es-419"/>
              </w:rPr>
            </w:r>
            <w:r w:rsidRPr="002405D3">
              <w:rPr>
                <w:noProof/>
                <w:webHidden/>
                <w:lang w:val="es-419"/>
              </w:rPr>
              <w:fldChar w:fldCharType="separate"/>
            </w:r>
            <w:r w:rsidR="008F5FB5">
              <w:rPr>
                <w:noProof/>
                <w:webHidden/>
                <w:lang w:val="es-419"/>
              </w:rPr>
              <w:t>39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0" w:history="1">
            <w:r w:rsidRPr="002405D3">
              <w:rPr>
                <w:rStyle w:val="Hyperlink"/>
                <w:noProof/>
                <w:lang w:val="es-419"/>
              </w:rPr>
              <w:t>Protocolo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_Toc124942490 \h </w:instrText>
            </w:r>
            <w:r w:rsidRPr="002405D3">
              <w:rPr>
                <w:noProof/>
                <w:webHidden/>
                <w:lang w:val="es-419"/>
              </w:rPr>
            </w:r>
            <w:r w:rsidRPr="002405D3">
              <w:rPr>
                <w:noProof/>
                <w:webHidden/>
                <w:lang w:val="es-419"/>
              </w:rPr>
              <w:fldChar w:fldCharType="separate"/>
            </w:r>
            <w:r w:rsidR="008F5FB5">
              <w:rPr>
                <w:noProof/>
                <w:webHidden/>
                <w:lang w:val="es-419"/>
              </w:rPr>
              <w:t>39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1" w:history="1">
            <w:r w:rsidRPr="002405D3">
              <w:rPr>
                <w:rStyle w:val="Hyperlink"/>
                <w:noProof/>
                <w:lang w:val="es-419"/>
              </w:rPr>
              <w:t>Proveedores y beneficiarios de recursos genéticos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_Toc124942491 \h </w:instrText>
            </w:r>
            <w:r w:rsidRPr="002405D3">
              <w:rPr>
                <w:noProof/>
                <w:webHidden/>
                <w:lang w:val="es-419"/>
              </w:rPr>
            </w:r>
            <w:r w:rsidRPr="002405D3">
              <w:rPr>
                <w:noProof/>
                <w:webHidden/>
                <w:lang w:val="es-419"/>
              </w:rPr>
              <w:fldChar w:fldCharType="separate"/>
            </w:r>
            <w:r w:rsidR="008F5FB5">
              <w:rPr>
                <w:noProof/>
                <w:webHidden/>
                <w:lang w:val="es-419"/>
              </w:rPr>
              <w:t>40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2" w:history="1">
            <w:r w:rsidRPr="002405D3">
              <w:rPr>
                <w:rStyle w:val="Hyperlink"/>
                <w:noProof/>
                <w:lang w:val="es-419"/>
              </w:rPr>
              <w:t>Dominio público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_Toc124942492 \h </w:instrText>
            </w:r>
            <w:r w:rsidRPr="002405D3">
              <w:rPr>
                <w:noProof/>
                <w:webHidden/>
                <w:lang w:val="es-419"/>
              </w:rPr>
            </w:r>
            <w:r w:rsidRPr="002405D3">
              <w:rPr>
                <w:noProof/>
                <w:webHidden/>
                <w:lang w:val="es-419"/>
              </w:rPr>
              <w:fldChar w:fldCharType="separate"/>
            </w:r>
            <w:r w:rsidR="008F5FB5">
              <w:rPr>
                <w:noProof/>
                <w:webHidden/>
                <w:lang w:val="es-419"/>
              </w:rPr>
              <w:t>40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3" w:history="1">
            <w:r w:rsidRPr="002405D3">
              <w:rPr>
                <w:rStyle w:val="Hyperlink"/>
                <w:noProof/>
                <w:lang w:val="es-419"/>
              </w:rPr>
              <w:t>Disponibilidad pública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_Toc124942493 \h </w:instrText>
            </w:r>
            <w:r w:rsidRPr="002405D3">
              <w:rPr>
                <w:noProof/>
                <w:webHidden/>
                <w:lang w:val="es-419"/>
              </w:rPr>
            </w:r>
            <w:r w:rsidRPr="002405D3">
              <w:rPr>
                <w:noProof/>
                <w:webHidden/>
                <w:lang w:val="es-419"/>
              </w:rPr>
              <w:fldChar w:fldCharType="separate"/>
            </w:r>
            <w:r w:rsidR="008F5FB5">
              <w:rPr>
                <w:noProof/>
                <w:webHidden/>
                <w:lang w:val="es-419"/>
              </w:rPr>
              <w:t>41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4" w:history="1">
            <w:r w:rsidRPr="002405D3">
              <w:rPr>
                <w:rStyle w:val="Hyperlink"/>
                <w:noProof/>
                <w:lang w:val="es-419"/>
              </w:rPr>
              <w:t>Registros de conocimientos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_Toc124942494 \h </w:instrText>
            </w:r>
            <w:r w:rsidRPr="002405D3">
              <w:rPr>
                <w:noProof/>
                <w:webHidden/>
                <w:lang w:val="es-419"/>
              </w:rPr>
            </w:r>
            <w:r w:rsidRPr="002405D3">
              <w:rPr>
                <w:noProof/>
                <w:webHidden/>
                <w:lang w:val="es-419"/>
              </w:rPr>
              <w:fldChar w:fldCharType="separate"/>
            </w:r>
            <w:r w:rsidR="008F5FB5">
              <w:rPr>
                <w:noProof/>
                <w:webHidden/>
                <w:lang w:val="es-419"/>
              </w:rPr>
              <w:t>41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5" w:history="1">
            <w:r w:rsidRPr="002405D3">
              <w:rPr>
                <w:rStyle w:val="Hyperlink"/>
                <w:noProof/>
                <w:lang w:val="es-419"/>
              </w:rPr>
              <w:t>Reputación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_Toc124942495 \h </w:instrText>
            </w:r>
            <w:r w:rsidRPr="002405D3">
              <w:rPr>
                <w:noProof/>
                <w:webHidden/>
                <w:lang w:val="es-419"/>
              </w:rPr>
            </w:r>
            <w:r w:rsidRPr="002405D3">
              <w:rPr>
                <w:noProof/>
                <w:webHidden/>
                <w:lang w:val="es-419"/>
              </w:rPr>
              <w:fldChar w:fldCharType="separate"/>
            </w:r>
            <w:r w:rsidR="008F5FB5">
              <w:rPr>
                <w:noProof/>
                <w:webHidden/>
                <w:lang w:val="es-419"/>
              </w:rPr>
              <w:t>42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6" w:history="1">
            <w:r w:rsidRPr="002405D3">
              <w:rPr>
                <w:rStyle w:val="Hyperlink"/>
                <w:noProof/>
                <w:lang w:val="es-419"/>
              </w:rPr>
              <w:t>Sagrado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_Toc124942496 \h </w:instrText>
            </w:r>
            <w:r w:rsidRPr="002405D3">
              <w:rPr>
                <w:noProof/>
                <w:webHidden/>
                <w:lang w:val="es-419"/>
              </w:rPr>
            </w:r>
            <w:r w:rsidRPr="002405D3">
              <w:rPr>
                <w:noProof/>
                <w:webHidden/>
                <w:lang w:val="es-419"/>
              </w:rPr>
              <w:fldChar w:fldCharType="separate"/>
            </w:r>
            <w:r w:rsidR="008F5FB5">
              <w:rPr>
                <w:noProof/>
                <w:webHidden/>
                <w:lang w:val="es-419"/>
              </w:rPr>
              <w:t>42</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7" w:history="1">
            <w:r w:rsidRPr="002405D3">
              <w:rPr>
                <w:rStyle w:val="Hyperlink"/>
                <w:noProof/>
                <w:lang w:val="es-419"/>
              </w:rPr>
              <w:t>Salvaguardia</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_Toc124942497 \h </w:instrText>
            </w:r>
            <w:r w:rsidRPr="002405D3">
              <w:rPr>
                <w:noProof/>
                <w:webHidden/>
                <w:lang w:val="es-419"/>
              </w:rPr>
            </w:r>
            <w:r w:rsidRPr="002405D3">
              <w:rPr>
                <w:noProof/>
                <w:webHidden/>
                <w:lang w:val="es-419"/>
              </w:rPr>
              <w:fldChar w:fldCharType="separate"/>
            </w:r>
            <w:r w:rsidR="008F5FB5">
              <w:rPr>
                <w:noProof/>
                <w:webHidden/>
                <w:lang w:val="es-419"/>
              </w:rPr>
              <w:t>44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8" w:history="1">
            <w:r w:rsidRPr="002405D3">
              <w:rPr>
                <w:rStyle w:val="Hyperlink"/>
                <w:noProof/>
                <w:lang w:val="es-419"/>
              </w:rPr>
              <w:t>Secreto</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_Toc124942498 \h </w:instrText>
            </w:r>
            <w:r w:rsidRPr="002405D3">
              <w:rPr>
                <w:noProof/>
                <w:webHidden/>
                <w:lang w:val="es-419"/>
              </w:rPr>
            </w:r>
            <w:r w:rsidRPr="002405D3">
              <w:rPr>
                <w:noProof/>
                <w:webHidden/>
                <w:lang w:val="es-419"/>
              </w:rPr>
              <w:fldChar w:fldCharType="separate"/>
            </w:r>
            <w:r w:rsidR="008F5FB5">
              <w:rPr>
                <w:noProof/>
                <w:webHidden/>
                <w:lang w:val="es-419"/>
              </w:rPr>
              <w:t>44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9" w:history="1">
            <w:r w:rsidRPr="002405D3">
              <w:rPr>
                <w:rStyle w:val="Hyperlink"/>
                <w:noProof/>
                <w:lang w:val="es-419"/>
              </w:rPr>
              <w:t>Fuente de los recursos genéticos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_Toc124942499 \h </w:instrText>
            </w:r>
            <w:r w:rsidRPr="002405D3">
              <w:rPr>
                <w:noProof/>
                <w:webHidden/>
                <w:lang w:val="es-419"/>
              </w:rPr>
            </w:r>
            <w:r w:rsidRPr="002405D3">
              <w:rPr>
                <w:noProof/>
                <w:webHidden/>
                <w:lang w:val="es-419"/>
              </w:rPr>
              <w:fldChar w:fldCharType="separate"/>
            </w:r>
            <w:r w:rsidR="008F5FB5">
              <w:rPr>
                <w:noProof/>
                <w:webHidden/>
                <w:lang w:val="es-419"/>
              </w:rPr>
              <w:t>44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0" w:history="1">
            <w:r w:rsidRPr="002405D3">
              <w:rPr>
                <w:rStyle w:val="Hyperlink"/>
                <w:noProof/>
                <w:lang w:val="es-419"/>
              </w:rPr>
              <w:t>Sui géneris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_Toc124942500 \h </w:instrText>
            </w:r>
            <w:r w:rsidRPr="002405D3">
              <w:rPr>
                <w:noProof/>
                <w:webHidden/>
                <w:lang w:val="es-419"/>
              </w:rPr>
            </w:r>
            <w:r w:rsidRPr="002405D3">
              <w:rPr>
                <w:noProof/>
                <w:webHidden/>
                <w:lang w:val="es-419"/>
              </w:rPr>
              <w:fldChar w:fldCharType="separate"/>
            </w:r>
            <w:r w:rsidR="008F5FB5">
              <w:rPr>
                <w:noProof/>
                <w:webHidden/>
                <w:lang w:val="es-419"/>
              </w:rPr>
              <w:t>44</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1" w:history="1">
            <w:r w:rsidRPr="002405D3">
              <w:rPr>
                <w:rStyle w:val="Hyperlink"/>
                <w:noProof/>
                <w:lang w:val="es-419"/>
              </w:rPr>
              <w:t>Protocolo de Swakopmund sobre la Protección de los Conocimientos Tradicionales y las Expresiones del Folclore</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_Toc124942501 \h </w:instrText>
            </w:r>
            <w:r w:rsidRPr="002405D3">
              <w:rPr>
                <w:noProof/>
                <w:webHidden/>
                <w:lang w:val="es-419"/>
              </w:rPr>
            </w:r>
            <w:r w:rsidRPr="002405D3">
              <w:rPr>
                <w:noProof/>
                <w:webHidden/>
                <w:lang w:val="es-419"/>
              </w:rPr>
              <w:fldChar w:fldCharType="separate"/>
            </w:r>
            <w:r w:rsidR="008F5FB5">
              <w:rPr>
                <w:noProof/>
                <w:webHidden/>
                <w:lang w:val="es-419"/>
              </w:rPr>
              <w:t>45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2" w:history="1">
            <w:r w:rsidRPr="002405D3">
              <w:rPr>
                <w:rStyle w:val="Hyperlink"/>
                <w:noProof/>
                <w:lang w:val="es-419"/>
              </w:rPr>
              <w:t>Expresiones materiales (o tangibles)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_Toc124942502 \h </w:instrText>
            </w:r>
            <w:r w:rsidRPr="002405D3">
              <w:rPr>
                <w:noProof/>
                <w:webHidden/>
                <w:lang w:val="es-419"/>
              </w:rPr>
            </w:r>
            <w:r w:rsidRPr="002405D3">
              <w:rPr>
                <w:noProof/>
                <w:webHidden/>
                <w:lang w:val="es-419"/>
              </w:rPr>
              <w:fldChar w:fldCharType="separate"/>
            </w:r>
            <w:r w:rsidR="008F5FB5">
              <w:rPr>
                <w:noProof/>
                <w:webHidden/>
                <w:lang w:val="es-419"/>
              </w:rPr>
              <w:t>45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3" w:history="1">
            <w:r w:rsidRPr="002405D3">
              <w:rPr>
                <w:rStyle w:val="Hyperlink"/>
                <w:noProof/>
                <w:lang w:val="es-419"/>
              </w:rPr>
              <w:t>Contexto tradicional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_Toc124942503 \h </w:instrText>
            </w:r>
            <w:r w:rsidRPr="002405D3">
              <w:rPr>
                <w:noProof/>
                <w:webHidden/>
                <w:lang w:val="es-419"/>
              </w:rPr>
            </w:r>
            <w:r w:rsidRPr="002405D3">
              <w:rPr>
                <w:noProof/>
                <w:webHidden/>
                <w:lang w:val="es-419"/>
              </w:rPr>
              <w:fldChar w:fldCharType="separate"/>
            </w:r>
            <w:r w:rsidR="008F5FB5">
              <w:rPr>
                <w:noProof/>
                <w:webHidden/>
                <w:lang w:val="es-419"/>
              </w:rPr>
              <w:t>45</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4" w:history="1">
            <w:r w:rsidRPr="002405D3">
              <w:rPr>
                <w:rStyle w:val="Hyperlink"/>
                <w:noProof/>
                <w:lang w:val="es-419"/>
              </w:rPr>
              <w:t>Expresiones culturales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_Toc124942504 \h </w:instrText>
            </w:r>
            <w:r w:rsidRPr="002405D3">
              <w:rPr>
                <w:noProof/>
                <w:webHidden/>
                <w:lang w:val="es-419"/>
              </w:rPr>
            </w:r>
            <w:r w:rsidRPr="002405D3">
              <w:rPr>
                <w:noProof/>
                <w:webHidden/>
                <w:lang w:val="es-419"/>
              </w:rPr>
              <w:fldChar w:fldCharType="separate"/>
            </w:r>
            <w:r w:rsidR="008F5FB5">
              <w:rPr>
                <w:noProof/>
                <w:webHidden/>
                <w:lang w:val="es-419"/>
              </w:rPr>
              <w:t>46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5" w:history="1">
            <w:r w:rsidRPr="002405D3">
              <w:rPr>
                <w:rStyle w:val="Hyperlink"/>
                <w:noProof/>
                <w:lang w:val="es-419"/>
              </w:rPr>
              <w:t>Culturas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_Toc124942505 \h </w:instrText>
            </w:r>
            <w:r w:rsidRPr="002405D3">
              <w:rPr>
                <w:noProof/>
                <w:webHidden/>
                <w:lang w:val="es-419"/>
              </w:rPr>
            </w:r>
            <w:r w:rsidRPr="002405D3">
              <w:rPr>
                <w:noProof/>
                <w:webHidden/>
                <w:lang w:val="es-419"/>
              </w:rPr>
              <w:fldChar w:fldCharType="separate"/>
            </w:r>
            <w:r w:rsidR="008F5FB5">
              <w:rPr>
                <w:noProof/>
                <w:webHidden/>
                <w:lang w:val="es-419"/>
              </w:rPr>
              <w:t>46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6" w:history="1">
            <w:r w:rsidRPr="002405D3">
              <w:rPr>
                <w:rStyle w:val="Hyperlink"/>
                <w:noProof/>
                <w:lang w:val="es-419"/>
              </w:rPr>
              <w:t>Conocimientos ecológicos tradicionales/conocimientos medioambientales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_Toc124942506 \h </w:instrText>
            </w:r>
            <w:r w:rsidRPr="002405D3">
              <w:rPr>
                <w:noProof/>
                <w:webHidden/>
                <w:lang w:val="es-419"/>
              </w:rPr>
            </w:r>
            <w:r w:rsidRPr="002405D3">
              <w:rPr>
                <w:noProof/>
                <w:webHidden/>
                <w:lang w:val="es-419"/>
              </w:rPr>
              <w:fldChar w:fldCharType="separate"/>
            </w:r>
            <w:r w:rsidR="008F5FB5">
              <w:rPr>
                <w:noProof/>
                <w:webHidden/>
                <w:lang w:val="es-419"/>
              </w:rPr>
              <w:t>46</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7" w:history="1">
            <w:r w:rsidRPr="002405D3">
              <w:rPr>
                <w:rStyle w:val="Hyperlink"/>
                <w:noProof/>
                <w:lang w:val="es-419"/>
              </w:rPr>
              <w:t>Conocimientos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_Toc124942507 \h </w:instrText>
            </w:r>
            <w:r w:rsidRPr="002405D3">
              <w:rPr>
                <w:noProof/>
                <w:webHidden/>
                <w:lang w:val="es-419"/>
              </w:rPr>
            </w:r>
            <w:r w:rsidRPr="002405D3">
              <w:rPr>
                <w:noProof/>
                <w:webHidden/>
                <w:lang w:val="es-419"/>
              </w:rPr>
              <w:fldChar w:fldCharType="separate"/>
            </w:r>
            <w:r w:rsidR="008F5FB5">
              <w:rPr>
                <w:noProof/>
                <w:webHidden/>
                <w:lang w:val="es-419"/>
              </w:rPr>
              <w:t>47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9" w:history="1">
            <w:r w:rsidRPr="002405D3">
              <w:rPr>
                <w:rStyle w:val="Hyperlink"/>
                <w:noProof/>
                <w:lang w:val="es-419"/>
              </w:rPr>
              <w:t>Biblioteca digital sobre Conocimientos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_Toc124942509 \h </w:instrText>
            </w:r>
            <w:r w:rsidRPr="002405D3">
              <w:rPr>
                <w:noProof/>
                <w:webHidden/>
                <w:lang w:val="es-419"/>
              </w:rPr>
            </w:r>
            <w:r w:rsidRPr="002405D3">
              <w:rPr>
                <w:noProof/>
                <w:webHidden/>
                <w:lang w:val="es-419"/>
              </w:rPr>
              <w:fldChar w:fldCharType="separate"/>
            </w:r>
            <w:r w:rsidR="008F5FB5">
              <w:rPr>
                <w:noProof/>
                <w:webHidden/>
                <w:lang w:val="es-419"/>
              </w:rPr>
              <w:t>47</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0" w:history="1">
            <w:r w:rsidRPr="002405D3">
              <w:rPr>
                <w:rStyle w:val="Hyperlink"/>
                <w:noProof/>
                <w:lang w:val="es-419"/>
              </w:rPr>
              <w:t>Clasificación de Recursos sobre Conocimientos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_Toc124942510 \h </w:instrText>
            </w:r>
            <w:r w:rsidRPr="002405D3">
              <w:rPr>
                <w:noProof/>
                <w:webHidden/>
                <w:lang w:val="es-419"/>
              </w:rPr>
            </w:r>
            <w:r w:rsidRPr="002405D3">
              <w:rPr>
                <w:noProof/>
                <w:webHidden/>
                <w:lang w:val="es-419"/>
              </w:rPr>
              <w:fldChar w:fldCharType="separate"/>
            </w:r>
            <w:r w:rsidR="008F5FB5">
              <w:rPr>
                <w:noProof/>
                <w:webHidden/>
                <w:lang w:val="es-419"/>
              </w:rPr>
              <w:t>48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1" w:history="1">
            <w:r w:rsidRPr="002405D3">
              <w:rPr>
                <w:rStyle w:val="Hyperlink"/>
                <w:noProof/>
                <w:lang w:val="es-419"/>
              </w:rPr>
              <w:t>Medicina tradicional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_Toc124942511 \h </w:instrText>
            </w:r>
            <w:r w:rsidRPr="002405D3">
              <w:rPr>
                <w:noProof/>
                <w:webHidden/>
                <w:lang w:val="es-419"/>
              </w:rPr>
            </w:r>
            <w:r w:rsidRPr="002405D3">
              <w:rPr>
                <w:noProof/>
                <w:webHidden/>
                <w:lang w:val="es-419"/>
              </w:rPr>
              <w:fldChar w:fldCharType="separate"/>
            </w:r>
            <w:r w:rsidR="008F5FB5">
              <w:rPr>
                <w:noProof/>
                <w:webHidden/>
                <w:lang w:val="es-419"/>
              </w:rPr>
              <w:t>48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2" w:history="1">
            <w:r w:rsidRPr="002405D3">
              <w:rPr>
                <w:rStyle w:val="Hyperlink"/>
                <w:noProof/>
                <w:lang w:val="es-419"/>
              </w:rPr>
              <w:t>Innovaciones y creaciones basadas en la tradición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_Toc124942512 \h </w:instrText>
            </w:r>
            <w:r w:rsidRPr="002405D3">
              <w:rPr>
                <w:noProof/>
                <w:webHidden/>
                <w:lang w:val="es-419"/>
              </w:rPr>
            </w:r>
            <w:r w:rsidRPr="002405D3">
              <w:rPr>
                <w:noProof/>
                <w:webHidden/>
                <w:lang w:val="es-419"/>
              </w:rPr>
              <w:fldChar w:fldCharType="separate"/>
            </w:r>
            <w:r w:rsidR="008F5FB5">
              <w:rPr>
                <w:noProof/>
                <w:webHidden/>
                <w:lang w:val="es-419"/>
              </w:rPr>
              <w:t>48</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3" w:history="1">
            <w:r w:rsidRPr="002405D3">
              <w:rPr>
                <w:rStyle w:val="Hyperlink"/>
                <w:noProof/>
                <w:lang w:val="es-419"/>
              </w:rPr>
              <w:t>Convención de la UNESCO sobre las medidas que deben adoptarse para prohibir e impedir la importación, la exportación y la transferencia de propiedad ilícitas de bienes culturales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_Toc124942513 \h </w:instrText>
            </w:r>
            <w:r w:rsidRPr="002405D3">
              <w:rPr>
                <w:noProof/>
                <w:webHidden/>
                <w:lang w:val="es-419"/>
              </w:rPr>
            </w:r>
            <w:r w:rsidRPr="002405D3">
              <w:rPr>
                <w:noProof/>
                <w:webHidden/>
                <w:lang w:val="es-419"/>
              </w:rPr>
              <w:fldChar w:fldCharType="separate"/>
            </w:r>
            <w:r w:rsidR="008F5FB5">
              <w:rPr>
                <w:noProof/>
                <w:webHidden/>
                <w:lang w:val="es-419"/>
              </w:rPr>
              <w:t>49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4" w:history="1">
            <w:r w:rsidRPr="002405D3">
              <w:rPr>
                <w:rStyle w:val="Hyperlink"/>
                <w:noProof/>
                <w:lang w:val="es-419"/>
              </w:rPr>
              <w:t>Convención de la UNESCO sobre la protección y la promoción de la diversidad de las expresiones culturales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_Toc124942514 \h </w:instrText>
            </w:r>
            <w:r w:rsidRPr="002405D3">
              <w:rPr>
                <w:noProof/>
                <w:webHidden/>
                <w:lang w:val="es-419"/>
              </w:rPr>
            </w:r>
            <w:r w:rsidRPr="002405D3">
              <w:rPr>
                <w:noProof/>
                <w:webHidden/>
                <w:lang w:val="es-419"/>
              </w:rPr>
              <w:fldChar w:fldCharType="separate"/>
            </w:r>
            <w:r w:rsidR="008F5FB5">
              <w:rPr>
                <w:noProof/>
                <w:webHidden/>
                <w:lang w:val="es-419"/>
              </w:rPr>
              <w:t>49</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5" w:history="1">
            <w:r w:rsidRPr="002405D3">
              <w:rPr>
                <w:rStyle w:val="Hyperlink"/>
                <w:noProof/>
                <w:lang w:val="es-419"/>
              </w:rPr>
              <w:t>Convención de la UNESCO para la salvaguardia del patrimonio cultural inmaterial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_Toc124942515 \h </w:instrText>
            </w:r>
            <w:r w:rsidRPr="002405D3">
              <w:rPr>
                <w:noProof/>
                <w:webHidden/>
                <w:lang w:val="es-419"/>
              </w:rPr>
            </w:r>
            <w:r w:rsidRPr="002405D3">
              <w:rPr>
                <w:noProof/>
                <w:webHidden/>
                <w:lang w:val="es-419"/>
              </w:rPr>
              <w:fldChar w:fldCharType="separate"/>
            </w:r>
            <w:r w:rsidR="008F5FB5">
              <w:rPr>
                <w:noProof/>
                <w:webHidden/>
                <w:lang w:val="es-419"/>
              </w:rPr>
              <w:t>50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6" w:history="1">
            <w:r w:rsidRPr="002405D3">
              <w:rPr>
                <w:rStyle w:val="Hyperlink"/>
                <w:noProof/>
                <w:lang w:val="es-419"/>
              </w:rPr>
              <w:t>Competencia desleal</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_Toc124942516 \h </w:instrText>
            </w:r>
            <w:r w:rsidRPr="002405D3">
              <w:rPr>
                <w:noProof/>
                <w:webHidden/>
                <w:lang w:val="es-419"/>
              </w:rPr>
            </w:r>
            <w:r w:rsidRPr="002405D3">
              <w:rPr>
                <w:noProof/>
                <w:webHidden/>
                <w:lang w:val="es-419"/>
              </w:rPr>
              <w:fldChar w:fldCharType="separate"/>
            </w:r>
            <w:r w:rsidR="008F5FB5">
              <w:rPr>
                <w:noProof/>
                <w:webHidden/>
                <w:lang w:val="es-419"/>
              </w:rPr>
              <w:t>50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7" w:history="1">
            <w:r w:rsidRPr="002405D3">
              <w:rPr>
                <w:rStyle w:val="Hyperlink"/>
                <w:noProof/>
                <w:lang w:val="es-419"/>
              </w:rPr>
              <w:t>Declaración de las Naciones Unidas sobre los Derechos de los Pueblos Indígenas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_Toc124942517 \h </w:instrText>
            </w:r>
            <w:r w:rsidRPr="002405D3">
              <w:rPr>
                <w:noProof/>
                <w:webHidden/>
                <w:lang w:val="es-419"/>
              </w:rPr>
            </w:r>
            <w:r w:rsidRPr="002405D3">
              <w:rPr>
                <w:noProof/>
                <w:webHidden/>
                <w:lang w:val="es-419"/>
              </w:rPr>
              <w:fldChar w:fldCharType="separate"/>
            </w:r>
            <w:r w:rsidR="008F5FB5">
              <w:rPr>
                <w:noProof/>
                <w:webHidden/>
                <w:lang w:val="es-419"/>
              </w:rPr>
              <w:t>50</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8" w:history="1">
            <w:r w:rsidRPr="002405D3">
              <w:rPr>
                <w:rStyle w:val="Hyperlink"/>
                <w:noProof/>
                <w:lang w:val="es-419"/>
              </w:rPr>
              <w:t>Declaración Universal de Derechos Humanos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_Toc124942518 \h </w:instrText>
            </w:r>
            <w:r w:rsidRPr="002405D3">
              <w:rPr>
                <w:noProof/>
                <w:webHidden/>
                <w:lang w:val="es-419"/>
              </w:rPr>
            </w:r>
            <w:r w:rsidRPr="002405D3">
              <w:rPr>
                <w:noProof/>
                <w:webHidden/>
                <w:lang w:val="es-419"/>
              </w:rPr>
              <w:fldChar w:fldCharType="separate"/>
            </w:r>
            <w:r w:rsidR="008F5FB5">
              <w:rPr>
                <w:noProof/>
                <w:webHidden/>
                <w:lang w:val="es-419"/>
              </w:rPr>
              <w:t>51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9" w:history="1">
            <w:r w:rsidRPr="002405D3">
              <w:rPr>
                <w:rStyle w:val="Hyperlink"/>
                <w:noProof/>
                <w:lang w:val="es-419"/>
              </w:rPr>
              <w:t>Uso de las expresiones culturales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_Toc124942519 \h </w:instrText>
            </w:r>
            <w:r w:rsidRPr="002405D3">
              <w:rPr>
                <w:noProof/>
                <w:webHidden/>
                <w:lang w:val="es-419"/>
              </w:rPr>
            </w:r>
            <w:r w:rsidRPr="002405D3">
              <w:rPr>
                <w:noProof/>
                <w:webHidden/>
                <w:lang w:val="es-419"/>
              </w:rPr>
              <w:fldChar w:fldCharType="separate"/>
            </w:r>
            <w:r w:rsidR="008F5FB5">
              <w:rPr>
                <w:noProof/>
                <w:webHidden/>
                <w:lang w:val="es-419"/>
              </w:rPr>
              <w:t>51</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26" w:history="1">
            <w:r w:rsidRPr="002405D3">
              <w:rPr>
                <w:rStyle w:val="Hyperlink"/>
                <w:noProof/>
                <w:lang w:val="es-419"/>
              </w:rPr>
              <w:t>Utilización</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_Toc124942526 \h </w:instrText>
            </w:r>
            <w:r w:rsidRPr="002405D3">
              <w:rPr>
                <w:noProof/>
                <w:webHidden/>
                <w:lang w:val="es-419"/>
              </w:rPr>
            </w:r>
            <w:r w:rsidRPr="002405D3">
              <w:rPr>
                <w:noProof/>
                <w:webHidden/>
                <w:lang w:val="es-419"/>
              </w:rPr>
              <w:fldChar w:fldCharType="separate"/>
            </w:r>
            <w:r w:rsidR="008F5FB5">
              <w:rPr>
                <w:noProof/>
                <w:webHidden/>
                <w:lang w:val="es-419"/>
              </w:rPr>
              <w:t>53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27" w:history="1">
            <w:r w:rsidRPr="002405D3">
              <w:rPr>
                <w:rStyle w:val="Hyperlink"/>
                <w:noProof/>
                <w:lang w:val="es-419"/>
              </w:rPr>
              <w:t>Guía de la OMPI para la catalogación de conocimientos tradicionales (Guía de catalogación de los conocimientos tradicionales)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_Toc124942527 \h </w:instrText>
            </w:r>
            <w:r w:rsidRPr="002405D3">
              <w:rPr>
                <w:noProof/>
                <w:webHidden/>
                <w:lang w:val="es-419"/>
              </w:rPr>
            </w:r>
            <w:r w:rsidRPr="002405D3">
              <w:rPr>
                <w:noProof/>
                <w:webHidden/>
                <w:lang w:val="es-419"/>
              </w:rPr>
              <w:fldChar w:fldCharType="separate"/>
            </w:r>
            <w:r w:rsidR="008F5FB5">
              <w:rPr>
                <w:noProof/>
                <w:webHidden/>
                <w:lang w:val="es-419"/>
              </w:rPr>
              <w:t>53</w:t>
            </w:r>
            <w:r w:rsidRPr="002405D3">
              <w:rPr>
                <w:noProof/>
                <w:webHidden/>
                <w:lang w:val="es-419"/>
              </w:rPr>
              <w:fldChar w:fldCharType="end"/>
            </w:r>
          </w:hyperlink>
        </w:p>
        <w:p w:rsidR="00244683" w:rsidRPr="002405D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28" w:history="1">
            <w:r w:rsidRPr="002405D3">
              <w:rPr>
                <w:rStyle w:val="Hyperlink"/>
                <w:noProof/>
                <w:lang w:val="es-419"/>
              </w:rPr>
              <w:t>Disposiciones Tipo OMPI-UNESCO para leyes nacionales sobre la protección de las expresiones del folclore contra la explotación ilícita y otras acciones lesivas</w:t>
            </w:r>
            <w:r w:rsidRPr="002405D3">
              <w:rPr>
                <w:noProof/>
                <w:webHidden/>
                <w:lang w:val="es-419"/>
              </w:rPr>
              <w:tab/>
            </w:r>
            <w:r w:rsidRPr="002405D3">
              <w:rPr>
                <w:noProof/>
                <w:webHidden/>
                <w:lang w:val="es-419"/>
              </w:rPr>
              <w:fldChar w:fldCharType="begin"/>
            </w:r>
            <w:r w:rsidRPr="002405D3">
              <w:rPr>
                <w:noProof/>
                <w:webHidden/>
                <w:lang w:val="es-419"/>
              </w:rPr>
              <w:instrText xml:space="preserve"> PAGEREF _Toc124942528 \h </w:instrText>
            </w:r>
            <w:r w:rsidRPr="002405D3">
              <w:rPr>
                <w:noProof/>
                <w:webHidden/>
                <w:lang w:val="es-419"/>
              </w:rPr>
            </w:r>
            <w:r w:rsidRPr="002405D3">
              <w:rPr>
                <w:noProof/>
                <w:webHidden/>
                <w:lang w:val="es-419"/>
              </w:rPr>
              <w:fldChar w:fldCharType="separate"/>
            </w:r>
            <w:r w:rsidR="008F5FB5">
              <w:rPr>
                <w:noProof/>
                <w:webHidden/>
                <w:lang w:val="es-419"/>
              </w:rPr>
              <w:t>53</w:t>
            </w:r>
            <w:r w:rsidRPr="002405D3">
              <w:rPr>
                <w:noProof/>
                <w:webHidden/>
                <w:lang w:val="es-419"/>
              </w:rPr>
              <w:fldChar w:fldCharType="end"/>
            </w:r>
          </w:hyperlink>
        </w:p>
        <w:p w:rsidR="0050487D" w:rsidRPr="002405D3" w:rsidRDefault="0050487D" w:rsidP="0050487D">
          <w:pPr>
            <w:rPr>
              <w:lang w:val="es-419"/>
            </w:rPr>
          </w:pPr>
          <w:r w:rsidRPr="002405D3">
            <w:rPr>
              <w:b/>
              <w:lang w:val="es-419"/>
            </w:rPr>
            <w:fldChar w:fldCharType="end"/>
          </w:r>
        </w:p>
      </w:sdtContent>
    </w:sdt>
    <w:p w:rsidR="0050487D" w:rsidRPr="002405D3" w:rsidRDefault="0050487D" w:rsidP="0050487D">
      <w:pPr>
        <w:rPr>
          <w:caps/>
          <w:sz w:val="24"/>
          <w:lang w:val="es-419"/>
        </w:rPr>
        <w:sectPr w:rsidR="0050487D" w:rsidRPr="002405D3" w:rsidSect="0002367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50487D" w:rsidRPr="002405D3" w:rsidRDefault="0050487D" w:rsidP="0050487D">
      <w:pPr>
        <w:pStyle w:val="Heading1"/>
        <w:spacing w:before="0" w:after="220"/>
        <w:rPr>
          <w:lang w:val="es-419"/>
        </w:rPr>
      </w:pPr>
      <w:bookmarkStart w:id="8" w:name="_Toc124942410"/>
      <w:r w:rsidRPr="002405D3">
        <w:rPr>
          <w:caps w:val="0"/>
          <w:lang w:val="es-419"/>
        </w:rPr>
        <w:lastRenderedPageBreak/>
        <w:t>Acceso y participación en los beneficios</w:t>
      </w:r>
      <w:r w:rsidRPr="002405D3">
        <w:rPr>
          <w:rStyle w:val="FootnoteReference"/>
          <w:caps w:val="0"/>
          <w:lang w:val="es-419"/>
        </w:rPr>
        <w:footnoteReference w:customMarkFollows="1" w:id="4"/>
        <w:sym w:font="Symbol" w:char="F02A"/>
      </w:r>
      <w:bookmarkEnd w:id="8"/>
    </w:p>
    <w:p w:rsidR="0050487D" w:rsidRPr="002405D3" w:rsidRDefault="0050487D" w:rsidP="0050487D">
      <w:pPr>
        <w:spacing w:after="220"/>
        <w:rPr>
          <w:lang w:val="es-419"/>
        </w:rPr>
      </w:pPr>
      <w:r w:rsidRPr="002405D3">
        <w:rPr>
          <w:lang w:val="es-419"/>
        </w:rPr>
        <w:t xml:space="preserve">El Artículo 1 del </w:t>
      </w:r>
      <w:r w:rsidRPr="002405D3">
        <w:rPr>
          <w:i/>
          <w:lang w:val="es-419"/>
        </w:rPr>
        <w:t>Convenio sobre la Diversidad Biológica</w:t>
      </w:r>
      <w:r w:rsidRPr="002405D3">
        <w:rPr>
          <w:lang w:val="es-419"/>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p>
    <w:p w:rsidR="0050487D" w:rsidRPr="002405D3" w:rsidRDefault="0050487D" w:rsidP="0050487D">
      <w:pPr>
        <w:spacing w:after="220"/>
        <w:rPr>
          <w:lang w:val="es-419"/>
        </w:rPr>
      </w:pPr>
      <w:r w:rsidRPr="002405D3">
        <w:rPr>
          <w:lang w:val="es-419"/>
        </w:rPr>
        <w:t xml:space="preserve">El </w:t>
      </w:r>
      <w:r w:rsidRPr="002405D3">
        <w:rPr>
          <w:i/>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50487D" w:rsidRPr="002405D3" w:rsidRDefault="0050487D" w:rsidP="0050487D">
      <w:pPr>
        <w:spacing w:after="220"/>
        <w:rPr>
          <w:lang w:val="es-419"/>
        </w:rPr>
      </w:pPr>
      <w:r w:rsidRPr="002405D3">
        <w:rPr>
          <w:lang w:val="es-419"/>
        </w:rPr>
        <w:t xml:space="preserve">En lo que respecta a los recursos fitogenéticos para la alimentación y la agricultura, el </w:t>
      </w:r>
      <w:r w:rsidRPr="002405D3">
        <w:rPr>
          <w:i/>
          <w:lang w:val="es-419"/>
        </w:rPr>
        <w:t>Tratado Internacional sobre los Recursos Fitogenéticos para la Alimentación y la Agricultura</w:t>
      </w:r>
      <w:r w:rsidRPr="002405D3">
        <w:rPr>
          <w:lang w:val="es-419"/>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50487D" w:rsidRPr="002405D3" w:rsidRDefault="0050487D" w:rsidP="0050487D">
      <w:pPr>
        <w:spacing w:after="220"/>
        <w:rPr>
          <w:lang w:val="es-419"/>
        </w:rPr>
      </w:pPr>
      <w:r w:rsidRPr="002405D3">
        <w:rPr>
          <w:lang w:val="es-419"/>
        </w:rPr>
        <w:t xml:space="preserve">En el artículo 1 de la </w:t>
      </w:r>
      <w:r w:rsidRPr="002405D3">
        <w:rPr>
          <w:i/>
          <w:iCs/>
          <w:lang w:val="es-419"/>
        </w:rPr>
        <w:t>Decisión 391 de la Comunidad Andina acerca de un Régimen Común sobre Acceso a los Recursos Genéticos</w:t>
      </w:r>
      <w:r w:rsidRPr="002405D3">
        <w:rPr>
          <w:lang w:val="es-419"/>
        </w:rPr>
        <w:t xml:space="preserve"> (1996), se define “acceso” como la “obtención y utilización de los recursos genéticos conservados en condiciones </w:t>
      </w:r>
      <w:r w:rsidRPr="002405D3">
        <w:rPr>
          <w:i/>
          <w:iCs/>
          <w:lang w:val="es-419"/>
        </w:rPr>
        <w:t>ex situ</w:t>
      </w:r>
      <w:r w:rsidRPr="002405D3">
        <w:rPr>
          <w:lang w:val="es-419"/>
        </w:rPr>
        <w:t xml:space="preserve"> e </w:t>
      </w:r>
      <w:r w:rsidRPr="002405D3">
        <w:rPr>
          <w:i/>
          <w:iCs/>
          <w:lang w:val="es-419"/>
        </w:rPr>
        <w:t>in situ,</w:t>
      </w:r>
      <w:r w:rsidRPr="002405D3">
        <w:rPr>
          <w:lang w:val="es-419"/>
        </w:rPr>
        <w:t xml:space="preserve"> de sus productos derivados o, de ser el caso, de sus componentes intangibles, con fines de investigación, prospección biológica, conservación, aplicación industrial o aprovechamiento comercial, entre otros”.</w:t>
      </w:r>
    </w:p>
    <w:p w:rsidR="0050487D" w:rsidRPr="002405D3" w:rsidRDefault="0050487D" w:rsidP="0050487D">
      <w:pPr>
        <w:spacing w:after="220"/>
        <w:rPr>
          <w:lang w:val="es-419"/>
        </w:rPr>
      </w:pPr>
      <w:r w:rsidRPr="002405D3">
        <w:rPr>
          <w:lang w:val="es-419"/>
        </w:rPr>
        <w:t xml:space="preserve">Los beneficios pueden ser monetarios y no monetarios, incluidos pero sin limitarse a aquellos indicados en el Anexo al </w:t>
      </w:r>
      <w:r w:rsidRPr="002405D3">
        <w:rPr>
          <w:i/>
          <w:lang w:val="es-419"/>
        </w:rPr>
        <w:t>Protocolo de Nagoya</w:t>
      </w:r>
      <w:r w:rsidRPr="002405D3">
        <w:rPr>
          <w:lang w:val="es-419"/>
        </w:rPr>
        <w:t>.</w:t>
      </w:r>
      <w:r w:rsidRPr="002405D3">
        <w:rPr>
          <w:vertAlign w:val="superscript"/>
          <w:lang w:val="es-419"/>
        </w:rPr>
        <w:footnoteReference w:id="5"/>
      </w:r>
      <w:r w:rsidRPr="002405D3">
        <w:rPr>
          <w:lang w:val="es-419"/>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2405D3">
        <w:rPr>
          <w:vertAlign w:val="superscript"/>
          <w:lang w:val="es-419"/>
        </w:rPr>
        <w:footnoteReference w:id="6"/>
      </w:r>
    </w:p>
    <w:p w:rsidR="0050487D" w:rsidRPr="002405D3" w:rsidRDefault="0050487D" w:rsidP="0050487D">
      <w:pPr>
        <w:pStyle w:val="Heading1"/>
        <w:spacing w:before="0" w:after="220"/>
        <w:rPr>
          <w:caps w:val="0"/>
          <w:lang w:val="es-419"/>
        </w:rPr>
      </w:pPr>
      <w:bookmarkStart w:id="9" w:name="_Toc124942411"/>
      <w:r w:rsidRPr="002405D3">
        <w:rPr>
          <w:caps w:val="0"/>
          <w:lang w:val="es-419"/>
        </w:rPr>
        <w:t>Adaptación</w:t>
      </w:r>
      <w:bookmarkEnd w:id="9"/>
    </w:p>
    <w:p w:rsidR="0050487D" w:rsidRPr="002405D3" w:rsidRDefault="0050487D" w:rsidP="0050487D">
      <w:pPr>
        <w:spacing w:after="220"/>
        <w:rPr>
          <w:szCs w:val="22"/>
          <w:lang w:val="es-419"/>
        </w:rPr>
      </w:pPr>
      <w:r w:rsidRPr="002405D3">
        <w:rPr>
          <w:lang w:val="es-419"/>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10" w:name="_Ref289433821"/>
      <w:r w:rsidRPr="002405D3">
        <w:rPr>
          <w:vertAlign w:val="superscript"/>
          <w:lang w:val="es-419"/>
        </w:rPr>
        <w:footnoteReference w:id="7"/>
      </w:r>
      <w:bookmarkEnd w:id="10"/>
      <w:r w:rsidRPr="002405D3">
        <w:rPr>
          <w:lang w:val="es-419"/>
        </w:rPr>
        <w:t xml:space="preserve"> En el artículo 12 del </w:t>
      </w:r>
      <w:r w:rsidRPr="002405D3">
        <w:rPr>
          <w:i/>
          <w:lang w:val="es-419"/>
        </w:rPr>
        <w:t>Convenio de Berna para la Protección de las Obras Literarias y Artísticas</w:t>
      </w:r>
      <w:r w:rsidRPr="002405D3">
        <w:rPr>
          <w:lang w:val="es-419"/>
        </w:rPr>
        <w:t xml:space="preserve"> (1971) se establece que los autores de obras literarias o artísticas gozarán del </w:t>
      </w:r>
      <w:r w:rsidRPr="002405D3">
        <w:rPr>
          <w:lang w:val="es-419"/>
        </w:rPr>
        <w:lastRenderedPageBreak/>
        <w:t xml:space="preserve">derecho exclusivo de autorizar las adaptaciones, arreglos y otras transformaciones de sus obras. Según el Diccionario de la Lengua Española de la Real Academia Española y también el Black’s Law </w:t>
      </w:r>
      <w:bookmarkStart w:id="11" w:name="_GoBack"/>
      <w:bookmarkEnd w:id="11"/>
      <w:r w:rsidRPr="002405D3">
        <w:rPr>
          <w:lang w:val="es-419"/>
        </w:rPr>
        <w:t>Dictionary, los titulares de las obras protegidas gozan del derecho exclusivo de realizar obras derivadas o adaptaciones de dichas obras.</w:t>
      </w:r>
      <w:r w:rsidRPr="002405D3">
        <w:rPr>
          <w:rStyle w:val="FootnoteReference"/>
          <w:szCs w:val="22"/>
          <w:lang w:val="es-419"/>
        </w:rPr>
        <w:footnoteReference w:id="8"/>
      </w:r>
      <w:r w:rsidRPr="002405D3">
        <w:rPr>
          <w:lang w:val="es-419"/>
        </w:rPr>
        <w:t xml:space="preserve"> </w:t>
      </w:r>
    </w:p>
    <w:p w:rsidR="0050487D" w:rsidRPr="002405D3" w:rsidRDefault="0050487D" w:rsidP="0050487D">
      <w:pPr>
        <w:pStyle w:val="Heading1"/>
        <w:spacing w:before="0" w:after="220"/>
        <w:rPr>
          <w:caps w:val="0"/>
          <w:lang w:val="es-419"/>
        </w:rPr>
      </w:pPr>
      <w:bookmarkStart w:id="12" w:name="_Toc124942412"/>
      <w:r w:rsidRPr="002405D3">
        <w:rPr>
          <w:caps w:val="0"/>
          <w:lang w:val="es-419"/>
        </w:rPr>
        <w:t>Solución extrajudicial de controversias</w:t>
      </w:r>
      <w:bookmarkEnd w:id="12"/>
      <w:r w:rsidRPr="002405D3">
        <w:rPr>
          <w:caps w:val="0"/>
          <w:lang w:val="es-419"/>
        </w:rPr>
        <w:t xml:space="preserve"> </w:t>
      </w:r>
    </w:p>
    <w:p w:rsidR="0050487D" w:rsidRPr="002405D3" w:rsidRDefault="0050487D" w:rsidP="0050487D">
      <w:pPr>
        <w:autoSpaceDE w:val="0"/>
        <w:autoSpaceDN w:val="0"/>
        <w:adjustRightInd w:val="0"/>
        <w:rPr>
          <w:rFonts w:ascii="HelveticaNeueLTStd-Roman" w:hAnsi="HelveticaNeueLTStd-Roman" w:cs="HelveticaNeueLTStd-Roman"/>
          <w:sz w:val="18"/>
          <w:szCs w:val="18"/>
          <w:lang w:val="es-419"/>
        </w:rPr>
      </w:pPr>
      <w:r w:rsidRPr="002405D3">
        <w:rPr>
          <w:lang w:val="es-419"/>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w:t>
      </w:r>
      <w:r w:rsidRPr="002405D3">
        <w:rPr>
          <w:rFonts w:ascii="HelveticaNeueLTStd-Roman" w:hAnsi="HelveticaNeueLTStd-Roman"/>
          <w:sz w:val="18"/>
          <w:lang w:val="es-419"/>
        </w:rPr>
        <w:t xml:space="preserve"> </w:t>
      </w:r>
      <w:r w:rsidRPr="002405D3">
        <w:rPr>
          <w:lang w:val="es-419"/>
        </w:rPr>
        <w:t>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w:t>
      </w:r>
    </w:p>
    <w:p w:rsidR="0050487D" w:rsidRPr="002405D3" w:rsidRDefault="0050487D" w:rsidP="0050487D">
      <w:pPr>
        <w:autoSpaceDE w:val="0"/>
        <w:autoSpaceDN w:val="0"/>
        <w:adjustRightInd w:val="0"/>
        <w:spacing w:after="220"/>
        <w:rPr>
          <w:rFonts w:ascii="HelveticaNeueLTStd-Roman" w:hAnsi="HelveticaNeueLTStd-Roman" w:cs="HelveticaNeueLTStd-Roman"/>
          <w:sz w:val="18"/>
          <w:szCs w:val="18"/>
          <w:lang w:val="es-419"/>
        </w:rPr>
      </w:pPr>
      <w:r w:rsidRPr="002405D3">
        <w:rPr>
          <w:lang w:val="es-419"/>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2405D3">
        <w:rPr>
          <w:rStyle w:val="FootnoteReference"/>
          <w:szCs w:val="22"/>
          <w:lang w:val="es-419"/>
        </w:rPr>
        <w:footnoteReference w:id="9"/>
      </w:r>
      <w:r w:rsidRPr="002405D3">
        <w:rPr>
          <w:lang w:val="es-419"/>
        </w:rPr>
        <w:t xml:space="preserve"> </w:t>
      </w:r>
    </w:p>
    <w:p w:rsidR="0050487D" w:rsidRPr="002405D3" w:rsidRDefault="0050487D" w:rsidP="0050487D">
      <w:pPr>
        <w:pStyle w:val="Heading1"/>
        <w:spacing w:before="0" w:after="220"/>
        <w:rPr>
          <w:caps w:val="0"/>
          <w:lang w:val="es-419"/>
        </w:rPr>
      </w:pPr>
      <w:bookmarkStart w:id="13" w:name="_Toc124942413"/>
      <w:r w:rsidRPr="002405D3">
        <w:rPr>
          <w:caps w:val="0"/>
          <w:lang w:val="es-419"/>
        </w:rPr>
        <w:t>Aprobación y participación</w:t>
      </w:r>
      <w:bookmarkEnd w:id="13"/>
    </w:p>
    <w:p w:rsidR="0050487D" w:rsidRPr="002405D3" w:rsidRDefault="0050487D" w:rsidP="0050487D">
      <w:pPr>
        <w:spacing w:after="220"/>
        <w:rPr>
          <w:szCs w:val="22"/>
          <w:lang w:val="es-419"/>
        </w:rPr>
      </w:pPr>
      <w:r w:rsidRPr="002405D3">
        <w:rPr>
          <w:lang w:val="es-419"/>
        </w:rPr>
        <w:t xml:space="preserve">No existe una definición estandarizada de esta expresión. En un determinado contexto se ha sostenido que, si bien en el artículo 8.j) del </w:t>
      </w:r>
      <w:r w:rsidRPr="002405D3">
        <w:rPr>
          <w:i/>
          <w:snapToGrid w:val="0"/>
          <w:lang w:val="es-419"/>
        </w:rPr>
        <w:t>Convenio sobre la Diversidad Biológica</w:t>
      </w:r>
      <w:r w:rsidRPr="002405D3">
        <w:rPr>
          <w:snapToGrid w:val="0"/>
          <w:lang w:val="es-419"/>
        </w:rPr>
        <w:t>(1992)</w:t>
      </w:r>
      <w:r w:rsidRPr="002405D3">
        <w:rPr>
          <w:lang w:val="es-419"/>
        </w:rPr>
        <w:t xml:space="preserve"> figura la frase “la aprobación y la participación”, diversas decisiones interpretativas que se adoptaron sobre ese mismo artículo 8.j) concluyen de forma invariable que significa “consentimiento fundamentado previo.”</w:t>
      </w:r>
      <w:r w:rsidRPr="002405D3">
        <w:rPr>
          <w:rStyle w:val="FootnoteReference"/>
          <w:szCs w:val="22"/>
          <w:lang w:val="es-419"/>
        </w:rPr>
        <w:footnoteReference w:id="10"/>
      </w:r>
      <w:r w:rsidRPr="002405D3">
        <w:rPr>
          <w:lang w:val="es-419"/>
        </w:rPr>
        <w:t xml:space="preserve"> </w:t>
      </w:r>
    </w:p>
    <w:p w:rsidR="0050487D" w:rsidRPr="002405D3" w:rsidRDefault="0050487D" w:rsidP="0050487D">
      <w:pPr>
        <w:pStyle w:val="Heading1"/>
        <w:spacing w:before="0" w:after="220"/>
        <w:rPr>
          <w:caps w:val="0"/>
          <w:lang w:val="es-419"/>
        </w:rPr>
      </w:pPr>
      <w:bookmarkStart w:id="14" w:name="_Toc124942414"/>
      <w:r w:rsidRPr="002405D3">
        <w:rPr>
          <w:caps w:val="0"/>
          <w:lang w:val="es-419"/>
        </w:rPr>
        <w:t>Beneficiarios</w:t>
      </w:r>
      <w:bookmarkEnd w:id="14"/>
    </w:p>
    <w:p w:rsidR="0050487D" w:rsidRPr="002405D3" w:rsidRDefault="0050487D" w:rsidP="0050487D">
      <w:pPr>
        <w:spacing w:after="220"/>
        <w:rPr>
          <w:szCs w:val="22"/>
          <w:lang w:val="es-419"/>
        </w:rPr>
      </w:pPr>
      <w:r w:rsidRPr="002405D3">
        <w:rPr>
          <w:lang w:val="es-419"/>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2405D3">
        <w:rPr>
          <w:rStyle w:val="FootnoteReference"/>
          <w:szCs w:val="22"/>
          <w:lang w:val="es-419"/>
        </w:rPr>
        <w:footnoteReference w:id="11"/>
      </w:r>
    </w:p>
    <w:p w:rsidR="0050487D" w:rsidRPr="002405D3" w:rsidRDefault="0050487D" w:rsidP="0050487D">
      <w:pPr>
        <w:spacing w:after="220"/>
        <w:rPr>
          <w:szCs w:val="22"/>
          <w:lang w:val="es-419"/>
        </w:rPr>
      </w:pPr>
      <w:r w:rsidRPr="002405D3">
        <w:rPr>
          <w:lang w:val="es-419"/>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w:t>
      </w:r>
      <w:r w:rsidRPr="002405D3">
        <w:rPr>
          <w:lang w:val="es-419"/>
        </w:rPr>
        <w:lastRenderedPageBreak/>
        <w:t xml:space="preserve">dediquen a programas educativos, de desarrollo sostenible, de patrimonio nacional, de bienestar social o culturales. </w:t>
      </w:r>
    </w:p>
    <w:p w:rsidR="0050487D" w:rsidRPr="002405D3" w:rsidRDefault="0050487D" w:rsidP="0050487D">
      <w:pPr>
        <w:spacing w:after="240"/>
        <w:rPr>
          <w:caps/>
          <w:lang w:val="es-419"/>
        </w:rPr>
      </w:pPr>
      <w:r w:rsidRPr="002405D3">
        <w:rPr>
          <w:lang w:val="es-419"/>
        </w:rPr>
        <w:t xml:space="preserve">En los debates sobre esta cuestión se ha señalado que el término podría incluir pueblos indígenas, comunidades indígenas, comunidades locales, comunidades tradicionales, comunidades culturales, naciones, individuos, grupos, familias y minorías. </w:t>
      </w:r>
    </w:p>
    <w:p w:rsidR="0050487D" w:rsidRPr="002405D3" w:rsidRDefault="0050487D" w:rsidP="0050487D">
      <w:pPr>
        <w:pStyle w:val="Heading1"/>
        <w:keepNext w:val="0"/>
        <w:spacing w:before="0" w:after="220"/>
        <w:rPr>
          <w:caps w:val="0"/>
          <w:lang w:val="es-419"/>
        </w:rPr>
      </w:pPr>
      <w:bookmarkStart w:id="15" w:name="_Toc124942415"/>
      <w:r w:rsidRPr="002405D3">
        <w:rPr>
          <w:caps w:val="0"/>
          <w:lang w:val="es-419"/>
        </w:rPr>
        <w:t>Diversidad biológica</w:t>
      </w:r>
      <w:bookmarkEnd w:id="15"/>
      <w:r w:rsidRPr="002405D3">
        <w:rPr>
          <w:caps w:val="0"/>
          <w:lang w:val="es-419"/>
        </w:rPr>
        <w:t xml:space="preserve"> </w:t>
      </w:r>
    </w:p>
    <w:p w:rsidR="0050487D" w:rsidRPr="002405D3" w:rsidRDefault="0050487D" w:rsidP="0050487D">
      <w:pPr>
        <w:spacing w:after="220"/>
        <w:rPr>
          <w:rStyle w:val="Strong"/>
          <w:b w:val="0"/>
          <w:bCs w:val="0"/>
          <w:szCs w:val="22"/>
          <w:lang w:val="es-419"/>
        </w:rPr>
      </w:pPr>
      <w:r w:rsidRPr="002405D3">
        <w:rPr>
          <w:lang w:val="es-419"/>
        </w:rPr>
        <w:t xml:space="preserve">En el artículo 2 del </w:t>
      </w:r>
      <w:r w:rsidRPr="002405D3">
        <w:rPr>
          <w:i/>
          <w:snapToGrid w:val="0"/>
          <w:lang w:val="es-419"/>
        </w:rPr>
        <w:t>Convenio sobre la Diversidad Biológica</w:t>
      </w:r>
      <w:r w:rsidRPr="002405D3">
        <w:rPr>
          <w:lang w:val="es-419"/>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Pr="002405D3">
        <w:rPr>
          <w:rStyle w:val="Emphasis"/>
          <w:lang w:val="es-419"/>
        </w:rPr>
        <w:t xml:space="preserve"> </w:t>
      </w:r>
    </w:p>
    <w:p w:rsidR="0050487D" w:rsidRPr="002405D3" w:rsidRDefault="0050487D" w:rsidP="0050487D">
      <w:pPr>
        <w:pStyle w:val="Heading1"/>
        <w:spacing w:before="0" w:after="220"/>
        <w:rPr>
          <w:caps w:val="0"/>
          <w:lang w:val="es-419"/>
        </w:rPr>
      </w:pPr>
      <w:bookmarkStart w:id="16" w:name="_Toc124942416"/>
      <w:r w:rsidRPr="002405D3">
        <w:rPr>
          <w:caps w:val="0"/>
          <w:lang w:val="es-419"/>
        </w:rPr>
        <w:t>Recursos biológicos</w:t>
      </w:r>
      <w:bookmarkEnd w:id="16"/>
    </w:p>
    <w:p w:rsidR="0050487D" w:rsidRPr="002405D3" w:rsidRDefault="0050487D" w:rsidP="0050487D">
      <w:pPr>
        <w:spacing w:after="220"/>
        <w:rPr>
          <w:szCs w:val="22"/>
          <w:lang w:val="es-419"/>
        </w:rPr>
      </w:pPr>
      <w:r w:rsidRPr="002405D3">
        <w:rPr>
          <w:lang w:val="es-419"/>
        </w:rPr>
        <w:t xml:space="preserve">Según la definición del artículo 2 del </w:t>
      </w:r>
      <w:r w:rsidRPr="002405D3">
        <w:rPr>
          <w:i/>
          <w:iCs/>
          <w:lang w:val="es-419"/>
        </w:rPr>
        <w:t>Convenio sobre la Diversidad Biológica</w:t>
      </w:r>
      <w:r w:rsidRPr="002405D3">
        <w:rPr>
          <w:lang w:val="es-419"/>
        </w:rPr>
        <w:t xml:space="preserve"> (1992),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rsidR="0050487D" w:rsidRPr="002405D3" w:rsidRDefault="0050487D" w:rsidP="0050487D">
      <w:pPr>
        <w:spacing w:after="220"/>
        <w:rPr>
          <w:snapToGrid w:val="0"/>
          <w:szCs w:val="22"/>
          <w:lang w:val="es-419"/>
        </w:rPr>
      </w:pPr>
      <w:r w:rsidRPr="002405D3">
        <w:rPr>
          <w:lang w:val="es-419"/>
        </w:rPr>
        <w:t xml:space="preserve">En el artículo 1 de la </w:t>
      </w:r>
      <w:r w:rsidRPr="002405D3">
        <w:rPr>
          <w:i/>
          <w:iCs/>
          <w:lang w:val="es-419"/>
        </w:rPr>
        <w:t>Decisión 391 de la Comunidad Andina acerca de un Régimen Común sobre Acceso a los Recursos Genéticos</w:t>
      </w:r>
      <w:r w:rsidRPr="002405D3">
        <w:rPr>
          <w:lang w:val="es-419"/>
        </w:rPr>
        <w:t>, el término se define como “individuos, organismos o partes de estos, poblaciones o cualquier componente biótico de valor o utilidad real o potencial que contiene el recurso genético u otros recursos derivados”.</w:t>
      </w:r>
    </w:p>
    <w:p w:rsidR="0050487D" w:rsidRPr="002405D3" w:rsidRDefault="0050487D" w:rsidP="0050487D">
      <w:pPr>
        <w:spacing w:after="220"/>
        <w:rPr>
          <w:szCs w:val="22"/>
          <w:lang w:val="es-419"/>
        </w:rPr>
      </w:pPr>
      <w:r w:rsidRPr="002405D3">
        <w:rPr>
          <w:rStyle w:val="Emphasis"/>
          <w:lang w:val="es-419"/>
        </w:rPr>
        <w:t xml:space="preserve">En otros instrumentos jurídicos sobre PI no se utiliza el término, sino que se habla de “materia biológica”. </w:t>
      </w:r>
      <w:r w:rsidRPr="002405D3">
        <w:rPr>
          <w:lang w:val="es-419"/>
        </w:rPr>
        <w:t xml:space="preserve">En la </w:t>
      </w:r>
      <w:r w:rsidRPr="002405D3">
        <w:rPr>
          <w:i/>
          <w:iCs/>
          <w:lang w:val="es-419"/>
        </w:rPr>
        <w:t>Directiva sobre la protección jurídica de las invenciones biotecnológicas</w:t>
      </w:r>
      <w:r w:rsidRPr="002405D3">
        <w:rPr>
          <w:lang w:val="es-419"/>
        </w:rPr>
        <w:t>, de la Unión Europea, se define como “materia que contenga información genética autorreproducible o reproducible en un sistema biológico”.</w:t>
      </w:r>
    </w:p>
    <w:p w:rsidR="0050487D" w:rsidRPr="002405D3" w:rsidRDefault="0050487D" w:rsidP="0050487D">
      <w:pPr>
        <w:spacing w:after="220"/>
        <w:rPr>
          <w:snapToGrid w:val="0"/>
          <w:szCs w:val="22"/>
          <w:lang w:val="es-419"/>
        </w:rPr>
      </w:pPr>
      <w:r w:rsidRPr="002405D3">
        <w:rPr>
          <w:lang w:val="es-419"/>
        </w:rPr>
        <w:t xml:space="preserve">Con arreglo al </w:t>
      </w:r>
      <w:r w:rsidRPr="002405D3">
        <w:rPr>
          <w:i/>
          <w:lang w:val="es-419"/>
        </w:rPr>
        <w:t>Código de Reglamentos Federales</w:t>
      </w:r>
      <w:r w:rsidRPr="002405D3">
        <w:rPr>
          <w:lang w:val="es-419"/>
        </w:rPr>
        <w:t xml:space="preserve"> estadounidense, la definición del término “materia biológica” comprenderá “toda materia capaz de autorreproducirse directa o indirectamente”.</w:t>
      </w:r>
    </w:p>
    <w:p w:rsidR="0050487D" w:rsidRPr="002405D3" w:rsidRDefault="0050487D" w:rsidP="0050487D">
      <w:pPr>
        <w:spacing w:after="220"/>
        <w:rPr>
          <w:szCs w:val="22"/>
          <w:lang w:val="es-419"/>
        </w:rPr>
      </w:pPr>
      <w:r w:rsidRPr="002405D3">
        <w:rPr>
          <w:lang w:val="es-419"/>
        </w:rPr>
        <w:t xml:space="preserve">Según el artículo 2 del </w:t>
      </w:r>
      <w:r w:rsidRPr="002405D3">
        <w:rPr>
          <w:i/>
          <w:lang w:val="es-419"/>
        </w:rPr>
        <w:t>Convenio sobre la Diversidad Biológica</w:t>
      </w:r>
      <w:r w:rsidRPr="002405D3">
        <w:rPr>
          <w:lang w:val="es-419"/>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50487D" w:rsidRPr="002405D3" w:rsidRDefault="0050487D" w:rsidP="0050487D">
      <w:pPr>
        <w:pStyle w:val="Heading1"/>
        <w:spacing w:before="0" w:after="220"/>
        <w:rPr>
          <w:caps w:val="0"/>
          <w:lang w:val="es-419"/>
        </w:rPr>
      </w:pPr>
      <w:bookmarkStart w:id="17" w:name="_Toc124942417"/>
      <w:r w:rsidRPr="002405D3">
        <w:rPr>
          <w:caps w:val="0"/>
          <w:lang w:val="es-419"/>
        </w:rPr>
        <w:t>Invenciones biotecnológicas</w:t>
      </w:r>
      <w:bookmarkEnd w:id="17"/>
    </w:p>
    <w:p w:rsidR="0050487D" w:rsidRPr="002405D3" w:rsidRDefault="0050487D" w:rsidP="0050487D">
      <w:pPr>
        <w:spacing w:after="220"/>
        <w:rPr>
          <w:szCs w:val="22"/>
          <w:lang w:val="es-419"/>
        </w:rPr>
      </w:pPr>
      <w:r w:rsidRPr="002405D3">
        <w:rPr>
          <w:lang w:val="es-419"/>
        </w:rPr>
        <w:t xml:space="preserve">En la </w:t>
      </w:r>
      <w:r w:rsidRPr="002405D3">
        <w:rPr>
          <w:i/>
          <w:iCs/>
          <w:lang w:val="es-419"/>
        </w:rPr>
        <w:t>Directiva de la Unión Europea sobre la protección jurídica de las invenciones biotecnológicas</w:t>
      </w:r>
      <w:r w:rsidRPr="002405D3">
        <w:rPr>
          <w:lang w:val="es-419"/>
        </w:rPr>
        <w:t>, el término se define como “invenciones que tengan por objeto un producto que esté compuesto o que contenga materia biológica o un procedimiento mediante el cual se produzca, transforme o utilice la materia biológica”.</w:t>
      </w:r>
      <w:r w:rsidRPr="002405D3">
        <w:rPr>
          <w:rStyle w:val="FootnoteReference"/>
          <w:szCs w:val="22"/>
          <w:lang w:val="es-419"/>
        </w:rPr>
        <w:footnoteReference w:id="12"/>
      </w:r>
      <w:r w:rsidRPr="002405D3">
        <w:rPr>
          <w:lang w:val="es-419"/>
        </w:rPr>
        <w:t xml:space="preserve"> Las invenciones biotecnológicas se clasifican en tres categorías: procesos para la creación o modificación de organismos vivos y material biológico, el resultado de tales procesos y la utilización de dichos resultados.</w:t>
      </w:r>
      <w:r w:rsidRPr="002405D3">
        <w:rPr>
          <w:rStyle w:val="FootnoteReference"/>
          <w:szCs w:val="22"/>
          <w:lang w:val="es-419"/>
        </w:rPr>
        <w:footnoteReference w:id="13"/>
      </w:r>
    </w:p>
    <w:p w:rsidR="0050487D" w:rsidRPr="002405D3" w:rsidRDefault="0050487D" w:rsidP="0050487D">
      <w:pPr>
        <w:pStyle w:val="Heading1"/>
        <w:spacing w:before="0" w:after="220"/>
        <w:rPr>
          <w:bCs w:val="0"/>
          <w:caps w:val="0"/>
          <w:lang w:val="es-419"/>
        </w:rPr>
      </w:pPr>
      <w:bookmarkStart w:id="18" w:name="_Toc124942418"/>
      <w:r w:rsidRPr="002405D3">
        <w:rPr>
          <w:caps w:val="0"/>
          <w:lang w:val="es-419"/>
        </w:rPr>
        <w:lastRenderedPageBreak/>
        <w:t>Biotecnología</w:t>
      </w:r>
      <w:bookmarkEnd w:id="18"/>
    </w:p>
    <w:p w:rsidR="0050487D" w:rsidRPr="002405D3" w:rsidRDefault="0050487D" w:rsidP="0050487D">
      <w:pPr>
        <w:spacing w:after="220"/>
        <w:rPr>
          <w:rStyle w:val="Emphasis"/>
          <w:i w:val="0"/>
          <w:lang w:val="es-419"/>
        </w:rPr>
      </w:pPr>
      <w:r w:rsidRPr="002405D3">
        <w:rPr>
          <w:lang w:val="es-419"/>
        </w:rPr>
        <w:t xml:space="preserve">Según el artículo 2 del </w:t>
      </w:r>
      <w:r w:rsidRPr="002405D3">
        <w:rPr>
          <w:i/>
          <w:snapToGrid w:val="0"/>
          <w:lang w:val="es-419"/>
        </w:rPr>
        <w:t>Convenio sobre la Diversidad Biológica</w:t>
      </w:r>
      <w:r w:rsidRPr="002405D3">
        <w:rPr>
          <w:snapToGrid w:val="0"/>
          <w:lang w:val="es-419"/>
        </w:rPr>
        <w:t xml:space="preserve"> (1992)</w:t>
      </w:r>
      <w:r w:rsidRPr="002405D3">
        <w:rPr>
          <w:lang w:val="es-419"/>
        </w:rPr>
        <w:t>, “por biotecnología se entiende toda aplicación tecnológica que utilice sistemas biológicos y organismos vivos o sus derivados para la creación o modificación de productos o procesos para usos específicos”</w:t>
      </w:r>
      <w:r w:rsidRPr="002405D3">
        <w:rPr>
          <w:rStyle w:val="Emphasis"/>
          <w:lang w:val="es-419"/>
        </w:rPr>
        <w:t xml:space="preserve">. En el artículo 2 del Protocolo de Nagoya sobre Acceso a los Recursos Genéticos y Participación Justa y Equitativa en los Beneficios que se Deriven de su Utilización (2010) se utiliza la misma definición. </w:t>
      </w:r>
    </w:p>
    <w:p w:rsidR="0050487D" w:rsidRPr="002405D3" w:rsidRDefault="0050487D" w:rsidP="0050487D">
      <w:pPr>
        <w:keepLines/>
        <w:autoSpaceDE w:val="0"/>
        <w:autoSpaceDN w:val="0"/>
        <w:adjustRightInd w:val="0"/>
        <w:spacing w:after="220"/>
        <w:rPr>
          <w:snapToGrid w:val="0"/>
          <w:szCs w:val="22"/>
          <w:lang w:val="es-419"/>
        </w:rPr>
      </w:pPr>
      <w:r w:rsidRPr="002405D3">
        <w:rPr>
          <w:lang w:val="es-419"/>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2405D3">
        <w:rPr>
          <w:rStyle w:val="FootnoteReference"/>
          <w:szCs w:val="22"/>
          <w:lang w:val="es-419" w:bidi="th-TH"/>
        </w:rPr>
        <w:footnoteReference w:id="14"/>
      </w:r>
    </w:p>
    <w:p w:rsidR="0050487D" w:rsidRPr="002405D3" w:rsidRDefault="0050487D" w:rsidP="0050487D">
      <w:pPr>
        <w:autoSpaceDE w:val="0"/>
        <w:autoSpaceDN w:val="0"/>
        <w:adjustRightInd w:val="0"/>
        <w:rPr>
          <w:snapToGrid w:val="0"/>
          <w:szCs w:val="22"/>
          <w:lang w:val="es-419"/>
        </w:rPr>
      </w:pPr>
      <w:r w:rsidRPr="002405D3">
        <w:rPr>
          <w:lang w:val="es-419"/>
        </w:rPr>
        <w:t xml:space="preserve">En el artículo 3 del Protocolo de Cartagena sobre Seguridad de la Biotecnología del Convenio sobre la Diversidad Biológica, adoptado en el año 2000, se establece lo siguiente: “por biotecnología moderna se entiende la aplicación de: </w:t>
      </w:r>
    </w:p>
    <w:p w:rsidR="0050487D" w:rsidRPr="002405D3" w:rsidRDefault="0050487D" w:rsidP="0050487D">
      <w:pPr>
        <w:autoSpaceDE w:val="0"/>
        <w:autoSpaceDN w:val="0"/>
        <w:adjustRightInd w:val="0"/>
        <w:spacing w:after="220"/>
        <w:rPr>
          <w:snapToGrid w:val="0"/>
          <w:szCs w:val="22"/>
          <w:lang w:val="es-419"/>
        </w:rPr>
      </w:pPr>
      <w:r w:rsidRPr="002405D3">
        <w:rPr>
          <w:snapToGrid w:val="0"/>
          <w:lang w:val="es-419"/>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50487D" w:rsidRPr="002405D3" w:rsidRDefault="0050487D" w:rsidP="0050487D">
      <w:pPr>
        <w:tabs>
          <w:tab w:val="left" w:pos="1000"/>
        </w:tabs>
        <w:spacing w:after="220"/>
        <w:rPr>
          <w:iCs/>
          <w:szCs w:val="22"/>
          <w:lang w:val="es-419"/>
        </w:rPr>
      </w:pPr>
      <w:r w:rsidRPr="002405D3">
        <w:rPr>
          <w:snapToGrid w:val="0"/>
          <w:lang w:val="es-419"/>
        </w:rPr>
        <w:t>La Organización de Cooperación y Desarrollo Económicos (OCDE) utiliza</w:t>
      </w:r>
      <w:r w:rsidRPr="002405D3">
        <w:rPr>
          <w:lang w:val="es-419"/>
        </w:rPr>
        <w:t xml:space="preserve">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2405D3">
        <w:rPr>
          <w:rStyle w:val="Emphasis"/>
          <w:lang w:val="es-419"/>
        </w:rPr>
        <w:t>.</w:t>
      </w:r>
      <w:r w:rsidRPr="002405D3">
        <w:rPr>
          <w:rStyle w:val="FootnoteReference"/>
          <w:szCs w:val="22"/>
          <w:lang w:val="es-419"/>
        </w:rPr>
        <w:footnoteReference w:id="15"/>
      </w:r>
    </w:p>
    <w:p w:rsidR="0050487D" w:rsidRPr="002405D3" w:rsidRDefault="0050487D" w:rsidP="0050487D">
      <w:pPr>
        <w:pStyle w:val="Heading1"/>
        <w:spacing w:before="0" w:after="220"/>
        <w:rPr>
          <w:bCs w:val="0"/>
          <w:caps w:val="0"/>
          <w:lang w:val="es-419"/>
        </w:rPr>
      </w:pPr>
      <w:bookmarkStart w:id="19" w:name="_Toc124942419"/>
      <w:r w:rsidRPr="002405D3">
        <w:rPr>
          <w:caps w:val="0"/>
          <w:lang w:val="es-419"/>
        </w:rPr>
        <w:t>Directrices de Bonn sobre el Acceso a los Recursos Genéticos y la Participación Justa y Equitativa en los Beneficios Provenientes de su Utilización</w:t>
      </w:r>
      <w:bookmarkEnd w:id="19"/>
    </w:p>
    <w:p w:rsidR="0050487D" w:rsidRPr="002405D3" w:rsidRDefault="0050487D" w:rsidP="0050487D">
      <w:pPr>
        <w:tabs>
          <w:tab w:val="num" w:pos="1440"/>
        </w:tabs>
        <w:spacing w:after="220"/>
        <w:rPr>
          <w:bCs/>
          <w:szCs w:val="22"/>
          <w:lang w:val="es-419"/>
        </w:rPr>
      </w:pPr>
      <w:r w:rsidRPr="002405D3">
        <w:rPr>
          <w:lang w:val="es-419"/>
        </w:rPr>
        <w:t xml:space="preserve">Las </w:t>
      </w:r>
      <w:r w:rsidRPr="002405D3">
        <w:rPr>
          <w:i/>
          <w:iCs/>
          <w:lang w:val="es-419"/>
        </w:rPr>
        <w:t>Directrices de Bonn sobre el Acceso a los Recursos Genéticos y la Participación Justa y Equitativa en los Beneficios Provenientes de su Utilización</w:t>
      </w:r>
      <w:r w:rsidRPr="002405D3">
        <w:rPr>
          <w:lang w:val="es-419"/>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2405D3">
        <w:rPr>
          <w:rStyle w:val="FootnoteReference"/>
          <w:szCs w:val="22"/>
          <w:lang w:val="es-419"/>
        </w:rPr>
        <w:footnoteReference w:id="16"/>
      </w:r>
      <w:r w:rsidRPr="002405D3">
        <w:rPr>
          <w:lang w:val="es-419"/>
        </w:rPr>
        <w:t xml:space="preserve"> Además, abarcan aspectos de procedimiento y reglamentación, en particular, en relación con el consentimiento fundamentado previo, y señalan formas monetarias y no monetarias de participación en los beneficios.</w:t>
      </w:r>
      <w:r w:rsidRPr="002405D3">
        <w:rPr>
          <w:rStyle w:val="FootnoteReference"/>
          <w:szCs w:val="22"/>
          <w:lang w:val="es-419"/>
        </w:rPr>
        <w:footnoteReference w:id="17"/>
      </w:r>
    </w:p>
    <w:p w:rsidR="0050487D" w:rsidRPr="002405D3" w:rsidRDefault="0050487D" w:rsidP="0050487D">
      <w:pPr>
        <w:pStyle w:val="Heading1"/>
        <w:spacing w:before="0" w:after="220"/>
        <w:rPr>
          <w:bCs w:val="0"/>
          <w:caps w:val="0"/>
          <w:lang w:val="es-419"/>
        </w:rPr>
      </w:pPr>
      <w:bookmarkStart w:id="20" w:name="_Toc124942420"/>
      <w:r w:rsidRPr="002405D3">
        <w:rPr>
          <w:caps w:val="0"/>
          <w:lang w:val="es-419"/>
        </w:rPr>
        <w:lastRenderedPageBreak/>
        <w:t>Mecanismo de facilitación del Convenio sobre la Diversidad Biológica (CDB)</w:t>
      </w:r>
      <w:bookmarkEnd w:id="20"/>
    </w:p>
    <w:p w:rsidR="0050487D" w:rsidRPr="002405D3" w:rsidRDefault="0050487D" w:rsidP="0050487D">
      <w:pPr>
        <w:autoSpaceDE w:val="0"/>
        <w:autoSpaceDN w:val="0"/>
        <w:adjustRightInd w:val="0"/>
        <w:spacing w:after="220"/>
        <w:rPr>
          <w:rFonts w:ascii="Frutiger-Cn" w:hAnsi="Frutiger-Cn" w:cs="Frutiger-Cn"/>
          <w:color w:val="161513"/>
          <w:sz w:val="16"/>
          <w:szCs w:val="16"/>
          <w:lang w:val="es-419"/>
        </w:rPr>
      </w:pPr>
      <w:r w:rsidRPr="002405D3">
        <w:rPr>
          <w:rStyle w:val="contentpane"/>
          <w:lang w:val="es-419"/>
        </w:rPr>
        <w:t>Según el glosario que se utiliza en el Programa de Naciones Unidas para el Medio Ambiente, (PNUMA), la expresión “mecanismo de facilitación”</w:t>
      </w:r>
      <w:r w:rsidRPr="002405D3">
        <w:rPr>
          <w:lang w:val="es-419"/>
        </w:rPr>
        <w:t xml:space="preserve"> se refería originalmente a un establecimiento financiero en el que los bancos miembros intercambiaran cheques y letras de cambio de manera que solo fuese necesario liquidar en efectivo los saldos netos.</w:t>
      </w:r>
      <w:r w:rsidRPr="002405D3">
        <w:rPr>
          <w:color w:val="161513"/>
          <w:lang w:val="es-419"/>
        </w:rPr>
        <w:t xml:space="preserve"> Hoy en día, su significado se ha extendido hasta incluir cualquier organismo que reúna a quienes demandan y quienes ofrecen productos, servicios o información, vinculando la demanda con la oferta. </w:t>
      </w:r>
      <w:r w:rsidRPr="002405D3">
        <w:rPr>
          <w:lang w:val="es-419"/>
        </w:rPr>
        <w:t>El CDB ha establecido un mecanismo de facilitación para asegurar que todos los gobiernos tengan acceso a la información y las tecnologías que necesitan para su trabajo en el campo de la biodiversidad.</w:t>
      </w:r>
      <w:r w:rsidRPr="002405D3">
        <w:rPr>
          <w:rStyle w:val="FootnoteReference"/>
          <w:szCs w:val="22"/>
          <w:lang w:val="es-419"/>
        </w:rPr>
        <w:footnoteReference w:id="18"/>
      </w:r>
      <w:r w:rsidRPr="002405D3">
        <w:rPr>
          <w:rStyle w:val="contentpane"/>
          <w:lang w:val="es-419"/>
        </w:rPr>
        <w:t xml:space="preserve"> </w:t>
      </w:r>
    </w:p>
    <w:p w:rsidR="0050487D" w:rsidRPr="002405D3" w:rsidRDefault="0050487D" w:rsidP="0050487D">
      <w:pPr>
        <w:pStyle w:val="Heading1"/>
        <w:keepNext w:val="0"/>
        <w:spacing w:before="0" w:after="220"/>
        <w:rPr>
          <w:bCs w:val="0"/>
          <w:caps w:val="0"/>
          <w:lang w:val="es-419"/>
        </w:rPr>
      </w:pPr>
      <w:bookmarkStart w:id="21" w:name="_Toc124942421"/>
      <w:r w:rsidRPr="002405D3">
        <w:rPr>
          <w:caps w:val="0"/>
          <w:lang w:val="es-419"/>
        </w:rPr>
        <w:t>Conocimientos tradicionales codificados</w:t>
      </w:r>
      <w:bookmarkEnd w:id="21"/>
    </w:p>
    <w:p w:rsidR="0050487D" w:rsidRPr="002405D3" w:rsidRDefault="0050487D" w:rsidP="0050487D">
      <w:pPr>
        <w:pStyle w:val="FootnoteText"/>
        <w:spacing w:after="220"/>
        <w:rPr>
          <w:sz w:val="22"/>
          <w:szCs w:val="22"/>
          <w:lang w:val="es-419"/>
        </w:rPr>
      </w:pPr>
      <w:r w:rsidRPr="002405D3">
        <w:rPr>
          <w:sz w:val="22"/>
          <w:lang w:val="es-419"/>
        </w:rPr>
        <w:t>Por “conocimientos tradicionales codificados” se entiende “conocimientos tradicionales que se presentan de una manera sistemática y estructurada, en la que los conocimientos están ordenados, organizados, clasificados y categorizados de alguna forma”.</w:t>
      </w:r>
      <w:r w:rsidRPr="002405D3">
        <w:rPr>
          <w:sz w:val="22"/>
          <w:szCs w:val="22"/>
          <w:vertAlign w:val="superscript"/>
          <w:lang w:val="es-419"/>
        </w:rPr>
        <w:footnoteReference w:id="19"/>
      </w:r>
    </w:p>
    <w:p w:rsidR="0050487D" w:rsidRPr="002405D3" w:rsidRDefault="0050487D" w:rsidP="0050487D">
      <w:pPr>
        <w:pStyle w:val="FootnoteText"/>
        <w:spacing w:after="220"/>
        <w:rPr>
          <w:sz w:val="22"/>
          <w:szCs w:val="22"/>
          <w:lang w:val="es-419"/>
        </w:rPr>
      </w:pPr>
      <w:r w:rsidRPr="002405D3">
        <w:rPr>
          <w:sz w:val="22"/>
          <w:lang w:val="es-419"/>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2405D3">
        <w:rPr>
          <w:sz w:val="22"/>
          <w:szCs w:val="22"/>
          <w:vertAlign w:val="superscript"/>
          <w:lang w:val="es-419"/>
        </w:rPr>
        <w:footnoteReference w:id="20"/>
      </w:r>
      <w:r w:rsidRPr="002405D3">
        <w:rPr>
          <w:sz w:val="22"/>
          <w:lang w:val="es-419"/>
        </w:rPr>
        <w:t xml:space="preserve"> o la medicina tradicional china divulgada en antiguos textos médicos chinos</w:t>
      </w:r>
      <w:r w:rsidRPr="002405D3">
        <w:rPr>
          <w:sz w:val="22"/>
          <w:szCs w:val="22"/>
          <w:vertAlign w:val="superscript"/>
          <w:lang w:val="es-419"/>
        </w:rPr>
        <w:footnoteReference w:id="21"/>
      </w:r>
      <w:r w:rsidRPr="002405D3">
        <w:rPr>
          <w:sz w:val="22"/>
          <w:lang w:val="es-419"/>
        </w:rPr>
        <w:t xml:space="preserve"> y b) conocimientos de medicina tradicional no codificados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2405D3">
        <w:rPr>
          <w:sz w:val="22"/>
          <w:szCs w:val="22"/>
          <w:vertAlign w:val="superscript"/>
          <w:lang w:val="es-419"/>
        </w:rPr>
        <w:footnoteReference w:id="22"/>
      </w:r>
    </w:p>
    <w:p w:rsidR="0050487D" w:rsidRPr="002405D3" w:rsidRDefault="0050487D" w:rsidP="0050487D">
      <w:pPr>
        <w:pStyle w:val="FootnoteText"/>
        <w:spacing w:after="220"/>
        <w:rPr>
          <w:sz w:val="22"/>
          <w:szCs w:val="22"/>
          <w:lang w:val="es-419"/>
        </w:rPr>
      </w:pPr>
      <w:r w:rsidRPr="002405D3">
        <w:rPr>
          <w:sz w:val="22"/>
          <w:lang w:val="es-419"/>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2405D3">
        <w:rPr>
          <w:sz w:val="22"/>
          <w:szCs w:val="22"/>
          <w:vertAlign w:val="superscript"/>
          <w:lang w:val="es-419"/>
        </w:rPr>
        <w:footnoteReference w:id="23"/>
      </w:r>
      <w:r w:rsidRPr="002405D3">
        <w:rPr>
          <w:sz w:val="22"/>
          <w:lang w:val="es-419"/>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50487D" w:rsidRPr="002405D3" w:rsidRDefault="0050487D" w:rsidP="0050487D">
      <w:pPr>
        <w:pStyle w:val="Heading1"/>
        <w:spacing w:before="0" w:after="220"/>
        <w:rPr>
          <w:bCs w:val="0"/>
          <w:caps w:val="0"/>
          <w:lang w:val="es-419"/>
        </w:rPr>
      </w:pPr>
      <w:bookmarkStart w:id="22" w:name="_Toc124942422"/>
      <w:r w:rsidRPr="002405D3">
        <w:rPr>
          <w:caps w:val="0"/>
          <w:lang w:val="es-419"/>
        </w:rPr>
        <w:lastRenderedPageBreak/>
        <w:t>Consulta</w:t>
      </w:r>
      <w:bookmarkEnd w:id="22"/>
    </w:p>
    <w:p w:rsidR="0050487D" w:rsidRPr="002405D3" w:rsidRDefault="0050487D" w:rsidP="0050487D">
      <w:pPr>
        <w:pStyle w:val="FootnoteText"/>
        <w:spacing w:after="220"/>
        <w:rPr>
          <w:sz w:val="22"/>
          <w:szCs w:val="22"/>
          <w:lang w:val="es-419"/>
        </w:rPr>
      </w:pPr>
      <w:r w:rsidRPr="002405D3">
        <w:rPr>
          <w:sz w:val="22"/>
          <w:lang w:val="es-419"/>
        </w:rPr>
        <w:t xml:space="preserve">Según el Diccionario de la lengua española de la Real Academia Española, es “parecer o dictamen que por escrito o de palabra se pide o se da acerca de algo” y, a su vez, en el Diccionario de uso del español de María Moliner “consultar” quiere decir “preguntar su opinión a otra u otras personas [por ejemplo, un abogado] y tratar con ellas cierto asunto”. </w:t>
      </w:r>
    </w:p>
    <w:p w:rsidR="0050487D" w:rsidRPr="002405D3" w:rsidRDefault="0050487D" w:rsidP="0050487D">
      <w:pPr>
        <w:pStyle w:val="FootnoteText"/>
        <w:spacing w:after="220"/>
        <w:rPr>
          <w:sz w:val="22"/>
          <w:szCs w:val="22"/>
          <w:lang w:val="es-419"/>
        </w:rPr>
      </w:pPr>
      <w:r w:rsidRPr="002405D3">
        <w:rPr>
          <w:sz w:val="22"/>
          <w:lang w:val="es-419"/>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3" w:name="_Ref292464692"/>
      <w:r w:rsidRPr="002405D3">
        <w:rPr>
          <w:rStyle w:val="FootnoteReference"/>
          <w:szCs w:val="22"/>
          <w:lang w:val="es-419"/>
        </w:rPr>
        <w:footnoteReference w:id="24"/>
      </w:r>
      <w:bookmarkEnd w:id="23"/>
    </w:p>
    <w:p w:rsidR="0050487D" w:rsidRPr="002405D3" w:rsidRDefault="0050487D" w:rsidP="0050487D">
      <w:pPr>
        <w:pStyle w:val="FootnoteText"/>
        <w:keepLines/>
        <w:spacing w:after="220"/>
        <w:rPr>
          <w:sz w:val="22"/>
          <w:szCs w:val="22"/>
          <w:lang w:val="es-419"/>
        </w:rPr>
      </w:pPr>
      <w:r w:rsidRPr="002405D3">
        <w:rPr>
          <w:sz w:val="22"/>
          <w:lang w:val="es-419"/>
        </w:rPr>
        <w:t xml:space="preserve">En el Convenio N.º 169 sobre pueblos indígenas y tribales en países independientes (1989), de la Organización Internacional del Trabajo (OIT), se establece que las consultas deberán efectuarse “de buena fe y de una manera apropiada a las circunstancias, con la finalidad de llegar a un acuerdo o lograr el consentimiento acerca de las medidas propuestas” (artículo 6.2). </w:t>
      </w:r>
    </w:p>
    <w:p w:rsidR="0050487D" w:rsidRPr="002405D3" w:rsidRDefault="0050487D" w:rsidP="0050487D">
      <w:pPr>
        <w:pStyle w:val="Heading1"/>
        <w:spacing w:before="0" w:after="220"/>
        <w:rPr>
          <w:bCs w:val="0"/>
          <w:caps w:val="0"/>
          <w:lang w:val="es-419"/>
        </w:rPr>
      </w:pPr>
      <w:bookmarkStart w:id="24" w:name="_Toc124942423"/>
      <w:r w:rsidRPr="002405D3">
        <w:rPr>
          <w:caps w:val="0"/>
          <w:lang w:val="es-419"/>
        </w:rPr>
        <w:t>Convenio sobre la Diversidad Biológica (CDB)</w:t>
      </w:r>
      <w:bookmarkEnd w:id="24"/>
    </w:p>
    <w:p w:rsidR="0050487D" w:rsidRPr="002405D3" w:rsidRDefault="0050487D" w:rsidP="0050487D">
      <w:pPr>
        <w:pStyle w:val="FootnoteText"/>
        <w:spacing w:after="220"/>
        <w:rPr>
          <w:sz w:val="22"/>
          <w:szCs w:val="22"/>
          <w:lang w:val="es-419"/>
        </w:rPr>
      </w:pPr>
      <w:r w:rsidRPr="002405D3">
        <w:rPr>
          <w:sz w:val="22"/>
          <w:lang w:val="es-419"/>
        </w:rPr>
        <w:t>Convenio internacional adoptado en 1992 durante la Conferencia de las Naciones Unidas sobre el Medio Ambiente y el Desarrollo, celebrada en Río de Janeiro (Brasil).</w:t>
      </w:r>
      <w:r w:rsidRPr="002405D3">
        <w:rPr>
          <w:snapToGrid w:val="0"/>
          <w:sz w:val="22"/>
          <w:lang w:val="es-419"/>
        </w:rPr>
        <w:t xml:space="preserve"> </w:t>
      </w:r>
      <w:r w:rsidRPr="002405D3">
        <w:rPr>
          <w:sz w:val="22"/>
          <w:lang w:val="es-419"/>
        </w:rPr>
        <w:t>Conforme a su artículo 1, tiene por objetivos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El CDB entró en vigor el 29 de diciembre de 1993.</w:t>
      </w:r>
    </w:p>
    <w:p w:rsidR="0050487D" w:rsidRPr="002405D3" w:rsidRDefault="0050487D" w:rsidP="0050487D">
      <w:pPr>
        <w:pStyle w:val="Heading1"/>
        <w:spacing w:before="0" w:after="220"/>
        <w:rPr>
          <w:bCs w:val="0"/>
          <w:caps w:val="0"/>
          <w:lang w:val="es-419"/>
        </w:rPr>
      </w:pPr>
      <w:bookmarkStart w:id="25" w:name="_Toc124942424"/>
      <w:r w:rsidRPr="002405D3">
        <w:rPr>
          <w:caps w:val="0"/>
          <w:lang w:val="es-419"/>
        </w:rPr>
        <w:t>País de origen de los recursos genéticos</w:t>
      </w:r>
      <w:bookmarkEnd w:id="25"/>
      <w:r w:rsidRPr="002405D3">
        <w:rPr>
          <w:caps w:val="0"/>
          <w:lang w:val="es-419"/>
        </w:rPr>
        <w:t xml:space="preserve"> </w:t>
      </w:r>
    </w:p>
    <w:p w:rsidR="0050487D" w:rsidRPr="002405D3" w:rsidRDefault="0050487D" w:rsidP="0050487D">
      <w:pPr>
        <w:spacing w:after="220"/>
        <w:rPr>
          <w:szCs w:val="22"/>
          <w:lang w:val="es-419"/>
        </w:rPr>
      </w:pPr>
      <w:r w:rsidRPr="002405D3">
        <w:rPr>
          <w:snapToGrid w:val="0"/>
          <w:lang w:val="es-419"/>
        </w:rPr>
        <w:t xml:space="preserve">Según el artículo 2 del </w:t>
      </w:r>
      <w:r w:rsidRPr="002405D3">
        <w:rPr>
          <w:i/>
          <w:snapToGrid w:val="0"/>
          <w:lang w:val="es-419"/>
        </w:rPr>
        <w:t>Convenio sobre la Diversidad Biológica</w:t>
      </w:r>
      <w:r w:rsidRPr="002405D3">
        <w:rPr>
          <w:snapToGrid w:val="0"/>
          <w:lang w:val="es-419"/>
        </w:rPr>
        <w:t xml:space="preserve"> (1992), “por país de origen de recursos genéticos se entiende el país que posee esos recursos genéticos en condiciones </w:t>
      </w:r>
      <w:r w:rsidRPr="002405D3">
        <w:rPr>
          <w:i/>
          <w:snapToGrid w:val="0"/>
          <w:lang w:val="es-419"/>
        </w:rPr>
        <w:t>in situ</w:t>
      </w:r>
      <w:r w:rsidRPr="002405D3">
        <w:rPr>
          <w:snapToGrid w:val="0"/>
          <w:lang w:val="es-419"/>
        </w:rPr>
        <w:t xml:space="preserve">”. En otras definiciones se incluyen recursos genéticos en condiciones </w:t>
      </w:r>
      <w:r w:rsidRPr="002405D3">
        <w:rPr>
          <w:i/>
          <w:snapToGrid w:val="0"/>
          <w:lang w:val="es-419"/>
        </w:rPr>
        <w:t>ex situ</w:t>
      </w:r>
      <w:r w:rsidRPr="002405D3">
        <w:rPr>
          <w:snapToGrid w:val="0"/>
          <w:lang w:val="es-419"/>
        </w:rPr>
        <w:t xml:space="preserve">. </w:t>
      </w:r>
      <w:r w:rsidRPr="002405D3">
        <w:rPr>
          <w:lang w:val="es-419"/>
        </w:rPr>
        <w:t xml:space="preserve">Por ejemplo, en el artículo 1 de la </w:t>
      </w:r>
      <w:r w:rsidRPr="002405D3">
        <w:rPr>
          <w:i/>
          <w:lang w:val="es-419"/>
        </w:rPr>
        <w:t>Decisión 391 de la Comunidad Andina acerca de un Régimen Común sobre Acceso a los Recursos Genéticos</w:t>
      </w:r>
      <w:r w:rsidRPr="002405D3">
        <w:rPr>
          <w:lang w:val="es-419"/>
        </w:rPr>
        <w:t xml:space="preserve">, el término “país de origen” se define como “país que posee los recursos genéticos en condiciones </w:t>
      </w:r>
      <w:r w:rsidRPr="002405D3">
        <w:rPr>
          <w:i/>
          <w:lang w:val="es-419"/>
        </w:rPr>
        <w:t>in situ</w:t>
      </w:r>
      <w:r w:rsidRPr="002405D3">
        <w:rPr>
          <w:lang w:val="es-419"/>
        </w:rPr>
        <w:t xml:space="preserve">, incluyendo aquellos que habiendo estado en dichas condiciones, se encuentran en condiciones </w:t>
      </w:r>
      <w:r w:rsidRPr="002405D3">
        <w:rPr>
          <w:i/>
          <w:lang w:val="es-419"/>
        </w:rPr>
        <w:t>ex situ</w:t>
      </w:r>
      <w:r w:rsidRPr="002405D3">
        <w:rPr>
          <w:lang w:val="es-419"/>
        </w:rPr>
        <w:t>”.</w:t>
      </w:r>
    </w:p>
    <w:p w:rsidR="0050487D" w:rsidRPr="002405D3" w:rsidRDefault="0050487D" w:rsidP="0050487D">
      <w:pPr>
        <w:pStyle w:val="Heading1"/>
        <w:spacing w:before="0" w:after="220"/>
        <w:rPr>
          <w:bCs w:val="0"/>
          <w:caps w:val="0"/>
          <w:lang w:val="es-419"/>
        </w:rPr>
      </w:pPr>
      <w:bookmarkStart w:id="26" w:name="_Toc124942425"/>
      <w:r w:rsidRPr="002405D3">
        <w:rPr>
          <w:caps w:val="0"/>
          <w:lang w:val="es-419"/>
        </w:rPr>
        <w:t>País que aporta recursos genéticos</w:t>
      </w:r>
      <w:bookmarkEnd w:id="26"/>
    </w:p>
    <w:p w:rsidR="0050487D" w:rsidRPr="002405D3" w:rsidRDefault="0050487D" w:rsidP="0050487D">
      <w:pPr>
        <w:spacing w:after="220"/>
        <w:rPr>
          <w:bCs/>
          <w:szCs w:val="22"/>
          <w:lang w:val="es-419"/>
        </w:rPr>
      </w:pPr>
      <w:r w:rsidRPr="002405D3">
        <w:rPr>
          <w:lang w:val="es-419"/>
        </w:rPr>
        <w:t xml:space="preserve">Según el artículo 2 del </w:t>
      </w:r>
      <w:r w:rsidRPr="002405D3">
        <w:rPr>
          <w:snapToGrid w:val="0"/>
          <w:lang w:val="es-419"/>
        </w:rPr>
        <w:t>Convenio sobre la Diversidad Biológica (1992)</w:t>
      </w:r>
      <w:r w:rsidRPr="002405D3">
        <w:rPr>
          <w:lang w:val="es-419"/>
        </w:rPr>
        <w:t xml:space="preserve">, “por país que aporta recursos genéticos se entiende el país que suministra recursos genéticos obtenidos de fuentes </w:t>
      </w:r>
      <w:r w:rsidRPr="002405D3">
        <w:rPr>
          <w:i/>
          <w:iCs/>
          <w:lang w:val="es-419"/>
        </w:rPr>
        <w:t>in situ</w:t>
      </w:r>
      <w:r w:rsidRPr="002405D3">
        <w:rPr>
          <w:lang w:val="es-419"/>
        </w:rPr>
        <w:t xml:space="preserve">, incluidas las poblaciones de especies silvestres y domesticadas, o de fuentes </w:t>
      </w:r>
      <w:r w:rsidRPr="002405D3">
        <w:rPr>
          <w:i/>
          <w:iCs/>
          <w:lang w:val="es-419"/>
        </w:rPr>
        <w:t>ex situ</w:t>
      </w:r>
      <w:r w:rsidRPr="002405D3">
        <w:rPr>
          <w:lang w:val="es-419"/>
        </w:rPr>
        <w:t>, que pueden tener o no su origen en ese país”.</w:t>
      </w:r>
    </w:p>
    <w:p w:rsidR="0050487D" w:rsidRPr="002405D3" w:rsidRDefault="0050487D" w:rsidP="0050487D">
      <w:pPr>
        <w:pStyle w:val="Heading1"/>
        <w:spacing w:before="0" w:after="220"/>
        <w:rPr>
          <w:bCs w:val="0"/>
          <w:caps w:val="0"/>
          <w:lang w:val="es-419"/>
        </w:rPr>
      </w:pPr>
      <w:bookmarkStart w:id="27" w:name="_Toc124942426"/>
      <w:r w:rsidRPr="002405D3">
        <w:rPr>
          <w:caps w:val="0"/>
          <w:lang w:val="es-419"/>
        </w:rPr>
        <w:lastRenderedPageBreak/>
        <w:t>Comunidad cultural</w:t>
      </w:r>
      <w:bookmarkEnd w:id="27"/>
    </w:p>
    <w:p w:rsidR="0050487D" w:rsidRPr="002405D3" w:rsidRDefault="0050487D" w:rsidP="0050487D">
      <w:pPr>
        <w:pStyle w:val="FootnoteText"/>
        <w:spacing w:after="220"/>
        <w:rPr>
          <w:sz w:val="22"/>
          <w:szCs w:val="22"/>
          <w:lang w:val="es-419"/>
        </w:rPr>
      </w:pPr>
      <w:r w:rsidRPr="002405D3">
        <w:rPr>
          <w:sz w:val="22"/>
          <w:lang w:val="es-419"/>
        </w:rPr>
        <w:t>“Grupo social que se sustenta en profundos y estrechos vínculos de unidad y solidaridad y el cual se distingue de las demás comunidades por la cultura o la fisonomía cultural que le son propias o, en su defecto, por una variedad de la cultura general”.</w:t>
      </w:r>
      <w:bookmarkStart w:id="28" w:name="_Ref289689074"/>
      <w:r w:rsidRPr="002405D3">
        <w:rPr>
          <w:rStyle w:val="FootnoteReference"/>
          <w:szCs w:val="22"/>
          <w:lang w:val="es-419"/>
        </w:rPr>
        <w:footnoteReference w:id="25"/>
      </w:r>
      <w:bookmarkEnd w:id="28"/>
      <w:r w:rsidRPr="002405D3">
        <w:rPr>
          <w:sz w:val="22"/>
          <w:lang w:val="es-419"/>
        </w:rPr>
        <w:t xml:space="preserve"> </w:t>
      </w:r>
    </w:p>
    <w:p w:rsidR="0050487D" w:rsidRPr="002405D3" w:rsidRDefault="0050487D" w:rsidP="0050487D">
      <w:pPr>
        <w:pStyle w:val="Heading1"/>
        <w:spacing w:before="0" w:after="220"/>
        <w:rPr>
          <w:bCs w:val="0"/>
          <w:caps w:val="0"/>
          <w:lang w:val="es-419"/>
        </w:rPr>
      </w:pPr>
      <w:bookmarkStart w:id="29" w:name="_Toc124942427"/>
      <w:r w:rsidRPr="002405D3">
        <w:rPr>
          <w:caps w:val="0"/>
          <w:lang w:val="es-419"/>
        </w:rPr>
        <w:t>Diversidad cultural</w:t>
      </w:r>
      <w:bookmarkEnd w:id="29"/>
    </w:p>
    <w:p w:rsidR="0050487D" w:rsidRPr="002405D3" w:rsidRDefault="0050487D" w:rsidP="0050487D">
      <w:pPr>
        <w:pStyle w:val="FootnoteText"/>
        <w:spacing w:after="220"/>
        <w:rPr>
          <w:sz w:val="22"/>
          <w:szCs w:val="22"/>
          <w:lang w:val="es-419"/>
        </w:rPr>
      </w:pPr>
      <w:r w:rsidRPr="002405D3">
        <w:rPr>
          <w:sz w:val="22"/>
          <w:lang w:val="es-419"/>
        </w:rPr>
        <w:t xml:space="preserve">Según la </w:t>
      </w:r>
      <w:r w:rsidRPr="002405D3">
        <w:rPr>
          <w:i/>
          <w:sz w:val="22"/>
          <w:lang w:val="es-419"/>
        </w:rPr>
        <w:t>Convención sobre la Protección y la Promoción de la Diversidad de las Expresiones Culturales</w:t>
      </w:r>
      <w:r w:rsidRPr="002405D3">
        <w:rPr>
          <w:sz w:val="22"/>
          <w:lang w:val="es-419"/>
        </w:rPr>
        <w:t xml:space="preserve"> (2005), de la Organización de las Naciones Unidas para la Educación, la Ciencia y la Cultura (UNESCO), por diversidad cultural se entiende “la multiplicidad de formas en que se expresan las culturas de los grupos y sociedades. Estas expresiones se transmiten dentro y entre los grupos y las sociedades”.</w:t>
      </w:r>
      <w:r w:rsidRPr="002405D3">
        <w:rPr>
          <w:rStyle w:val="FootnoteReference"/>
          <w:szCs w:val="22"/>
          <w:lang w:val="es-419"/>
        </w:rPr>
        <w:footnoteReference w:id="26"/>
      </w:r>
    </w:p>
    <w:p w:rsidR="0050487D" w:rsidRPr="002405D3" w:rsidRDefault="0050487D" w:rsidP="0050487D">
      <w:pPr>
        <w:pStyle w:val="Heading1"/>
        <w:keepNext w:val="0"/>
        <w:spacing w:before="0" w:after="220"/>
        <w:rPr>
          <w:bCs w:val="0"/>
          <w:caps w:val="0"/>
          <w:lang w:val="es-419"/>
        </w:rPr>
      </w:pPr>
      <w:bookmarkStart w:id="30" w:name="_Toc124942428"/>
      <w:r w:rsidRPr="002405D3">
        <w:rPr>
          <w:caps w:val="0"/>
          <w:lang w:val="es-419"/>
        </w:rPr>
        <w:t>Expresiones culturales</w:t>
      </w:r>
      <w:bookmarkEnd w:id="30"/>
    </w:p>
    <w:p w:rsidR="0050487D" w:rsidRPr="002405D3" w:rsidRDefault="0050487D" w:rsidP="0050487D">
      <w:pPr>
        <w:pStyle w:val="FootnoteText"/>
        <w:spacing w:after="220"/>
        <w:rPr>
          <w:sz w:val="22"/>
          <w:szCs w:val="22"/>
          <w:lang w:val="es-419"/>
        </w:rPr>
      </w:pPr>
      <w:r w:rsidRPr="002405D3">
        <w:rPr>
          <w:sz w:val="22"/>
          <w:lang w:val="es-419"/>
        </w:rPr>
        <w:t xml:space="preserve">Según la </w:t>
      </w:r>
      <w:r w:rsidRPr="002405D3">
        <w:rPr>
          <w:i/>
          <w:sz w:val="22"/>
          <w:lang w:val="es-419"/>
        </w:rPr>
        <w:t>Convención sobre la Protección y la Promoción de la Diversidad de las Expresiones Culturales</w:t>
      </w:r>
      <w:r w:rsidRPr="002405D3">
        <w:rPr>
          <w:sz w:val="22"/>
          <w:lang w:val="es-419"/>
        </w:rPr>
        <w:t>, de la UNESCO, las expresiones culturales son “las expresiones resultantes de la creatividad de personas, grupos y sociedades, que poseen un contenido cultural”.</w:t>
      </w:r>
      <w:r w:rsidRPr="002405D3">
        <w:rPr>
          <w:rStyle w:val="FootnoteReference"/>
          <w:szCs w:val="22"/>
          <w:lang w:val="es-419"/>
        </w:rPr>
        <w:footnoteReference w:id="27"/>
      </w:r>
    </w:p>
    <w:p w:rsidR="0050487D" w:rsidRPr="002405D3" w:rsidRDefault="0050487D" w:rsidP="0050487D">
      <w:pPr>
        <w:pStyle w:val="Heading1"/>
        <w:spacing w:before="0" w:after="220"/>
        <w:rPr>
          <w:bCs w:val="0"/>
          <w:caps w:val="0"/>
          <w:lang w:val="es-419"/>
        </w:rPr>
      </w:pPr>
      <w:bookmarkStart w:id="31" w:name="_Toc124942429"/>
      <w:r w:rsidRPr="002405D3">
        <w:rPr>
          <w:caps w:val="0"/>
          <w:lang w:val="es-419"/>
        </w:rPr>
        <w:t>Patrimonio cultural</w:t>
      </w:r>
      <w:bookmarkEnd w:id="31"/>
      <w:r w:rsidRPr="002405D3">
        <w:rPr>
          <w:caps w:val="0"/>
          <w:lang w:val="es-419"/>
        </w:rPr>
        <w:t xml:space="preserve"> </w:t>
      </w:r>
    </w:p>
    <w:p w:rsidR="0050487D" w:rsidRPr="002405D3" w:rsidRDefault="0050487D" w:rsidP="0050487D">
      <w:pPr>
        <w:pStyle w:val="FootnoteText"/>
        <w:spacing w:after="220"/>
        <w:rPr>
          <w:sz w:val="22"/>
          <w:szCs w:val="22"/>
          <w:lang w:val="es-419"/>
        </w:rPr>
      </w:pPr>
      <w:r w:rsidRPr="002405D3">
        <w:rPr>
          <w:sz w:val="22"/>
          <w:lang w:val="es-419"/>
        </w:rPr>
        <w:t xml:space="preserve">Según el artículo 1 de la </w:t>
      </w:r>
      <w:r w:rsidRPr="002405D3">
        <w:rPr>
          <w:i/>
          <w:snapToGrid w:val="0"/>
          <w:sz w:val="22"/>
          <w:lang w:val="es-419"/>
        </w:rPr>
        <w:t>Convención sobre la Protección del Patrimonio Mundial Cultural y Natural</w:t>
      </w:r>
      <w:r w:rsidRPr="002405D3">
        <w:rPr>
          <w:sz w:val="22"/>
          <w:lang w:val="es-419"/>
        </w:rPr>
        <w:t xml:space="preserve"> (1972), de la UNESCO, el “patrimonio cultural” comprende lo siguiente: </w:t>
      </w:r>
    </w:p>
    <w:p w:rsidR="0050487D" w:rsidRPr="002405D3" w:rsidRDefault="0050487D" w:rsidP="0050487D">
      <w:pPr>
        <w:pStyle w:val="FootnoteText"/>
        <w:ind w:left="567"/>
        <w:rPr>
          <w:i/>
          <w:sz w:val="22"/>
          <w:szCs w:val="22"/>
          <w:lang w:val="es-419"/>
        </w:rPr>
      </w:pPr>
      <w:r w:rsidRPr="002405D3">
        <w:rPr>
          <w:i/>
          <w:sz w:val="22"/>
          <w:lang w:val="es-419"/>
        </w:rPr>
        <w:t>a)</w:t>
      </w:r>
      <w:r w:rsidRPr="002405D3">
        <w:rPr>
          <w:i/>
          <w:sz w:val="22"/>
          <w:lang w:val="es-419"/>
        </w:rPr>
        <w:tab/>
        <w:t xml:space="preserve">monumentos: obras arquitectónicas, de escultura o de pintura monumentales, elementos o estructuras de carácter arqueológico, inscripciones, cavernas y grupos de elementos, que tengan un valor universal excepcional desde el punto de vista de la historia, del arte o de la ciencia; </w:t>
      </w:r>
    </w:p>
    <w:p w:rsidR="0050487D" w:rsidRPr="002405D3" w:rsidRDefault="0050487D" w:rsidP="0050487D">
      <w:pPr>
        <w:pStyle w:val="FootnoteText"/>
        <w:ind w:left="567"/>
        <w:rPr>
          <w:i/>
          <w:sz w:val="22"/>
          <w:szCs w:val="22"/>
          <w:lang w:val="es-419"/>
        </w:rPr>
      </w:pPr>
      <w:r w:rsidRPr="002405D3">
        <w:rPr>
          <w:i/>
          <w:sz w:val="22"/>
          <w:lang w:val="es-419"/>
        </w:rPr>
        <w:t>b)</w:t>
      </w:r>
      <w:r w:rsidRPr="002405D3">
        <w:rPr>
          <w:i/>
          <w:sz w:val="22"/>
          <w:lang w:val="es-419"/>
        </w:rPr>
        <w:tab/>
        <w:t xml:space="preserve">conjuntos: grupos de construcciones, aisladas o reunidas, cuya arquitectura, unidad e integración en el paisaje les dé un valor universal excepcional desde el punto de vista de la historia, del arte o de la ciencia; </w:t>
      </w:r>
    </w:p>
    <w:p w:rsidR="0050487D" w:rsidRPr="002405D3" w:rsidRDefault="0050487D" w:rsidP="0050487D">
      <w:pPr>
        <w:pStyle w:val="FootnoteText"/>
        <w:spacing w:after="220"/>
        <w:ind w:left="567"/>
        <w:rPr>
          <w:i/>
          <w:sz w:val="22"/>
          <w:szCs w:val="22"/>
          <w:lang w:val="es-419"/>
        </w:rPr>
      </w:pPr>
      <w:r w:rsidRPr="002405D3">
        <w:rPr>
          <w:i/>
          <w:sz w:val="22"/>
          <w:lang w:val="es-419"/>
        </w:rPr>
        <w:t>c)</w:t>
      </w:r>
      <w:r w:rsidRPr="002405D3">
        <w:rPr>
          <w:i/>
          <w:sz w:val="22"/>
          <w:lang w:val="es-419"/>
        </w:rPr>
        <w:tab/>
        <w:t xml:space="preserve">lugares: obras del hombre u obras conjuntas del hombre y la naturaleza así como las zonas incluidos los lugares arqueológicos que tengan un valor universal excepcional desde el punto de vista histórico, estético, etnológico o antropológico.” </w:t>
      </w:r>
    </w:p>
    <w:p w:rsidR="0050487D" w:rsidRPr="002405D3" w:rsidRDefault="0050487D" w:rsidP="0050487D">
      <w:pPr>
        <w:pStyle w:val="Heading1"/>
        <w:spacing w:before="0" w:after="220"/>
        <w:rPr>
          <w:bCs w:val="0"/>
          <w:caps w:val="0"/>
          <w:lang w:val="es-419"/>
        </w:rPr>
      </w:pPr>
      <w:bookmarkStart w:id="32" w:name="_Toc124942430"/>
      <w:r w:rsidRPr="002405D3">
        <w:rPr>
          <w:caps w:val="0"/>
          <w:lang w:val="es-419"/>
        </w:rPr>
        <w:t>Identidad cultural</w:t>
      </w:r>
      <w:bookmarkEnd w:id="32"/>
    </w:p>
    <w:p w:rsidR="0050487D" w:rsidRPr="002405D3" w:rsidRDefault="0050487D" w:rsidP="0050487D">
      <w:pPr>
        <w:pStyle w:val="FootnoteText"/>
        <w:spacing w:after="220"/>
        <w:rPr>
          <w:sz w:val="22"/>
          <w:szCs w:val="22"/>
          <w:lang w:val="es-419"/>
        </w:rPr>
      </w:pPr>
      <w:r w:rsidRPr="002405D3">
        <w:rPr>
          <w:sz w:val="22"/>
          <w:lang w:val="es-419"/>
        </w:rPr>
        <w:t>Designa la correspondencia que existe entre la comunidad (nacional, étnica, lingüística, etcétera) y su vida cultural, así como el derecho de la comunidad a la propia cultura.</w:t>
      </w:r>
      <w:r w:rsidRPr="002405D3">
        <w:rPr>
          <w:rStyle w:val="FootnoteReference"/>
          <w:szCs w:val="22"/>
          <w:lang w:val="es-419"/>
        </w:rPr>
        <w:footnoteReference w:id="28"/>
      </w:r>
      <w:r w:rsidRPr="002405D3">
        <w:rPr>
          <w:sz w:val="22"/>
          <w:lang w:val="es-419"/>
        </w:rPr>
        <w:t xml:space="preserve"> En el </w:t>
      </w:r>
      <w:r w:rsidRPr="002405D3">
        <w:rPr>
          <w:i/>
          <w:sz w:val="22"/>
          <w:lang w:val="es-419"/>
        </w:rPr>
        <w:t>Convenio N.º 169 sobre pueblos indígenas y tribales en países independientes</w:t>
      </w:r>
      <w:r w:rsidRPr="002405D3">
        <w:rPr>
          <w:sz w:val="22"/>
          <w:lang w:val="es-419"/>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2405D3">
        <w:rPr>
          <w:rStyle w:val="FootnoteReference"/>
          <w:szCs w:val="22"/>
          <w:lang w:val="es-419"/>
        </w:rPr>
        <w:footnoteReference w:id="29"/>
      </w:r>
    </w:p>
    <w:p w:rsidR="0050487D" w:rsidRPr="002405D3" w:rsidRDefault="0050487D" w:rsidP="0050487D">
      <w:pPr>
        <w:pStyle w:val="Heading1"/>
        <w:spacing w:before="0" w:after="220"/>
        <w:rPr>
          <w:bCs w:val="0"/>
          <w:caps w:val="0"/>
          <w:lang w:val="es-419"/>
        </w:rPr>
      </w:pPr>
      <w:bookmarkStart w:id="33" w:name="_Toc124942431"/>
      <w:r w:rsidRPr="002405D3">
        <w:rPr>
          <w:caps w:val="0"/>
          <w:lang w:val="es-419"/>
        </w:rPr>
        <w:lastRenderedPageBreak/>
        <w:t>Bienes culturales</w:t>
      </w:r>
      <w:bookmarkEnd w:id="33"/>
    </w:p>
    <w:p w:rsidR="0050487D" w:rsidRPr="002405D3" w:rsidRDefault="0050487D" w:rsidP="0050487D">
      <w:pPr>
        <w:pStyle w:val="FootnoteText"/>
        <w:spacing w:after="220"/>
        <w:rPr>
          <w:snapToGrid w:val="0"/>
          <w:sz w:val="22"/>
          <w:szCs w:val="22"/>
          <w:lang w:val="es-419"/>
        </w:rPr>
      </w:pPr>
      <w:r w:rsidRPr="002405D3">
        <w:rPr>
          <w:snapToGrid w:val="0"/>
          <w:sz w:val="22"/>
          <w:lang w:val="es-419"/>
        </w:rPr>
        <w:t xml:space="preserve">Según el Artículo 1 de la </w:t>
      </w:r>
      <w:r w:rsidRPr="002405D3">
        <w:rPr>
          <w:i/>
          <w:snapToGrid w:val="0"/>
          <w:sz w:val="22"/>
          <w:lang w:val="es-419"/>
        </w:rPr>
        <w:t>Convención sobre las medidas que deben adoptarse para prohibir e impedir la importación, la exportación y la transferencia de propiedad ilícitas de bienes culturales</w:t>
      </w:r>
      <w:r w:rsidRPr="002405D3">
        <w:rPr>
          <w:snapToGrid w:val="0"/>
          <w:sz w:val="22"/>
          <w:lang w:val="es-419"/>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w:t>
      </w:r>
    </w:p>
    <w:p w:rsidR="0050487D" w:rsidRPr="002405D3" w:rsidRDefault="0050487D" w:rsidP="0050487D">
      <w:pPr>
        <w:pStyle w:val="FootnoteText"/>
        <w:spacing w:after="220"/>
        <w:ind w:left="567"/>
        <w:rPr>
          <w:snapToGrid w:val="0"/>
          <w:sz w:val="22"/>
          <w:szCs w:val="22"/>
          <w:lang w:val="es-419"/>
        </w:rPr>
      </w:pPr>
      <w:r w:rsidRPr="002405D3">
        <w:rPr>
          <w:snapToGrid w:val="0"/>
          <w:sz w:val="22"/>
          <w:lang w:val="es-419"/>
        </w:rPr>
        <w:t xml:space="preserve">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 </w:t>
      </w:r>
    </w:p>
    <w:p w:rsidR="0050487D" w:rsidRPr="002405D3" w:rsidRDefault="0050487D" w:rsidP="0050487D">
      <w:pPr>
        <w:pStyle w:val="Heading1"/>
        <w:spacing w:before="0" w:after="220"/>
        <w:rPr>
          <w:bCs w:val="0"/>
          <w:caps w:val="0"/>
          <w:lang w:val="es-419"/>
        </w:rPr>
      </w:pPr>
      <w:bookmarkStart w:id="34" w:name="_Toc124942432"/>
      <w:r w:rsidRPr="002405D3">
        <w:rPr>
          <w:caps w:val="0"/>
          <w:lang w:val="es-419"/>
        </w:rPr>
        <w:t>Custodio</w:t>
      </w:r>
      <w:bookmarkEnd w:id="34"/>
    </w:p>
    <w:p w:rsidR="0050487D" w:rsidRPr="002405D3" w:rsidRDefault="0050487D" w:rsidP="0050487D">
      <w:pPr>
        <w:pStyle w:val="FootnoteText"/>
        <w:spacing w:after="220"/>
        <w:rPr>
          <w:sz w:val="22"/>
          <w:szCs w:val="22"/>
          <w:lang w:val="es-419"/>
        </w:rPr>
      </w:pPr>
      <w:r w:rsidRPr="002405D3">
        <w:rPr>
          <w:sz w:val="22"/>
          <w:lang w:val="es-419"/>
        </w:rPr>
        <w:t>En el Diccionario Enciclopédico de Derecho Usual de Guillermo Cabanellas se define el término “custodio” como “cuidador, guardián, vigilante, depositario”. A su vez, en el Diccionario de la lengua española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p>
    <w:p w:rsidR="0050487D" w:rsidRPr="002405D3" w:rsidRDefault="0050487D" w:rsidP="0050487D">
      <w:pPr>
        <w:pStyle w:val="Heading1"/>
        <w:spacing w:before="0" w:after="220"/>
        <w:rPr>
          <w:bCs w:val="0"/>
          <w:caps w:val="0"/>
          <w:lang w:val="es-419"/>
        </w:rPr>
      </w:pPr>
      <w:bookmarkStart w:id="35" w:name="_Toc124942433"/>
      <w:r w:rsidRPr="002405D3">
        <w:rPr>
          <w:caps w:val="0"/>
          <w:lang w:val="es-419"/>
        </w:rPr>
        <w:t>Contexto consuetudinario</w:t>
      </w:r>
      <w:bookmarkEnd w:id="35"/>
    </w:p>
    <w:p w:rsidR="0050487D" w:rsidRPr="002405D3" w:rsidRDefault="0050487D" w:rsidP="0050487D">
      <w:pPr>
        <w:pStyle w:val="FootnoteText"/>
        <w:spacing w:after="220"/>
        <w:rPr>
          <w:sz w:val="22"/>
          <w:szCs w:val="22"/>
          <w:lang w:val="es-419"/>
        </w:rPr>
      </w:pPr>
      <w:r w:rsidRPr="002405D3">
        <w:rPr>
          <w:sz w:val="22"/>
          <w:lang w:val="es-419"/>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2405D3">
        <w:rPr>
          <w:rStyle w:val="FootnoteReference"/>
          <w:szCs w:val="22"/>
          <w:lang w:val="es-419"/>
        </w:rPr>
        <w:footnoteReference w:id="30"/>
      </w:r>
    </w:p>
    <w:p w:rsidR="0050487D" w:rsidRPr="002405D3" w:rsidRDefault="0050487D" w:rsidP="0050487D">
      <w:pPr>
        <w:pStyle w:val="Heading1"/>
        <w:spacing w:before="0" w:after="220"/>
        <w:rPr>
          <w:bCs w:val="0"/>
          <w:caps w:val="0"/>
          <w:lang w:val="es-419"/>
        </w:rPr>
      </w:pPr>
      <w:bookmarkStart w:id="36" w:name="_Toc124942434"/>
      <w:r w:rsidRPr="002405D3">
        <w:rPr>
          <w:caps w:val="0"/>
          <w:lang w:val="es-419"/>
        </w:rPr>
        <w:lastRenderedPageBreak/>
        <w:t>Derecho y protocolos consuetudinarios</w:t>
      </w:r>
      <w:bookmarkEnd w:id="36"/>
    </w:p>
    <w:p w:rsidR="0050487D" w:rsidRPr="002405D3" w:rsidRDefault="0050487D" w:rsidP="0050487D">
      <w:pPr>
        <w:pStyle w:val="FootnoteText"/>
        <w:spacing w:after="220"/>
        <w:rPr>
          <w:sz w:val="22"/>
          <w:szCs w:val="22"/>
          <w:lang w:val="es-419"/>
        </w:rPr>
      </w:pPr>
      <w:r w:rsidRPr="002405D3">
        <w:rPr>
          <w:sz w:val="22"/>
          <w:lang w:val="es-419"/>
        </w:rPr>
        <w:t>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2405D3">
        <w:rPr>
          <w:sz w:val="22"/>
          <w:szCs w:val="22"/>
          <w:vertAlign w:val="superscript"/>
          <w:lang w:val="es-419"/>
        </w:rPr>
        <w:footnoteReference w:id="31"/>
      </w:r>
      <w:r w:rsidRPr="002405D3">
        <w:rPr>
          <w:sz w:val="22"/>
          <w:lang w:val="es-419"/>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 </w:t>
      </w:r>
    </w:p>
    <w:p w:rsidR="0050487D" w:rsidRPr="002405D3" w:rsidRDefault="0050487D" w:rsidP="0050487D">
      <w:pPr>
        <w:pStyle w:val="FootnoteText"/>
        <w:spacing w:after="220"/>
        <w:rPr>
          <w:sz w:val="22"/>
          <w:szCs w:val="22"/>
          <w:lang w:val="es-419"/>
        </w:rPr>
      </w:pPr>
      <w:r w:rsidRPr="002405D3">
        <w:rPr>
          <w:sz w:val="22"/>
          <w:lang w:val="es-419"/>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2405D3">
        <w:rPr>
          <w:rStyle w:val="FootnoteReference"/>
          <w:szCs w:val="22"/>
          <w:lang w:val="es-419"/>
        </w:rPr>
        <w:footnoteReference w:id="32"/>
      </w:r>
      <w:r w:rsidRPr="002405D3">
        <w:rPr>
          <w:sz w:val="22"/>
          <w:lang w:val="es-419"/>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2405D3">
        <w:rPr>
          <w:rStyle w:val="FootnoteReference"/>
          <w:szCs w:val="22"/>
          <w:lang w:val="es-419"/>
        </w:rPr>
        <w:footnoteReference w:id="33"/>
      </w:r>
    </w:p>
    <w:p w:rsidR="0050487D" w:rsidRPr="002405D3" w:rsidRDefault="0050487D" w:rsidP="0050487D">
      <w:pPr>
        <w:pStyle w:val="FootnoteText"/>
        <w:spacing w:after="220"/>
        <w:rPr>
          <w:sz w:val="22"/>
          <w:szCs w:val="22"/>
          <w:lang w:val="es-419"/>
        </w:rPr>
      </w:pPr>
      <w:r w:rsidRPr="002405D3">
        <w:rPr>
          <w:sz w:val="22"/>
          <w:lang w:val="es-419"/>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rsidR="0050487D" w:rsidRPr="002405D3" w:rsidRDefault="0050487D" w:rsidP="0050487D">
      <w:pPr>
        <w:pStyle w:val="Heading1"/>
        <w:spacing w:before="0" w:after="220"/>
        <w:rPr>
          <w:bCs w:val="0"/>
          <w:caps w:val="0"/>
          <w:lang w:val="es-419"/>
        </w:rPr>
      </w:pPr>
      <w:bookmarkStart w:id="37" w:name="_Toc124942435"/>
      <w:r w:rsidRPr="002405D3">
        <w:rPr>
          <w:caps w:val="0"/>
          <w:lang w:val="es-419"/>
        </w:rPr>
        <w:t>Prácticas consuetudinarias</w:t>
      </w:r>
      <w:bookmarkEnd w:id="37"/>
    </w:p>
    <w:p w:rsidR="0050487D" w:rsidRPr="002405D3" w:rsidRDefault="0050487D" w:rsidP="0050487D">
      <w:pPr>
        <w:pStyle w:val="FootnoteText"/>
        <w:spacing w:after="220"/>
        <w:rPr>
          <w:sz w:val="22"/>
          <w:szCs w:val="22"/>
          <w:lang w:val="es-419"/>
        </w:rPr>
      </w:pPr>
      <w:r w:rsidRPr="002405D3">
        <w:rPr>
          <w:sz w:val="22"/>
          <w:lang w:val="es-419"/>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2405D3">
        <w:rPr>
          <w:rStyle w:val="FootnoteReference"/>
          <w:szCs w:val="22"/>
          <w:lang w:val="es-419"/>
        </w:rPr>
        <w:footnoteReference w:id="34"/>
      </w:r>
    </w:p>
    <w:p w:rsidR="0050487D" w:rsidRPr="002405D3" w:rsidRDefault="0050487D" w:rsidP="0050487D">
      <w:pPr>
        <w:pStyle w:val="Heading1"/>
        <w:spacing w:before="0" w:after="220"/>
        <w:rPr>
          <w:bCs w:val="0"/>
          <w:caps w:val="0"/>
          <w:lang w:val="es-419"/>
        </w:rPr>
      </w:pPr>
      <w:bookmarkStart w:id="38" w:name="_Toc124942436"/>
      <w:r w:rsidRPr="002405D3">
        <w:rPr>
          <w:caps w:val="0"/>
          <w:lang w:val="es-419"/>
        </w:rPr>
        <w:lastRenderedPageBreak/>
        <w:t>Base de datos de los acuerdos de acceso y de participación en los beneficios relacionados con la biodiversidad</w:t>
      </w:r>
      <w:bookmarkEnd w:id="38"/>
    </w:p>
    <w:p w:rsidR="0050487D" w:rsidRPr="002405D3" w:rsidRDefault="0050487D" w:rsidP="0050487D">
      <w:pPr>
        <w:pStyle w:val="BodyText"/>
        <w:rPr>
          <w:szCs w:val="22"/>
          <w:lang w:val="es-419"/>
        </w:rPr>
      </w:pPr>
      <w:r w:rsidRPr="002405D3">
        <w:rPr>
          <w:lang w:val="es-419"/>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2405D3">
        <w:rPr>
          <w:rStyle w:val="FootnoteReference"/>
          <w:bCs/>
          <w:szCs w:val="22"/>
          <w:lang w:val="es-419"/>
        </w:rPr>
        <w:footnoteReference w:id="35"/>
      </w:r>
      <w:r w:rsidRPr="002405D3">
        <w:rPr>
          <w:lang w:val="es-419"/>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2405D3">
        <w:rPr>
          <w:rStyle w:val="FootnoteReference"/>
          <w:szCs w:val="22"/>
          <w:lang w:val="es-419"/>
        </w:rPr>
        <w:footnoteReference w:id="36"/>
      </w:r>
    </w:p>
    <w:p w:rsidR="0050487D" w:rsidRPr="002405D3" w:rsidRDefault="0050487D" w:rsidP="0050487D">
      <w:pPr>
        <w:pStyle w:val="Heading1"/>
        <w:spacing w:before="0" w:after="220"/>
        <w:rPr>
          <w:bCs w:val="0"/>
          <w:caps w:val="0"/>
          <w:lang w:val="es-419"/>
        </w:rPr>
      </w:pPr>
      <w:bookmarkStart w:id="39" w:name="_Toc124942437"/>
      <w:r w:rsidRPr="002405D3">
        <w:rPr>
          <w:caps w:val="0"/>
          <w:lang w:val="es-419"/>
        </w:rPr>
        <w:t>Derivado</w:t>
      </w:r>
      <w:bookmarkEnd w:id="39"/>
    </w:p>
    <w:p w:rsidR="0050487D" w:rsidRPr="002405D3" w:rsidRDefault="0050487D" w:rsidP="0050487D">
      <w:pPr>
        <w:spacing w:after="220"/>
        <w:rPr>
          <w:szCs w:val="22"/>
          <w:lang w:val="es-419"/>
        </w:rPr>
      </w:pPr>
      <w:r w:rsidRPr="002405D3">
        <w:rPr>
          <w:lang w:val="es-419"/>
        </w:rPr>
        <w:t xml:space="preserve">En el artículo 2.e) del </w:t>
      </w:r>
      <w:r w:rsidRPr="002405D3">
        <w:rPr>
          <w:i/>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50487D" w:rsidRPr="002405D3" w:rsidRDefault="0050487D" w:rsidP="0050487D">
      <w:pPr>
        <w:pStyle w:val="CommentText"/>
        <w:spacing w:after="220"/>
        <w:rPr>
          <w:b/>
          <w:sz w:val="22"/>
          <w:szCs w:val="22"/>
          <w:lang w:val="es-419"/>
        </w:rPr>
      </w:pPr>
      <w:r w:rsidRPr="002405D3">
        <w:rPr>
          <w:b/>
          <w:sz w:val="22"/>
          <w:lang w:val="es-419"/>
        </w:rPr>
        <w:t>Obra derivada</w:t>
      </w:r>
    </w:p>
    <w:p w:rsidR="0050487D" w:rsidRPr="002405D3" w:rsidRDefault="0050487D" w:rsidP="0050487D">
      <w:pPr>
        <w:pStyle w:val="CommentText"/>
        <w:spacing w:after="220"/>
        <w:rPr>
          <w:sz w:val="22"/>
          <w:szCs w:val="22"/>
          <w:lang w:val="es-419"/>
        </w:rPr>
      </w:pPr>
      <w:r w:rsidRPr="002405D3">
        <w:rPr>
          <w:sz w:val="22"/>
          <w:lang w:val="es-419"/>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2405D3">
        <w:rPr>
          <w:i/>
          <w:iCs/>
          <w:sz w:val="22"/>
          <w:lang w:val="es-419"/>
        </w:rPr>
        <w:t>Convenio de Berna para la Protección de las Obras Literarias y Artísticas</w:t>
      </w:r>
      <w:r w:rsidRPr="002405D3">
        <w:rPr>
          <w:sz w:val="22"/>
          <w:lang w:val="es-419"/>
        </w:rPr>
        <w:t xml:space="preserve"> (1971), sin perjuicio de los derechos del autor de la obra original.</w:t>
      </w:r>
      <w:r w:rsidRPr="002405D3">
        <w:rPr>
          <w:rStyle w:val="FootnoteReference"/>
          <w:szCs w:val="22"/>
          <w:lang w:val="es-419"/>
        </w:rPr>
        <w:footnoteReference w:id="37"/>
      </w:r>
      <w:r w:rsidRPr="002405D3">
        <w:rPr>
          <w:sz w:val="22"/>
          <w:lang w:val="es-419"/>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2405D3">
        <w:rPr>
          <w:i/>
          <w:sz w:val="22"/>
          <w:lang w:val="es-419"/>
        </w:rPr>
        <w:t>Acuerdo sobre los Aspectos de los Derechos de Propiedad Intelectual relacionados con el Comercio</w:t>
      </w:r>
      <w:r w:rsidRPr="002405D3">
        <w:rPr>
          <w:sz w:val="22"/>
          <w:lang w:val="es-419"/>
        </w:rPr>
        <w:t xml:space="preserve"> (1994) de la OMC (Acuerdo sobre los ADPIC) y del artículo 5 del </w:t>
      </w:r>
      <w:r w:rsidRPr="002405D3">
        <w:rPr>
          <w:i/>
          <w:sz w:val="22"/>
          <w:lang w:val="es-419"/>
        </w:rPr>
        <w:t>Tratado de la OMPI sobre Derecho de Autor</w:t>
      </w:r>
      <w:r w:rsidRPr="002405D3">
        <w:rPr>
          <w:sz w:val="22"/>
          <w:lang w:val="es-419"/>
        </w:rPr>
        <w:t xml:space="preserve"> (1996) (WCT).</w:t>
      </w:r>
      <w:r w:rsidRPr="002405D3">
        <w:rPr>
          <w:rStyle w:val="FootnoteReference"/>
          <w:szCs w:val="22"/>
          <w:lang w:val="es-419"/>
        </w:rPr>
        <w:footnoteReference w:id="38"/>
      </w:r>
      <w:r w:rsidRPr="002405D3">
        <w:rPr>
          <w:sz w:val="22"/>
          <w:lang w:val="es-419"/>
        </w:rPr>
        <w:t xml:space="preserve"> </w:t>
      </w:r>
    </w:p>
    <w:p w:rsidR="0050487D" w:rsidRPr="002405D3" w:rsidRDefault="0050487D" w:rsidP="0050487D">
      <w:pPr>
        <w:pStyle w:val="CommentText"/>
        <w:spacing w:after="220"/>
        <w:rPr>
          <w:sz w:val="22"/>
          <w:szCs w:val="22"/>
          <w:lang w:val="es-419"/>
        </w:rPr>
      </w:pPr>
      <w:r w:rsidRPr="002405D3">
        <w:rPr>
          <w:sz w:val="22"/>
          <w:lang w:val="es-419"/>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2405D3">
        <w:rPr>
          <w:rStyle w:val="FootnoteReference"/>
          <w:szCs w:val="22"/>
          <w:lang w:val="es-419"/>
        </w:rPr>
        <w:footnoteReference w:id="39"/>
      </w:r>
      <w:r w:rsidRPr="002405D3">
        <w:rPr>
          <w:sz w:val="22"/>
          <w:lang w:val="es-419"/>
        </w:rPr>
        <w:t xml:space="preserve"> El </w:t>
      </w:r>
      <w:r w:rsidRPr="002405D3">
        <w:rPr>
          <w:i/>
          <w:iCs/>
          <w:sz w:val="22"/>
          <w:lang w:val="es-419"/>
        </w:rPr>
        <w:lastRenderedPageBreak/>
        <w:t>Convenio de Berna</w:t>
      </w:r>
      <w:r w:rsidRPr="002405D3">
        <w:rPr>
          <w:sz w:val="22"/>
          <w:lang w:val="es-419"/>
        </w:rPr>
        <w:t xml:space="preserve"> otorga a las obras que son fruto de labores de compilación o de colección idéntica protección que a las demás obras derivadas.</w:t>
      </w:r>
      <w:bookmarkStart w:id="40" w:name="_Ref289432997"/>
      <w:bookmarkStart w:id="41" w:name="_Ref292464396"/>
      <w:r w:rsidRPr="002405D3">
        <w:rPr>
          <w:rStyle w:val="FootnoteReference"/>
          <w:szCs w:val="22"/>
          <w:lang w:val="es-419"/>
        </w:rPr>
        <w:footnoteReference w:id="40"/>
      </w:r>
      <w:bookmarkEnd w:id="40"/>
      <w:bookmarkEnd w:id="41"/>
    </w:p>
    <w:p w:rsidR="0050487D" w:rsidRPr="002405D3" w:rsidRDefault="0050487D" w:rsidP="0050487D">
      <w:pPr>
        <w:pStyle w:val="CommentText"/>
        <w:spacing w:after="220"/>
        <w:rPr>
          <w:sz w:val="22"/>
          <w:szCs w:val="22"/>
          <w:lang w:val="es-419"/>
        </w:rPr>
      </w:pPr>
      <w:r w:rsidRPr="002405D3">
        <w:rPr>
          <w:sz w:val="22"/>
          <w:lang w:val="es-419"/>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50487D" w:rsidRPr="002405D3" w:rsidRDefault="0050487D" w:rsidP="0050487D">
      <w:pPr>
        <w:pStyle w:val="CommentText"/>
        <w:spacing w:after="220"/>
        <w:rPr>
          <w:sz w:val="22"/>
          <w:szCs w:val="22"/>
          <w:lang w:val="es-419"/>
        </w:rPr>
      </w:pPr>
      <w:r w:rsidRPr="002405D3">
        <w:rPr>
          <w:sz w:val="22"/>
          <w:lang w:val="es-419"/>
        </w:rPr>
        <w:t xml:space="preserve">En algunas legislaciones se recoge la figura de la obra derivada en el campo de las expresiones culturales tradicionales. </w:t>
      </w:r>
      <w:r w:rsidRPr="002405D3">
        <w:rPr>
          <w:lang w:val="es-419"/>
        </w:rPr>
        <w:t>En el Marco Regional para el Pacífico relativo a la protección de los conocimientos tradicionales y las expresiones de la cultura (2002), se establece explícitamente que es “la creación o innovación de carácter intelectual que se inspira en los conocimientos tradicionales o las expresiones de cultura o se deriva de estos”.</w:t>
      </w:r>
      <w:bookmarkStart w:id="42" w:name="_Ref289689306"/>
      <w:r w:rsidRPr="002405D3">
        <w:rPr>
          <w:rStyle w:val="FootnoteReference"/>
          <w:szCs w:val="22"/>
          <w:lang w:val="es-419"/>
        </w:rPr>
        <w:footnoteReference w:id="41"/>
      </w:r>
      <w:bookmarkEnd w:id="42"/>
    </w:p>
    <w:p w:rsidR="0050487D" w:rsidRPr="002405D3" w:rsidRDefault="0050487D" w:rsidP="0050487D">
      <w:pPr>
        <w:pStyle w:val="CommentText"/>
        <w:keepNext/>
        <w:spacing w:before="300" w:after="220"/>
        <w:rPr>
          <w:b/>
          <w:sz w:val="22"/>
          <w:szCs w:val="22"/>
          <w:lang w:val="es-419"/>
        </w:rPr>
      </w:pPr>
      <w:r w:rsidRPr="002405D3">
        <w:rPr>
          <w:b/>
          <w:sz w:val="22"/>
          <w:lang w:val="es-419"/>
        </w:rPr>
        <w:t>Atentado a la obra (o acto lesivo)</w:t>
      </w:r>
    </w:p>
    <w:p w:rsidR="0050487D" w:rsidRPr="002405D3" w:rsidRDefault="0050487D" w:rsidP="0050487D">
      <w:pPr>
        <w:pStyle w:val="CommentText"/>
        <w:spacing w:after="220"/>
        <w:rPr>
          <w:sz w:val="22"/>
          <w:szCs w:val="22"/>
          <w:lang w:val="es-419"/>
        </w:rPr>
      </w:pPr>
      <w:r w:rsidRPr="002405D3">
        <w:rPr>
          <w:sz w:val="22"/>
          <w:lang w:val="es-419"/>
        </w:rPr>
        <w:t>Con arreglo a lo que se establece en el artículo 6</w:t>
      </w:r>
      <w:r w:rsidRPr="002405D3">
        <w:rPr>
          <w:i/>
          <w:sz w:val="22"/>
          <w:lang w:val="es-419"/>
        </w:rPr>
        <w:t xml:space="preserve">bis </w:t>
      </w:r>
      <w:r w:rsidRPr="002405D3">
        <w:rPr>
          <w:sz w:val="22"/>
          <w:lang w:val="es-419"/>
        </w:rPr>
        <w:t xml:space="preserve">del </w:t>
      </w:r>
      <w:r w:rsidRPr="002405D3">
        <w:rPr>
          <w:i/>
          <w:iCs/>
          <w:sz w:val="22"/>
          <w:lang w:val="es-419"/>
        </w:rPr>
        <w:t>Convenio de Berna para la Protección de las Obras Literarias y Artísticas</w:t>
      </w:r>
      <w:r w:rsidRPr="002405D3">
        <w:rPr>
          <w:sz w:val="22"/>
          <w:lang w:val="es-419"/>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2405D3">
        <w:rPr>
          <w:rStyle w:val="FootnoteReference"/>
          <w:szCs w:val="22"/>
          <w:lang w:val="es-419"/>
        </w:rPr>
        <w:footnoteReference w:id="42"/>
      </w:r>
      <w:r w:rsidRPr="002405D3">
        <w:rPr>
          <w:sz w:val="22"/>
          <w:lang w:val="es-419"/>
        </w:rPr>
        <w:t xml:space="preserve"> </w:t>
      </w:r>
    </w:p>
    <w:p w:rsidR="0050487D" w:rsidRPr="002405D3" w:rsidRDefault="0050487D" w:rsidP="0050487D">
      <w:pPr>
        <w:pStyle w:val="Heading1"/>
        <w:spacing w:before="0" w:after="220"/>
        <w:rPr>
          <w:bCs w:val="0"/>
          <w:caps w:val="0"/>
          <w:lang w:val="es-419"/>
        </w:rPr>
      </w:pPr>
      <w:bookmarkStart w:id="43" w:name="_Toc124942438"/>
      <w:r w:rsidRPr="002405D3">
        <w:rPr>
          <w:caps w:val="0"/>
          <w:lang w:val="es-419"/>
        </w:rPr>
        <w:t>Conocimientos tradicionales divulgados</w:t>
      </w:r>
      <w:bookmarkEnd w:id="43"/>
      <w:r w:rsidRPr="002405D3">
        <w:rPr>
          <w:caps w:val="0"/>
          <w:lang w:val="es-419"/>
        </w:rPr>
        <w:t xml:space="preserve"> </w:t>
      </w:r>
    </w:p>
    <w:p w:rsidR="0050487D" w:rsidRPr="002405D3" w:rsidRDefault="0050487D" w:rsidP="0050487D">
      <w:pPr>
        <w:pStyle w:val="CommentText"/>
        <w:spacing w:after="220"/>
        <w:rPr>
          <w:sz w:val="22"/>
          <w:szCs w:val="22"/>
          <w:lang w:val="es-419"/>
        </w:rPr>
      </w:pPr>
      <w:r w:rsidRPr="002405D3">
        <w:rPr>
          <w:sz w:val="22"/>
          <w:lang w:val="es-419"/>
        </w:rPr>
        <w:t>Por “conocimientos tradicionales divulgados” se entiende “los conocimientos tradicionales [que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2405D3">
        <w:rPr>
          <w:sz w:val="22"/>
          <w:szCs w:val="22"/>
          <w:vertAlign w:val="superscript"/>
          <w:lang w:val="es-419"/>
        </w:rPr>
        <w:footnoteReference w:id="43"/>
      </w:r>
    </w:p>
    <w:p w:rsidR="0050487D" w:rsidRPr="002405D3" w:rsidRDefault="0050487D" w:rsidP="0050487D">
      <w:pPr>
        <w:pStyle w:val="CommentText"/>
        <w:spacing w:after="220"/>
        <w:rPr>
          <w:sz w:val="22"/>
          <w:szCs w:val="22"/>
          <w:lang w:val="es-419"/>
        </w:rPr>
      </w:pPr>
      <w:r w:rsidRPr="002405D3">
        <w:rPr>
          <w:sz w:val="22"/>
          <w:lang w:val="es-419"/>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50487D" w:rsidRPr="002405D3" w:rsidRDefault="0050487D" w:rsidP="0050487D">
      <w:pPr>
        <w:pStyle w:val="Heading1"/>
        <w:spacing w:before="0" w:after="220"/>
        <w:rPr>
          <w:bCs w:val="0"/>
          <w:caps w:val="0"/>
          <w:lang w:val="es-419"/>
        </w:rPr>
      </w:pPr>
      <w:bookmarkStart w:id="44" w:name="_Toc124942439"/>
      <w:r w:rsidRPr="002405D3">
        <w:rPr>
          <w:caps w:val="0"/>
          <w:lang w:val="es-419"/>
        </w:rPr>
        <w:t>Divulgación</w:t>
      </w:r>
      <w:bookmarkEnd w:id="44"/>
    </w:p>
    <w:p w:rsidR="0050487D" w:rsidRPr="002405D3" w:rsidRDefault="0050487D" w:rsidP="0050487D">
      <w:pPr>
        <w:pStyle w:val="CommentText"/>
        <w:spacing w:after="220"/>
        <w:rPr>
          <w:sz w:val="22"/>
          <w:szCs w:val="22"/>
          <w:lang w:val="es-419"/>
        </w:rPr>
      </w:pPr>
      <w:r w:rsidRPr="002405D3">
        <w:rPr>
          <w:sz w:val="22"/>
          <w:lang w:val="es-419"/>
        </w:rPr>
        <w:t xml:space="preserve">Según el Diccionario de la lengua española de la Real Academia Española, “divulgar” es “publicar, extender, poner al alcance del público algo”.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w:t>
      </w:r>
      <w:r w:rsidRPr="002405D3">
        <w:rPr>
          <w:sz w:val="22"/>
          <w:lang w:val="es-419"/>
        </w:rPr>
        <w:lastRenderedPageBreak/>
        <w:t>interpretación o ejecución públicas, y la radiodifusión al público por medio de cable (hilo)”.</w:t>
      </w:r>
      <w:r w:rsidRPr="002405D3">
        <w:rPr>
          <w:rStyle w:val="FootnoteReference"/>
          <w:szCs w:val="22"/>
          <w:lang w:val="es-419"/>
        </w:rPr>
        <w:footnoteReference w:id="44"/>
      </w:r>
      <w:r w:rsidRPr="002405D3">
        <w:rPr>
          <w:sz w:val="22"/>
          <w:lang w:val="es-419"/>
        </w:rPr>
        <w:t xml:space="preserve"> El reconocimiento de este derecho no es obligatorio en virtud de las normas internacionales de derecho autor. En el </w:t>
      </w:r>
      <w:r w:rsidRPr="002405D3">
        <w:rPr>
          <w:i/>
          <w:sz w:val="22"/>
          <w:lang w:val="es-419"/>
        </w:rPr>
        <w:t>Convenio de Berna para la Protección de las Obras Literarias y Artísticas</w:t>
      </w:r>
      <w:r w:rsidRPr="002405D3">
        <w:rPr>
          <w:sz w:val="22"/>
          <w:lang w:val="es-419"/>
        </w:rPr>
        <w:t xml:space="preserve"> (1971) se habla de la obra divulgada en el capítulo referido a las excepciones. El autor posee el derecho a divulgar la obra a todo el mundo.</w:t>
      </w:r>
      <w:r w:rsidRPr="002405D3">
        <w:rPr>
          <w:rStyle w:val="FootnoteReference"/>
          <w:szCs w:val="22"/>
          <w:lang w:val="es-419"/>
        </w:rPr>
        <w:footnoteReference w:id="45"/>
      </w:r>
      <w:r w:rsidRPr="002405D3">
        <w:rPr>
          <w:sz w:val="22"/>
          <w:lang w:val="es-419"/>
        </w:rPr>
        <w:t xml:space="preserve"> En virtud de determinadas legislaciones nacionales, el “derecho de divulgación” constituye un derecho moral. </w:t>
      </w:r>
    </w:p>
    <w:p w:rsidR="0050487D" w:rsidRPr="002405D3" w:rsidRDefault="0050487D" w:rsidP="0050487D">
      <w:pPr>
        <w:pStyle w:val="Heading1"/>
        <w:spacing w:before="0" w:after="220"/>
        <w:rPr>
          <w:bCs w:val="0"/>
          <w:caps w:val="0"/>
          <w:lang w:val="es-419"/>
        </w:rPr>
      </w:pPr>
      <w:bookmarkStart w:id="45" w:name="_Toc124942440"/>
      <w:r w:rsidRPr="002405D3">
        <w:rPr>
          <w:caps w:val="0"/>
          <w:lang w:val="es-419"/>
        </w:rPr>
        <w:t>Requisitos de divulgación</w:t>
      </w:r>
      <w:bookmarkEnd w:id="45"/>
    </w:p>
    <w:p w:rsidR="0050487D" w:rsidRPr="002405D3" w:rsidRDefault="0050487D" w:rsidP="0050487D">
      <w:pPr>
        <w:spacing w:after="220"/>
        <w:rPr>
          <w:szCs w:val="22"/>
          <w:lang w:val="es-419"/>
        </w:rPr>
      </w:pPr>
      <w:r w:rsidRPr="002405D3">
        <w:rPr>
          <w:lang w:val="es-419"/>
        </w:rPr>
        <w:t>La divulgación forma parte de la base fundamental del Derecho de patentes.</w:t>
      </w:r>
      <w:r w:rsidRPr="002405D3">
        <w:rPr>
          <w:szCs w:val="22"/>
          <w:vertAlign w:val="superscript"/>
          <w:lang w:val="es-419"/>
        </w:rPr>
        <w:footnoteReference w:id="46"/>
      </w:r>
      <w:r w:rsidRPr="002405D3">
        <w:rPr>
          <w:lang w:val="es-419"/>
        </w:rPr>
        <w:t xml:space="preserve"> El Derecho de patentes impone una obligación general a los solicitantes de patentes, como se establece en el artículo 5 del </w:t>
      </w:r>
      <w:r w:rsidRPr="002405D3">
        <w:rPr>
          <w:i/>
          <w:lang w:val="es-419"/>
        </w:rPr>
        <w:t>Tratado de Cooperación en materia de Patentes</w:t>
      </w:r>
      <w:r w:rsidRPr="002405D3">
        <w:rPr>
          <w:lang w:val="es-419"/>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2405D3">
        <w:rPr>
          <w:szCs w:val="22"/>
          <w:vertAlign w:val="superscript"/>
          <w:lang w:val="es-419"/>
        </w:rPr>
        <w:footnoteReference w:id="47"/>
      </w:r>
    </w:p>
    <w:p w:rsidR="0050487D" w:rsidRPr="002405D3" w:rsidRDefault="0050487D" w:rsidP="0050487D">
      <w:pPr>
        <w:spacing w:after="220"/>
        <w:rPr>
          <w:szCs w:val="22"/>
          <w:lang w:val="es-419"/>
        </w:rPr>
      </w:pPr>
      <w:r w:rsidRPr="002405D3">
        <w:rPr>
          <w:lang w:val="es-419"/>
        </w:rPr>
        <w:t>Se han examinado tres amplias funciones en relación con los métodos de divulgación relativos a los RR.GG. y CC.TT.:</w:t>
      </w:r>
    </w:p>
    <w:p w:rsidR="0050487D" w:rsidRPr="002405D3" w:rsidRDefault="0050487D" w:rsidP="0050487D">
      <w:pPr>
        <w:numPr>
          <w:ilvl w:val="0"/>
          <w:numId w:val="23"/>
        </w:numPr>
        <w:spacing w:after="220"/>
        <w:rPr>
          <w:szCs w:val="22"/>
          <w:lang w:val="es-419"/>
        </w:rPr>
      </w:pPr>
      <w:r w:rsidRPr="002405D3">
        <w:rPr>
          <w:lang w:val="es-419"/>
        </w:rPr>
        <w:t>divulgar los RR.GG./CC.TT. utilizados realmente en el proceso de puesta a punto de la invención (función descriptiva o de transparencia, relativa a los RR.GG./CC.TT. como tales y a su relación con la invención);</w:t>
      </w:r>
    </w:p>
    <w:p w:rsidR="0050487D" w:rsidRPr="002405D3" w:rsidRDefault="0050487D" w:rsidP="0050487D">
      <w:pPr>
        <w:numPr>
          <w:ilvl w:val="0"/>
          <w:numId w:val="23"/>
        </w:numPr>
        <w:rPr>
          <w:szCs w:val="22"/>
          <w:lang w:val="es-419"/>
        </w:rPr>
      </w:pPr>
      <w:r w:rsidRPr="002405D3">
        <w:rPr>
          <w:lang w:val="es-419"/>
        </w:rPr>
        <w:t xml:space="preserve">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 </w:t>
      </w:r>
    </w:p>
    <w:p w:rsidR="0050487D" w:rsidRPr="002405D3" w:rsidRDefault="0050487D" w:rsidP="0050487D">
      <w:pPr>
        <w:numPr>
          <w:ilvl w:val="0"/>
          <w:numId w:val="23"/>
        </w:numPr>
        <w:spacing w:after="220"/>
        <w:rPr>
          <w:szCs w:val="22"/>
          <w:lang w:val="es-419"/>
        </w:rPr>
      </w:pPr>
      <w:r w:rsidRPr="002405D3">
        <w:rPr>
          <w:lang w:val="es-419"/>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2405D3">
        <w:rPr>
          <w:szCs w:val="22"/>
          <w:vertAlign w:val="superscript"/>
          <w:lang w:val="es-419"/>
        </w:rPr>
        <w:footnoteReference w:id="48"/>
      </w:r>
    </w:p>
    <w:p w:rsidR="0050487D" w:rsidRPr="002405D3" w:rsidRDefault="0050487D" w:rsidP="0050487D">
      <w:pPr>
        <w:spacing w:after="220"/>
        <w:rPr>
          <w:szCs w:val="22"/>
          <w:lang w:val="es-419"/>
        </w:rPr>
      </w:pPr>
      <w:r w:rsidRPr="002405D3">
        <w:rPr>
          <w:lang w:val="es-419"/>
        </w:rPr>
        <w:t>Asimismo, se han propuesto mecanismos alternativos a los requisitos de divulgación.</w:t>
      </w:r>
      <w:r w:rsidRPr="002405D3">
        <w:rPr>
          <w:szCs w:val="22"/>
          <w:vertAlign w:val="superscript"/>
          <w:lang w:val="es-419"/>
        </w:rPr>
        <w:footnoteReference w:id="49"/>
      </w:r>
      <w:r w:rsidRPr="002405D3">
        <w:rPr>
          <w:lang w:val="es-419"/>
        </w:rPr>
        <w:t xml:space="preserve"> Y una de las iniciativas internacionales emprendidas actualmente con relación al requisito de </w:t>
      </w:r>
      <w:r w:rsidRPr="002405D3">
        <w:rPr>
          <w:lang w:val="es-419"/>
        </w:rPr>
        <w:lastRenderedPageBreak/>
        <w:t>divulgación: el artículo 29</w:t>
      </w:r>
      <w:r w:rsidRPr="002405D3">
        <w:rPr>
          <w:i/>
          <w:lang w:val="es-419"/>
        </w:rPr>
        <w:t>bis</w:t>
      </w:r>
      <w:r w:rsidRPr="002405D3">
        <w:rPr>
          <w:lang w:val="es-419"/>
        </w:rPr>
        <w:t xml:space="preserve"> del </w:t>
      </w:r>
      <w:r w:rsidRPr="002405D3">
        <w:rPr>
          <w:i/>
          <w:lang w:val="es-419"/>
        </w:rPr>
        <w:t>Acuerdo sobre los ADPIC</w:t>
      </w:r>
      <w:r w:rsidRPr="002405D3">
        <w:rPr>
          <w:lang w:val="es-419"/>
        </w:rPr>
        <w:t xml:space="preserve"> de la OMC, propuesto por algunos países.</w:t>
      </w:r>
      <w:r w:rsidRPr="002405D3">
        <w:rPr>
          <w:szCs w:val="22"/>
          <w:vertAlign w:val="superscript"/>
          <w:lang w:val="es-419"/>
        </w:rPr>
        <w:footnoteReference w:id="50"/>
      </w:r>
    </w:p>
    <w:p w:rsidR="0050487D" w:rsidRPr="002405D3" w:rsidRDefault="0050487D" w:rsidP="0050487D">
      <w:pPr>
        <w:pStyle w:val="Heading1"/>
        <w:spacing w:before="0" w:after="220"/>
        <w:rPr>
          <w:bCs w:val="0"/>
          <w:caps w:val="0"/>
          <w:lang w:val="es-419"/>
        </w:rPr>
      </w:pPr>
      <w:bookmarkStart w:id="46" w:name="_Toc124942441"/>
      <w:r w:rsidRPr="002405D3">
        <w:rPr>
          <w:caps w:val="0"/>
          <w:lang w:val="es-419"/>
        </w:rPr>
        <w:t>Catalogación</w:t>
      </w:r>
      <w:bookmarkEnd w:id="46"/>
    </w:p>
    <w:p w:rsidR="0050487D" w:rsidRPr="002405D3" w:rsidRDefault="0050487D" w:rsidP="0050487D">
      <w:pPr>
        <w:pStyle w:val="CommentText"/>
        <w:spacing w:after="220"/>
        <w:rPr>
          <w:sz w:val="22"/>
          <w:szCs w:val="22"/>
          <w:lang w:val="es-419"/>
        </w:rPr>
      </w:pPr>
      <w:r w:rsidRPr="002405D3">
        <w:rPr>
          <w:sz w:val="22"/>
          <w:lang w:val="es-419"/>
        </w:rPr>
        <w:t>Según el Diccionario de la lengua española de la Real Academia Española, “catalogar” es “apuntar, registrar ordenadamente libros, documentos, etc., formando catálogo de ellos” y, a su vez, por “catálogo” se entiende lo siguiente: “relación ordenada en la que se incluyen o describen de forma individual libros, documentos, personas, objetos, etc., que están relacionados entre sí”.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50487D" w:rsidRPr="002405D3" w:rsidRDefault="0050487D" w:rsidP="0050487D">
      <w:pPr>
        <w:pStyle w:val="CommentText"/>
        <w:spacing w:after="220"/>
        <w:rPr>
          <w:sz w:val="22"/>
          <w:szCs w:val="22"/>
          <w:lang w:val="es-419"/>
        </w:rPr>
      </w:pPr>
      <w:r w:rsidRPr="002405D3">
        <w:rPr>
          <w:sz w:val="22"/>
          <w:lang w:val="es-419"/>
        </w:rPr>
        <w:t>La catalogación es especialmente importante, pues a menudo es la manera en que las personas ajenas al círculo tradicional pueden acceder a los conocimientos.</w:t>
      </w:r>
      <w:r w:rsidRPr="002405D3">
        <w:rPr>
          <w:sz w:val="22"/>
          <w:szCs w:val="22"/>
          <w:vertAlign w:val="superscript"/>
          <w:lang w:val="es-419"/>
        </w:rPr>
        <w:footnoteReference w:id="51"/>
      </w:r>
      <w:r w:rsidRPr="002405D3">
        <w:rPr>
          <w:sz w:val="22"/>
          <w:lang w:val="es-419"/>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50487D" w:rsidRPr="002405D3" w:rsidRDefault="0050487D" w:rsidP="0050487D">
      <w:pPr>
        <w:pStyle w:val="Heading1"/>
        <w:spacing w:before="0" w:after="220"/>
        <w:rPr>
          <w:bCs w:val="0"/>
          <w:caps w:val="0"/>
          <w:lang w:val="es-419"/>
        </w:rPr>
      </w:pPr>
      <w:bookmarkStart w:id="47" w:name="_Toc124942442"/>
      <w:r w:rsidRPr="002405D3">
        <w:rPr>
          <w:caps w:val="0"/>
          <w:lang w:val="es-419"/>
        </w:rPr>
        <w:t>Diligencia debida</w:t>
      </w:r>
      <w:bookmarkEnd w:id="47"/>
      <w:r w:rsidRPr="002405D3">
        <w:rPr>
          <w:caps w:val="0"/>
          <w:lang w:val="es-419"/>
        </w:rPr>
        <w:t xml:space="preserve"> </w:t>
      </w:r>
    </w:p>
    <w:p w:rsidR="0050487D" w:rsidRPr="002405D3" w:rsidRDefault="0050487D" w:rsidP="0050487D">
      <w:pPr>
        <w:pStyle w:val="CommentText"/>
        <w:spacing w:after="220"/>
        <w:rPr>
          <w:sz w:val="22"/>
          <w:szCs w:val="22"/>
          <w:lang w:val="es-419"/>
        </w:rPr>
      </w:pPr>
      <w:r w:rsidRPr="002405D3">
        <w:rPr>
          <w:sz w:val="22"/>
          <w:lang w:val="es-419"/>
        </w:rPr>
        <w:t xml:space="preserve">Según el Diccionario del español jurídico, de la Real Academia Española, es el conjunto de precauciones que la ley o el buen sentido aconsejan adoptar en el desarrollo de una actividad para evitar daños previsibles. </w:t>
      </w:r>
    </w:p>
    <w:p w:rsidR="0050487D" w:rsidRPr="002405D3" w:rsidRDefault="0050487D" w:rsidP="0050487D">
      <w:pPr>
        <w:pStyle w:val="Heading1"/>
        <w:spacing w:before="0" w:after="220"/>
        <w:rPr>
          <w:bCs w:val="0"/>
          <w:caps w:val="0"/>
          <w:lang w:val="es-419"/>
        </w:rPr>
      </w:pPr>
      <w:bookmarkStart w:id="48" w:name="_Toc124942443"/>
      <w:r w:rsidRPr="002405D3">
        <w:rPr>
          <w:caps w:val="0"/>
          <w:lang w:val="es-419"/>
        </w:rPr>
        <w:t>Remuneración equitativa</w:t>
      </w:r>
      <w:bookmarkEnd w:id="48"/>
    </w:p>
    <w:p w:rsidR="0050487D" w:rsidRPr="002405D3" w:rsidRDefault="0050487D" w:rsidP="0050487D">
      <w:pPr>
        <w:pStyle w:val="CommentText"/>
        <w:spacing w:after="220"/>
        <w:rPr>
          <w:sz w:val="22"/>
          <w:szCs w:val="22"/>
          <w:lang w:val="es-419"/>
        </w:rPr>
      </w:pPr>
      <w:r w:rsidRPr="002405D3">
        <w:rPr>
          <w:sz w:val="22"/>
          <w:lang w:val="es-419"/>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2405D3">
        <w:rPr>
          <w:rStyle w:val="FootnoteReference"/>
          <w:szCs w:val="22"/>
          <w:lang w:val="es-419"/>
        </w:rPr>
        <w:footnoteReference w:id="52"/>
      </w:r>
      <w:r w:rsidRPr="002405D3">
        <w:rPr>
          <w:sz w:val="22"/>
          <w:lang w:val="es-419"/>
        </w:rPr>
        <w:t xml:space="preserve"> En el </w:t>
      </w:r>
      <w:r w:rsidRPr="002405D3">
        <w:rPr>
          <w:i/>
          <w:sz w:val="22"/>
          <w:lang w:val="es-419"/>
        </w:rPr>
        <w:t>Tratado de la OMPI sobre Interpretación o Ejecución y Fonogramas</w:t>
      </w:r>
      <w:r w:rsidRPr="002405D3">
        <w:rPr>
          <w:sz w:val="22"/>
          <w:lang w:val="es-419"/>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 </w:t>
      </w:r>
    </w:p>
    <w:p w:rsidR="0050487D" w:rsidRPr="002405D3" w:rsidRDefault="0050487D" w:rsidP="0050487D">
      <w:pPr>
        <w:pStyle w:val="Heading1"/>
        <w:spacing w:before="0" w:after="180"/>
        <w:rPr>
          <w:bCs w:val="0"/>
          <w:caps w:val="0"/>
          <w:lang w:val="es-419"/>
        </w:rPr>
      </w:pPr>
      <w:bookmarkStart w:id="49" w:name="_Toc124942444"/>
      <w:r w:rsidRPr="002405D3">
        <w:rPr>
          <w:caps w:val="0"/>
          <w:lang w:val="es-419"/>
        </w:rPr>
        <w:t>Excepciones</w:t>
      </w:r>
      <w:bookmarkEnd w:id="49"/>
    </w:p>
    <w:p w:rsidR="0050487D" w:rsidRPr="002405D3" w:rsidRDefault="0050487D" w:rsidP="0050487D">
      <w:pPr>
        <w:pStyle w:val="CommentText"/>
        <w:spacing w:after="220"/>
        <w:rPr>
          <w:sz w:val="22"/>
          <w:szCs w:val="22"/>
          <w:lang w:val="es-419"/>
        </w:rPr>
      </w:pPr>
      <w:r w:rsidRPr="002405D3">
        <w:rPr>
          <w:sz w:val="22"/>
          <w:lang w:val="es-419"/>
        </w:rPr>
        <w:t xml:space="preserve">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w:t>
      </w:r>
      <w:r w:rsidRPr="002405D3">
        <w:rPr>
          <w:sz w:val="22"/>
          <w:lang w:val="es-419"/>
        </w:rPr>
        <w:lastRenderedPageBreak/>
        <w:t>autorización o remuneración.</w:t>
      </w:r>
      <w:r w:rsidRPr="002405D3">
        <w:rPr>
          <w:rStyle w:val="FootnoteReference"/>
          <w:szCs w:val="22"/>
          <w:lang w:val="es-419"/>
        </w:rPr>
        <w:footnoteReference w:id="53"/>
      </w:r>
      <w:r w:rsidRPr="002405D3">
        <w:rPr>
          <w:sz w:val="22"/>
          <w:lang w:val="es-419"/>
        </w:rPr>
        <w:t xml:space="preserve"> En el </w:t>
      </w:r>
      <w:r w:rsidRPr="002405D3">
        <w:rPr>
          <w:i/>
          <w:sz w:val="22"/>
          <w:lang w:val="es-419"/>
        </w:rPr>
        <w:t>Convenio de Berna para la Protección de las Obras Literarias y Artísticas</w:t>
      </w:r>
      <w:r w:rsidRPr="002405D3">
        <w:rPr>
          <w:sz w:val="22"/>
          <w:lang w:val="es-419"/>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2405D3">
        <w:rPr>
          <w:rStyle w:val="FootnoteReference"/>
          <w:szCs w:val="22"/>
          <w:lang w:val="es-419"/>
        </w:rPr>
        <w:footnoteReference w:id="54"/>
      </w:r>
      <w:r w:rsidRPr="002405D3">
        <w:rPr>
          <w:sz w:val="22"/>
          <w:lang w:val="es-419"/>
        </w:rPr>
        <w:t xml:space="preserve"> </w:t>
      </w:r>
    </w:p>
    <w:p w:rsidR="0050487D" w:rsidRPr="002405D3" w:rsidRDefault="0050487D" w:rsidP="0050487D">
      <w:pPr>
        <w:pStyle w:val="Heading1"/>
        <w:spacing w:before="0" w:after="180"/>
        <w:rPr>
          <w:bCs w:val="0"/>
          <w:caps w:val="0"/>
          <w:lang w:val="es-419"/>
        </w:rPr>
      </w:pPr>
      <w:bookmarkStart w:id="50" w:name="_Toc124942445"/>
      <w:r w:rsidRPr="002405D3">
        <w:rPr>
          <w:caps w:val="0"/>
          <w:lang w:val="es-419"/>
        </w:rPr>
        <w:t>Expresión corporal</w:t>
      </w:r>
      <w:bookmarkEnd w:id="50"/>
    </w:p>
    <w:p w:rsidR="0050487D" w:rsidRPr="002405D3" w:rsidRDefault="0050487D" w:rsidP="0050487D">
      <w:pPr>
        <w:pStyle w:val="CommentText"/>
        <w:spacing w:after="220"/>
        <w:rPr>
          <w:sz w:val="22"/>
          <w:szCs w:val="22"/>
          <w:lang w:val="es-419"/>
        </w:rPr>
      </w:pPr>
      <w:r w:rsidRPr="002405D3">
        <w:rPr>
          <w:sz w:val="22"/>
          <w:lang w:val="es-419"/>
        </w:rPr>
        <w:t>La “expresión corporal” es el modo de expresarse gracias al movimiento del cuerpo humano.</w:t>
      </w:r>
      <w:r w:rsidRPr="002405D3">
        <w:rPr>
          <w:rStyle w:val="FootnoteReference"/>
          <w:szCs w:val="22"/>
          <w:lang w:val="es-419"/>
        </w:rPr>
        <w:footnoteReference w:id="55"/>
      </w:r>
      <w:r w:rsidRPr="002405D3">
        <w:rPr>
          <w:sz w:val="22"/>
          <w:lang w:val="es-419"/>
        </w:rPr>
        <w:t xml:space="preserve"> Comprende, entre otras, las danzas y representaciones escénicas populares y formas artísticas de rituales, y no necesitan estar fijadas en un soporte, por ejemplo, estar escritas mediante la notación coreográfica</w:t>
      </w:r>
      <w:r w:rsidRPr="002405D3">
        <w:rPr>
          <w:i/>
          <w:sz w:val="22"/>
          <w:lang w:val="es-419"/>
        </w:rPr>
        <w:t>”</w:t>
      </w:r>
      <w:r w:rsidRPr="002405D3">
        <w:rPr>
          <w:sz w:val="22"/>
          <w:lang w:val="es-419"/>
        </w:rPr>
        <w:t>.</w:t>
      </w:r>
      <w:r w:rsidRPr="002405D3">
        <w:rPr>
          <w:rStyle w:val="FootnoteReference"/>
          <w:szCs w:val="22"/>
          <w:lang w:val="es-419"/>
        </w:rPr>
        <w:footnoteReference w:id="56"/>
      </w:r>
    </w:p>
    <w:p w:rsidR="0050487D" w:rsidRPr="002405D3" w:rsidRDefault="0050487D" w:rsidP="0050487D">
      <w:pPr>
        <w:pStyle w:val="Heading1"/>
        <w:spacing w:before="0" w:after="180"/>
        <w:rPr>
          <w:bCs w:val="0"/>
          <w:caps w:val="0"/>
          <w:lang w:val="es-419"/>
        </w:rPr>
      </w:pPr>
      <w:bookmarkStart w:id="51" w:name="_Toc124942446"/>
      <w:r w:rsidRPr="002405D3">
        <w:rPr>
          <w:caps w:val="0"/>
          <w:lang w:val="es-419"/>
        </w:rPr>
        <w:t>Expresiones del folclore</w:t>
      </w:r>
      <w:bookmarkEnd w:id="51"/>
    </w:p>
    <w:p w:rsidR="0050487D" w:rsidRPr="002405D3" w:rsidRDefault="0050487D" w:rsidP="0050487D">
      <w:pPr>
        <w:pStyle w:val="CommentText"/>
        <w:spacing w:after="180"/>
        <w:rPr>
          <w:sz w:val="22"/>
          <w:szCs w:val="22"/>
          <w:lang w:val="es-419"/>
        </w:rPr>
      </w:pPr>
      <w:r w:rsidRPr="002405D3">
        <w:rPr>
          <w:sz w:val="22"/>
          <w:lang w:val="es-419"/>
        </w:rPr>
        <w:t xml:space="preserve">En las </w:t>
      </w:r>
      <w:r w:rsidRPr="002405D3">
        <w:rPr>
          <w:i/>
          <w:sz w:val="22"/>
          <w:lang w:val="es-419"/>
        </w:rPr>
        <w:t>Disposiciones Tipo para leyes nacionales sobre la protección de las expresiones del folclore contra la explotación ilícita y otras acciones lesivas</w:t>
      </w:r>
      <w:r w:rsidRPr="002405D3">
        <w:rPr>
          <w:sz w:val="22"/>
          <w:lang w:val="es-419"/>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50487D" w:rsidRPr="002405D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verbales, tales como los cuentos populares, la poesía popular y los enigmas;</w:t>
      </w:r>
    </w:p>
    <w:p w:rsidR="0050487D" w:rsidRPr="002405D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musicales, tales como las canciones y la música instrumental populares;</w:t>
      </w:r>
    </w:p>
    <w:p w:rsidR="0050487D" w:rsidRPr="002405D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corporales, tales como las danzas y representaciones escénicas populares y formas artísticas de rituales, estén o no fijadas en un soporte; y</w:t>
      </w:r>
    </w:p>
    <w:p w:rsidR="0050487D" w:rsidRPr="002405D3" w:rsidRDefault="0050487D" w:rsidP="0050487D">
      <w:pPr>
        <w:numPr>
          <w:ilvl w:val="0"/>
          <w:numId w:val="13"/>
        </w:numPr>
        <w:tabs>
          <w:tab w:val="clear" w:pos="1741"/>
          <w:tab w:val="num" w:pos="1260"/>
        </w:tabs>
        <w:autoSpaceDE w:val="0"/>
        <w:autoSpaceDN w:val="0"/>
        <w:adjustRightInd w:val="0"/>
        <w:spacing w:after="180"/>
        <w:ind w:left="562" w:firstLine="0"/>
        <w:rPr>
          <w:szCs w:val="22"/>
          <w:lang w:val="es-419"/>
        </w:rPr>
      </w:pPr>
      <w:r w:rsidRPr="002405D3">
        <w:rPr>
          <w:lang w:val="es-419"/>
        </w:rPr>
        <w:t>las expresiones tangibles.</w:t>
      </w:r>
      <w:r w:rsidRPr="002405D3">
        <w:rPr>
          <w:rStyle w:val="FootnoteReference"/>
          <w:szCs w:val="22"/>
          <w:lang w:val="es-419"/>
        </w:rPr>
        <w:footnoteReference w:id="57"/>
      </w:r>
    </w:p>
    <w:p w:rsidR="0050487D" w:rsidRPr="002405D3" w:rsidRDefault="0050487D" w:rsidP="0050487D">
      <w:pPr>
        <w:pStyle w:val="CommentText"/>
        <w:spacing w:after="220"/>
        <w:rPr>
          <w:sz w:val="22"/>
          <w:szCs w:val="22"/>
          <w:lang w:val="es-419"/>
        </w:rPr>
      </w:pPr>
      <w:r w:rsidRPr="002405D3">
        <w:rPr>
          <w:sz w:val="22"/>
          <w:lang w:val="es-419"/>
        </w:rPr>
        <w:t xml:space="preserve">En el contexto del CIG, los términos “expresiones culturales tradicionales” y “expresiones del folclore” son sinónimos y se usan indistintamente. </w:t>
      </w:r>
    </w:p>
    <w:p w:rsidR="0050487D" w:rsidRPr="002405D3" w:rsidRDefault="0050487D" w:rsidP="0050487D">
      <w:pPr>
        <w:pStyle w:val="Heading1"/>
        <w:spacing w:before="0" w:after="180"/>
        <w:rPr>
          <w:bCs w:val="0"/>
          <w:caps w:val="0"/>
          <w:lang w:val="es-419"/>
        </w:rPr>
      </w:pPr>
      <w:bookmarkStart w:id="52" w:name="_Toc124942447"/>
      <w:r w:rsidRPr="002405D3">
        <w:rPr>
          <w:caps w:val="0"/>
          <w:lang w:val="es-419"/>
        </w:rPr>
        <w:t xml:space="preserve">Conservación </w:t>
      </w:r>
      <w:r w:rsidRPr="002405D3">
        <w:rPr>
          <w:i/>
          <w:iCs/>
          <w:caps w:val="0"/>
          <w:lang w:val="es-419"/>
        </w:rPr>
        <w:t>ex situ</w:t>
      </w:r>
      <w:bookmarkEnd w:id="52"/>
      <w:r w:rsidRPr="002405D3">
        <w:rPr>
          <w:caps w:val="0"/>
          <w:lang w:val="es-419"/>
        </w:rPr>
        <w:t xml:space="preserve"> </w:t>
      </w:r>
    </w:p>
    <w:p w:rsidR="0050487D" w:rsidRPr="002405D3" w:rsidRDefault="0050487D" w:rsidP="0050487D">
      <w:pPr>
        <w:spacing w:after="220"/>
        <w:rPr>
          <w:bCs/>
          <w:szCs w:val="22"/>
          <w:lang w:val="es-419"/>
        </w:rPr>
      </w:pPr>
      <w:r w:rsidRPr="002405D3">
        <w:rPr>
          <w:lang w:val="es-419"/>
        </w:rPr>
        <w:t xml:space="preserve">En referencia a la definición de “conservación </w:t>
      </w:r>
      <w:r w:rsidRPr="002405D3">
        <w:rPr>
          <w:i/>
          <w:lang w:val="es-419"/>
        </w:rPr>
        <w:t>ex situ</w:t>
      </w:r>
      <w:r w:rsidRPr="002405D3">
        <w:rPr>
          <w:lang w:val="es-419"/>
        </w:rPr>
        <w:t xml:space="preserve">” del artículo 2 del </w:t>
      </w:r>
      <w:r w:rsidRPr="002405D3">
        <w:rPr>
          <w:i/>
          <w:lang w:val="es-419"/>
        </w:rPr>
        <w:t>Convenio sobre la Diversidad Biológica</w:t>
      </w:r>
      <w:r w:rsidRPr="002405D3">
        <w:rPr>
          <w:lang w:val="es-419"/>
        </w:rPr>
        <w:t xml:space="preserve"> (1992), por “</w:t>
      </w:r>
      <w:r w:rsidRPr="002405D3">
        <w:rPr>
          <w:i/>
          <w:lang w:val="es-419"/>
        </w:rPr>
        <w:t>ex situ</w:t>
      </w:r>
      <w:r w:rsidRPr="002405D3">
        <w:rPr>
          <w:lang w:val="es-419"/>
        </w:rPr>
        <w:t>” se entiende “la conservación de componentes de la diversidad biológica fuera de sus hábitats naturales”.</w:t>
      </w:r>
    </w:p>
    <w:p w:rsidR="0050487D" w:rsidRPr="002405D3" w:rsidRDefault="0050487D" w:rsidP="0050487D">
      <w:pPr>
        <w:pStyle w:val="Heading1"/>
        <w:keepLines/>
        <w:spacing w:before="0" w:after="180"/>
        <w:rPr>
          <w:bCs w:val="0"/>
          <w:caps w:val="0"/>
          <w:lang w:val="es-419"/>
        </w:rPr>
      </w:pPr>
      <w:bookmarkStart w:id="53" w:name="_Toc124942448"/>
      <w:r w:rsidRPr="002405D3">
        <w:rPr>
          <w:caps w:val="0"/>
          <w:lang w:val="es-419"/>
        </w:rPr>
        <w:t>Uso leal</w:t>
      </w:r>
      <w:bookmarkEnd w:id="53"/>
    </w:p>
    <w:p w:rsidR="0050487D" w:rsidRPr="002405D3" w:rsidRDefault="0050487D" w:rsidP="0050487D">
      <w:pPr>
        <w:keepLines/>
        <w:spacing w:after="220"/>
        <w:rPr>
          <w:szCs w:val="22"/>
          <w:lang w:val="es-419"/>
        </w:rPr>
      </w:pPr>
      <w:r w:rsidRPr="002405D3">
        <w:rPr>
          <w:lang w:val="es-419"/>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2405D3">
        <w:rPr>
          <w:rStyle w:val="FootnoteReference"/>
          <w:szCs w:val="22"/>
          <w:lang w:val="es-419"/>
        </w:rPr>
        <w:footnoteReference w:id="58"/>
      </w:r>
    </w:p>
    <w:p w:rsidR="0050487D" w:rsidRPr="002405D3" w:rsidRDefault="0050487D" w:rsidP="0050487D">
      <w:pPr>
        <w:pStyle w:val="Heading1"/>
        <w:spacing w:before="0" w:after="220"/>
        <w:rPr>
          <w:bCs w:val="0"/>
          <w:caps w:val="0"/>
          <w:lang w:val="es-419"/>
        </w:rPr>
      </w:pPr>
      <w:bookmarkStart w:id="54" w:name="_Toc124942449"/>
      <w:r w:rsidRPr="002405D3">
        <w:rPr>
          <w:caps w:val="0"/>
          <w:lang w:val="es-419"/>
        </w:rPr>
        <w:lastRenderedPageBreak/>
        <w:t>Derechos del agricultor</w:t>
      </w:r>
      <w:bookmarkEnd w:id="54"/>
    </w:p>
    <w:p w:rsidR="0050487D" w:rsidRPr="002405D3" w:rsidRDefault="0050487D" w:rsidP="0050487D">
      <w:pPr>
        <w:spacing w:after="220"/>
        <w:rPr>
          <w:szCs w:val="22"/>
          <w:lang w:val="es-419"/>
        </w:rPr>
      </w:pPr>
      <w:r w:rsidRPr="002405D3">
        <w:rPr>
          <w:lang w:val="es-419"/>
        </w:rPr>
        <w:t xml:space="preserve">En el artículo 9.1 del </w:t>
      </w:r>
      <w:r w:rsidRPr="002405D3">
        <w:rPr>
          <w:i/>
          <w:iCs/>
          <w:lang w:val="es-419"/>
        </w:rPr>
        <w:t>Tratado Internacional sobre los Recursos Fitogenéticos para la Alimentación y la Agricultura</w:t>
      </w:r>
      <w:r w:rsidRPr="002405D3">
        <w:rPr>
          <w:lang w:val="es-419"/>
        </w:rPr>
        <w:t xml:space="preserve"> se reconoce “la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 En el artículo 9.2 se definen los “derechos del agricultor” como: “a)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 En el artículo 2 del </w:t>
      </w:r>
      <w:r w:rsidRPr="002405D3">
        <w:rPr>
          <w:i/>
          <w:lang w:val="es-419"/>
        </w:rPr>
        <w:t>Código Internacional de Conducta para la Recolección y Transferencia de Germoplasma</w:t>
      </w:r>
      <w:r w:rsidRPr="002405D3">
        <w:rPr>
          <w:lang w:val="es-419"/>
        </w:rPr>
        <w:t xml:space="preserve">, de la FAO, se definen esos derechos como “derechos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 </w:t>
      </w:r>
    </w:p>
    <w:p w:rsidR="0050487D" w:rsidRPr="002405D3" w:rsidRDefault="0050487D" w:rsidP="0050487D">
      <w:pPr>
        <w:pStyle w:val="Heading1"/>
        <w:spacing w:before="0" w:after="220"/>
        <w:rPr>
          <w:bCs w:val="0"/>
          <w:caps w:val="0"/>
          <w:lang w:val="es-419"/>
        </w:rPr>
      </w:pPr>
      <w:bookmarkStart w:id="55" w:name="_Toc124942450"/>
      <w:r w:rsidRPr="002405D3">
        <w:rPr>
          <w:caps w:val="0"/>
          <w:lang w:val="es-419"/>
        </w:rPr>
        <w:t>Fijación</w:t>
      </w:r>
      <w:bookmarkEnd w:id="55"/>
      <w:r w:rsidRPr="002405D3">
        <w:rPr>
          <w:caps w:val="0"/>
          <w:lang w:val="es-419"/>
        </w:rPr>
        <w:t xml:space="preserve"> </w:t>
      </w:r>
    </w:p>
    <w:p w:rsidR="0050487D" w:rsidRPr="002405D3" w:rsidRDefault="0050487D" w:rsidP="0050487D">
      <w:pPr>
        <w:spacing w:after="220"/>
        <w:rPr>
          <w:szCs w:val="22"/>
          <w:lang w:val="es-419"/>
        </w:rPr>
      </w:pPr>
      <w:r w:rsidRPr="002405D3">
        <w:rPr>
          <w:lang w:val="es-419"/>
        </w:rPr>
        <w:t>El Diccionario General de la Lengua Española VOX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2405D3">
        <w:rPr>
          <w:rStyle w:val="FootnoteReference"/>
          <w:szCs w:val="22"/>
          <w:lang w:val="es-419"/>
        </w:rPr>
        <w:footnoteReference w:id="59"/>
      </w:r>
      <w:r w:rsidRPr="002405D3">
        <w:rPr>
          <w:lang w:val="es-419"/>
        </w:rPr>
        <w:t xml:space="preserve"> No siempre se prescribe la fijación en un soporte material, pero en el </w:t>
      </w:r>
      <w:r w:rsidRPr="002405D3">
        <w:rPr>
          <w:i/>
          <w:iCs/>
          <w:lang w:val="es-419"/>
        </w:rPr>
        <w:t>Convenio de Berna para la Protección de las Obras Literarias y Artísticas</w:t>
      </w:r>
      <w:r w:rsidRPr="002405D3">
        <w:rPr>
          <w:lang w:val="es-419"/>
        </w:rPr>
        <w:t xml:space="preserve"> (1971) se reserva a las legislaciones nacionales la facultad de establecer dicha condición.</w:t>
      </w:r>
      <w:r w:rsidRPr="002405D3">
        <w:rPr>
          <w:rStyle w:val="FootnoteReference"/>
          <w:szCs w:val="22"/>
          <w:lang w:val="es-419"/>
        </w:rPr>
        <w:footnoteReference w:id="60"/>
      </w:r>
      <w:r w:rsidRPr="002405D3">
        <w:rPr>
          <w:lang w:val="es-419"/>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6" w:name="_Ref289444051"/>
      <w:r w:rsidRPr="002405D3">
        <w:rPr>
          <w:rStyle w:val="FootnoteReference"/>
          <w:szCs w:val="22"/>
          <w:lang w:val="es-419"/>
        </w:rPr>
        <w:footnoteReference w:id="61"/>
      </w:r>
      <w:bookmarkEnd w:id="56"/>
      <w:r w:rsidRPr="002405D3">
        <w:rPr>
          <w:lang w:val="es-419"/>
        </w:rPr>
        <w:t xml:space="preserve"> Se ha sostenido que el uso del término “expresión” parece indicar que es necesario cumplir el requisito de la fijación para obtener la protección de las expresiones culturales tradicionales.</w:t>
      </w:r>
      <w:r w:rsidRPr="002405D3">
        <w:rPr>
          <w:rStyle w:val="FootnoteReference"/>
          <w:szCs w:val="22"/>
          <w:lang w:val="es-419"/>
        </w:rPr>
        <w:footnoteReference w:id="62"/>
      </w:r>
    </w:p>
    <w:p w:rsidR="0050487D" w:rsidRPr="002405D3" w:rsidRDefault="0050487D" w:rsidP="0050487D">
      <w:pPr>
        <w:pStyle w:val="Heading1"/>
        <w:spacing w:before="0" w:after="220"/>
        <w:rPr>
          <w:bCs w:val="0"/>
          <w:caps w:val="0"/>
          <w:lang w:val="es-419"/>
        </w:rPr>
      </w:pPr>
      <w:bookmarkStart w:id="57" w:name="_Toc124942451"/>
      <w:r w:rsidRPr="002405D3">
        <w:rPr>
          <w:caps w:val="0"/>
          <w:lang w:val="es-419"/>
        </w:rPr>
        <w:t>Folclore</w:t>
      </w:r>
      <w:bookmarkEnd w:id="57"/>
    </w:p>
    <w:p w:rsidR="0050487D" w:rsidRPr="002405D3" w:rsidRDefault="0050487D" w:rsidP="0050487D">
      <w:pPr>
        <w:spacing w:after="180"/>
        <w:rPr>
          <w:snapToGrid w:val="0"/>
          <w:szCs w:val="22"/>
          <w:lang w:val="es-419"/>
        </w:rPr>
      </w:pPr>
      <w:r w:rsidRPr="002405D3">
        <w:rPr>
          <w:snapToGrid w:val="0"/>
          <w:lang w:val="es-419"/>
        </w:rPr>
        <w:t xml:space="preserve">En la </w:t>
      </w:r>
      <w:r w:rsidRPr="002405D3">
        <w:rPr>
          <w:i/>
          <w:snapToGrid w:val="0"/>
          <w:lang w:val="es-419"/>
        </w:rPr>
        <w:t>Recomendación sobre la Salvaguardia de la Cultura Tradicional y Popular</w:t>
      </w:r>
      <w:r w:rsidRPr="002405D3">
        <w:rPr>
          <w:snapToGrid w:val="0"/>
          <w:lang w:val="es-419"/>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w:t>
      </w:r>
      <w:r w:rsidRPr="002405D3">
        <w:rPr>
          <w:snapToGrid w:val="0"/>
          <w:lang w:val="es-419"/>
        </w:rPr>
        <w:lastRenderedPageBreak/>
        <w:t xml:space="preserve">la música, la danza, los juegos, la mitología, los ritos, las costumbres, la artesanía, la arquitectura y otras artes”. </w:t>
      </w:r>
    </w:p>
    <w:p w:rsidR="0050487D" w:rsidRPr="002405D3" w:rsidRDefault="0050487D" w:rsidP="0050487D">
      <w:pPr>
        <w:spacing w:after="220"/>
        <w:rPr>
          <w:szCs w:val="22"/>
          <w:lang w:val="es-419"/>
        </w:rPr>
      </w:pPr>
      <w:r w:rsidRPr="002405D3">
        <w:rPr>
          <w:lang w:val="es-419"/>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2405D3">
        <w:rPr>
          <w:i/>
          <w:lang w:val="es-419"/>
        </w:rPr>
        <w:t>Ley tipo de Túnez</w:t>
      </w:r>
      <w:r w:rsidRPr="002405D3">
        <w:rPr>
          <w:lang w:val="es-419"/>
        </w:rPr>
        <w:t xml:space="preserve">, que no contiene ninguna definición), es que el folclore debe haber sido creado por autores de identidad desconocida pero que presumiblemente sean o hayan sido nacionales del país. La </w:t>
      </w:r>
      <w:r w:rsidRPr="002405D3">
        <w:rPr>
          <w:i/>
          <w:lang w:val="es-419"/>
        </w:rPr>
        <w:t>Convención de la OAPl</w:t>
      </w:r>
      <w:r w:rsidRPr="002405D3">
        <w:rPr>
          <w:lang w:val="es-419"/>
        </w:rPr>
        <w:t xml:space="preserve"> menciona las creaciones hechas por “comunidades” y no por autores, lo que traza un límite entre las creaciones del folclore y las obras protegidas por el derecho de autor convencional. La </w:t>
      </w:r>
      <w:r w:rsidRPr="002405D3">
        <w:rPr>
          <w:i/>
          <w:lang w:val="es-419"/>
        </w:rPr>
        <w:t>Ley tipo de Túnez</w:t>
      </w:r>
      <w:r w:rsidRPr="002405D3">
        <w:rPr>
          <w:lang w:val="es-419"/>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2405D3">
        <w:rPr>
          <w:i/>
          <w:lang w:val="es-419"/>
        </w:rPr>
        <w:t>Convención de la OAPl</w:t>
      </w:r>
      <w:r w:rsidRPr="002405D3">
        <w:rPr>
          <w:lang w:val="es-419"/>
        </w:rPr>
        <w:t xml:space="preserve"> y la </w:t>
      </w:r>
      <w:r w:rsidRPr="002405D3">
        <w:rPr>
          <w:i/>
          <w:lang w:val="es-419"/>
        </w:rPr>
        <w:t>Ley tipo de Túnez</w:t>
      </w:r>
      <w:r w:rsidRPr="002405D3">
        <w:rPr>
          <w:lang w:val="es-419"/>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2405D3">
        <w:rPr>
          <w:rStyle w:val="FootnoteReference"/>
          <w:szCs w:val="22"/>
          <w:lang w:val="es-419"/>
        </w:rPr>
        <w:footnoteReference w:id="63"/>
      </w:r>
    </w:p>
    <w:p w:rsidR="0050487D" w:rsidRPr="002405D3" w:rsidRDefault="0050487D" w:rsidP="0050487D">
      <w:pPr>
        <w:pStyle w:val="Heading1"/>
        <w:spacing w:before="0" w:after="220"/>
        <w:rPr>
          <w:bCs w:val="0"/>
          <w:caps w:val="0"/>
          <w:lang w:val="es-419"/>
        </w:rPr>
      </w:pPr>
      <w:bookmarkStart w:id="58" w:name="_Toc124942452"/>
      <w:r w:rsidRPr="002405D3">
        <w:rPr>
          <w:caps w:val="0"/>
          <w:lang w:val="es-419"/>
        </w:rPr>
        <w:t>Formalidades</w:t>
      </w:r>
      <w:bookmarkEnd w:id="58"/>
    </w:p>
    <w:p w:rsidR="0050487D" w:rsidRPr="002405D3" w:rsidRDefault="0050487D" w:rsidP="0050487D">
      <w:pPr>
        <w:spacing w:after="220"/>
        <w:rPr>
          <w:snapToGrid w:val="0"/>
          <w:szCs w:val="22"/>
          <w:lang w:val="es-419"/>
        </w:rPr>
      </w:pPr>
      <w:r w:rsidRPr="002405D3">
        <w:rPr>
          <w:snapToGrid w:val="0"/>
          <w:lang w:val="es-419"/>
        </w:rPr>
        <w:t xml:space="preserve">Según el Diccionario de la lengua española de la Real Academia Española, por “formalidades” se entiende “cada uno de los requisitos para ejecutar algo”. El Diccionario de uso del español de María Moliner explica que son “cada uno de los actos o condiciones reglamentarios o legales que hay que cumplir en la tramitación o ejecución de algo”. </w:t>
      </w:r>
      <w:r w:rsidRPr="002405D3">
        <w:rPr>
          <w:lang w:val="es-419"/>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2405D3">
        <w:rPr>
          <w:rStyle w:val="FootnoteReference"/>
          <w:szCs w:val="22"/>
          <w:lang w:val="es-419"/>
        </w:rPr>
        <w:footnoteReference w:id="64"/>
      </w:r>
      <w:r w:rsidRPr="002405D3">
        <w:rPr>
          <w:lang w:val="es-419"/>
        </w:rPr>
        <w:t xml:space="preserve"> En el Convenio de </w:t>
      </w:r>
      <w:r w:rsidRPr="002405D3">
        <w:rPr>
          <w:i/>
          <w:iCs/>
          <w:lang w:val="es-419"/>
        </w:rPr>
        <w:t>Berna para la Protección de las Obras Literarias y Artísticas</w:t>
      </w:r>
      <w:r w:rsidRPr="002405D3">
        <w:rPr>
          <w:lang w:val="es-419"/>
        </w:rPr>
        <w:t xml:space="preserve"> (1971), el Acuerdo sobre los ADPIC de la Organización Mundial del Comercio (OMC),</w:t>
      </w:r>
      <w:r w:rsidRPr="002405D3">
        <w:rPr>
          <w:snapToGrid w:val="0"/>
          <w:lang w:val="es-419"/>
        </w:rPr>
        <w:t xml:space="preserve"> </w:t>
      </w:r>
    </w:p>
    <w:p w:rsidR="0050487D" w:rsidRPr="002405D3" w:rsidRDefault="0050487D" w:rsidP="0050487D">
      <w:pPr>
        <w:spacing w:after="220"/>
        <w:rPr>
          <w:szCs w:val="22"/>
          <w:lang w:val="es-419"/>
        </w:rPr>
      </w:pPr>
      <w:r w:rsidRPr="002405D3">
        <w:rPr>
          <w:snapToGrid w:val="0"/>
          <w:lang w:val="es-419"/>
        </w:rPr>
        <w:t xml:space="preserve">el </w:t>
      </w:r>
      <w:r w:rsidRPr="002405D3">
        <w:rPr>
          <w:i/>
          <w:iCs/>
          <w:snapToGrid w:val="0"/>
          <w:lang w:val="es-419"/>
        </w:rPr>
        <w:t>Tratado de la OMPI sobre Derecho de Autor</w:t>
      </w:r>
      <w:r w:rsidRPr="002405D3">
        <w:rPr>
          <w:snapToGrid w:val="0"/>
          <w:lang w:val="es-419"/>
        </w:rPr>
        <w:t xml:space="preserve"> y el </w:t>
      </w:r>
      <w:r w:rsidRPr="002405D3">
        <w:rPr>
          <w:i/>
          <w:iCs/>
          <w:snapToGrid w:val="0"/>
          <w:lang w:val="es-419"/>
        </w:rPr>
        <w:t>Tratado de la OMPI sobre Interpretación o Ejecución y Fonogramas</w:t>
      </w:r>
      <w:r w:rsidRPr="002405D3">
        <w:rPr>
          <w:snapToGrid w:val="0"/>
          <w:lang w:val="es-419"/>
        </w:rPr>
        <w:t>, “el goce y el ejercicio de estos derechos no estarán subordinados a ninguna formalidad”.</w:t>
      </w:r>
      <w:r w:rsidRPr="002405D3">
        <w:rPr>
          <w:snapToGrid w:val="0"/>
          <w:szCs w:val="22"/>
          <w:vertAlign w:val="superscript"/>
          <w:lang w:val="es-419"/>
        </w:rPr>
        <w:footnoteReference w:id="65"/>
      </w:r>
      <w:r w:rsidRPr="002405D3">
        <w:rPr>
          <w:snapToGrid w:val="0"/>
          <w:lang w:val="es-419"/>
        </w:rPr>
        <w:t xml:space="preserve"> </w:t>
      </w:r>
    </w:p>
    <w:p w:rsidR="0050487D" w:rsidRPr="002405D3" w:rsidRDefault="0050487D" w:rsidP="0050487D">
      <w:pPr>
        <w:pStyle w:val="Heading1"/>
        <w:spacing w:before="0" w:after="180"/>
        <w:rPr>
          <w:caps w:val="0"/>
          <w:lang w:val="es-419"/>
        </w:rPr>
      </w:pPr>
      <w:bookmarkStart w:id="59" w:name="_Toc124942453"/>
      <w:r w:rsidRPr="002405D3">
        <w:rPr>
          <w:caps w:val="0"/>
          <w:lang w:val="es-419"/>
        </w:rPr>
        <w:lastRenderedPageBreak/>
        <w:t>Material genético</w:t>
      </w:r>
      <w:bookmarkEnd w:id="59"/>
    </w:p>
    <w:p w:rsidR="0050487D" w:rsidRPr="002405D3" w:rsidRDefault="0050487D" w:rsidP="0050487D">
      <w:pPr>
        <w:spacing w:after="220"/>
        <w:rPr>
          <w:szCs w:val="22"/>
          <w:lang w:val="es-419"/>
        </w:rPr>
      </w:pPr>
      <w:r w:rsidRPr="002405D3">
        <w:rPr>
          <w:lang w:val="es-419"/>
        </w:rPr>
        <w:t xml:space="preserve">En el artículo 2 del </w:t>
      </w:r>
      <w:r w:rsidRPr="002405D3">
        <w:rPr>
          <w:i/>
          <w:iCs/>
          <w:lang w:val="es-419"/>
        </w:rPr>
        <w:t>Convenio sobre la Diversidad Biológica</w:t>
      </w:r>
      <w:r w:rsidRPr="002405D3">
        <w:rPr>
          <w:lang w:val="es-419"/>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2405D3">
        <w:rPr>
          <w:rStyle w:val="FootnoteReference"/>
          <w:szCs w:val="22"/>
          <w:lang w:val="es-419"/>
        </w:rPr>
        <w:footnoteReference w:id="66"/>
      </w:r>
    </w:p>
    <w:p w:rsidR="0050487D" w:rsidRPr="002405D3" w:rsidRDefault="0050487D" w:rsidP="0050487D">
      <w:pPr>
        <w:pStyle w:val="Heading1"/>
        <w:spacing w:before="0" w:after="180"/>
        <w:rPr>
          <w:caps w:val="0"/>
          <w:lang w:val="es-419"/>
        </w:rPr>
      </w:pPr>
      <w:bookmarkStart w:id="60" w:name="_Toc124942454"/>
      <w:r w:rsidRPr="002405D3">
        <w:rPr>
          <w:caps w:val="0"/>
          <w:lang w:val="es-419"/>
        </w:rPr>
        <w:t>Recursos genéticos</w:t>
      </w:r>
      <w:bookmarkEnd w:id="60"/>
    </w:p>
    <w:p w:rsidR="0050487D" w:rsidRPr="002405D3" w:rsidRDefault="0050487D" w:rsidP="0050487D">
      <w:pPr>
        <w:spacing w:after="220"/>
        <w:rPr>
          <w:szCs w:val="22"/>
          <w:lang w:val="es-419"/>
        </w:rPr>
      </w:pPr>
      <w:r w:rsidRPr="002405D3">
        <w:rPr>
          <w:lang w:val="es-419"/>
        </w:rPr>
        <w:t xml:space="preserve">En el artículo 2 del </w:t>
      </w:r>
      <w:r w:rsidRPr="002405D3">
        <w:rPr>
          <w:i/>
          <w:lang w:val="es-419"/>
        </w:rPr>
        <w:t>Convenio sobre la Diversidad Biológica</w:t>
      </w:r>
      <w:r w:rsidRPr="002405D3">
        <w:rPr>
          <w:lang w:val="es-419"/>
        </w:rPr>
        <w:t xml:space="preserve"> (1992) se define “recursos genéticos” como “todo material genético de valor real o potencial”. </w:t>
      </w:r>
    </w:p>
    <w:p w:rsidR="0050487D" w:rsidRPr="002405D3" w:rsidRDefault="0050487D" w:rsidP="0050487D">
      <w:pPr>
        <w:spacing w:after="220"/>
        <w:rPr>
          <w:snapToGrid w:val="0"/>
          <w:szCs w:val="22"/>
          <w:lang w:val="es-419"/>
        </w:rPr>
      </w:pPr>
      <w:r w:rsidRPr="002405D3">
        <w:rPr>
          <w:lang w:val="es-419"/>
        </w:rPr>
        <w:t>En el artículo 1 de la Decisión 391 acerca de un Régimen Común sobre Acceso a los Recursos Genéticos, de la Comunidad Andina, el término de “recursos genéticos” se define ampliamente como “todo material de naturaleza biológica que contenga información genética de valor o utilidad real o potencial”.</w:t>
      </w:r>
    </w:p>
    <w:p w:rsidR="0050487D" w:rsidRPr="002405D3" w:rsidRDefault="0050487D" w:rsidP="0050487D">
      <w:pPr>
        <w:spacing w:after="220"/>
        <w:rPr>
          <w:szCs w:val="22"/>
          <w:lang w:val="es-419"/>
        </w:rPr>
      </w:pPr>
      <w:r w:rsidRPr="002405D3">
        <w:rPr>
          <w:lang w:val="es-419"/>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50487D" w:rsidRPr="002405D3" w:rsidRDefault="0050487D" w:rsidP="0050487D">
      <w:pPr>
        <w:spacing w:after="220"/>
        <w:rPr>
          <w:snapToGrid w:val="0"/>
          <w:szCs w:val="22"/>
          <w:lang w:val="es-419"/>
        </w:rPr>
      </w:pPr>
      <w:r w:rsidRPr="002405D3">
        <w:rPr>
          <w:snapToGrid w:val="0"/>
          <w:lang w:val="es-419"/>
        </w:rPr>
        <w:t>En otros instrumentos jurídicos se hace referencia a los recursos genéticos mediante diferentes términos:</w:t>
      </w:r>
    </w:p>
    <w:p w:rsidR="0050487D" w:rsidRPr="002405D3" w:rsidRDefault="0050487D" w:rsidP="0050487D">
      <w:pPr>
        <w:spacing w:after="220"/>
        <w:rPr>
          <w:rStyle w:val="Emphasis"/>
          <w:i w:val="0"/>
          <w:lang w:val="es-419"/>
        </w:rPr>
      </w:pPr>
      <w:r w:rsidRPr="002405D3">
        <w:rPr>
          <w:rStyle w:val="Emphasis"/>
          <w:lang w:val="es-419"/>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50487D" w:rsidRPr="002405D3" w:rsidRDefault="0050487D" w:rsidP="0050487D">
      <w:pPr>
        <w:spacing w:after="220"/>
        <w:rPr>
          <w:rStyle w:val="Emphasis"/>
          <w:i w:val="0"/>
          <w:lang w:val="es-419"/>
        </w:rPr>
      </w:pPr>
      <w:r w:rsidRPr="002405D3">
        <w:rPr>
          <w:rStyle w:val="Emphasis"/>
          <w:lang w:val="es-419"/>
        </w:rPr>
        <w:t>En el artículo 2 del Código Internacional de Conducta para la Recolección y Transferencia de Germoplasma Vegetal de la FAO, el término se define como “material de reproducción o de propagación vegetativa de las plantas”.</w:t>
      </w:r>
    </w:p>
    <w:p w:rsidR="0050487D" w:rsidRPr="002405D3" w:rsidRDefault="0050487D" w:rsidP="0050487D">
      <w:pPr>
        <w:spacing w:after="220"/>
        <w:rPr>
          <w:szCs w:val="22"/>
          <w:lang w:val="es-419"/>
        </w:rPr>
      </w:pPr>
      <w:r w:rsidRPr="002405D3">
        <w:rPr>
          <w:lang w:val="es-419"/>
        </w:rPr>
        <w:t>En el artículo 2.1.a) del Compromiso Internacional sobre los Recursos Fitogenéticos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50487D" w:rsidRPr="002405D3" w:rsidRDefault="0050487D" w:rsidP="0050487D">
      <w:pPr>
        <w:pStyle w:val="Heading1"/>
        <w:spacing w:before="0" w:after="180"/>
        <w:rPr>
          <w:caps w:val="0"/>
          <w:lang w:val="es-419"/>
        </w:rPr>
      </w:pPr>
      <w:bookmarkStart w:id="61" w:name="_Toc124942455"/>
      <w:r w:rsidRPr="002405D3">
        <w:rPr>
          <w:caps w:val="0"/>
          <w:lang w:val="es-419"/>
        </w:rPr>
        <w:t>Patrimonio (de los pueblos indígenas)</w:t>
      </w:r>
      <w:bookmarkEnd w:id="61"/>
    </w:p>
    <w:p w:rsidR="0050487D" w:rsidRPr="002405D3" w:rsidRDefault="0050487D" w:rsidP="0050487D">
      <w:pPr>
        <w:spacing w:after="220"/>
        <w:rPr>
          <w:szCs w:val="22"/>
          <w:lang w:val="es-419"/>
        </w:rPr>
      </w:pPr>
      <w:r w:rsidRPr="002405D3">
        <w:rPr>
          <w:lang w:val="es-419"/>
        </w:rPr>
        <w:t xml:space="preserve">El término “patrimonio de los pueblos indígenas” (y otros pueblos) o “patrimonio cultural indígena” se refiere, en un sentido amplio, a las cuestiones que se exponen en el </w:t>
      </w:r>
      <w:r w:rsidRPr="002405D3">
        <w:rPr>
          <w:i/>
          <w:iCs/>
          <w:lang w:val="es-419"/>
        </w:rPr>
        <w:t>Proyecto de principios y directrices para la protección del patrimonio de los pueblos indígenas</w:t>
      </w:r>
      <w:r w:rsidRPr="002405D3">
        <w:rPr>
          <w:lang w:val="es-419"/>
        </w:rPr>
        <w:t xml:space="preserve"> (2000), elaborado por la Presidenta-Relatora de la Subcomisión de Promoción y Protección de los Derechos Humanos, Sra. Erica-Irene Daes. Las definiciones se recogen en los párrafos 12, 13 y 14 de las Directrices. </w:t>
      </w:r>
    </w:p>
    <w:p w:rsidR="0050487D" w:rsidRPr="002405D3" w:rsidRDefault="0050487D" w:rsidP="0050487D">
      <w:pPr>
        <w:spacing w:after="220"/>
        <w:rPr>
          <w:szCs w:val="22"/>
          <w:lang w:val="es-419"/>
        </w:rPr>
      </w:pPr>
      <w:r w:rsidRPr="002405D3">
        <w:rPr>
          <w:lang w:val="es-419"/>
        </w:rPr>
        <w:lastRenderedPageBreak/>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2405D3">
        <w:rPr>
          <w:rStyle w:val="FootnoteReference"/>
          <w:szCs w:val="22"/>
          <w:lang w:val="es-419"/>
        </w:rPr>
        <w:footnoteReference w:id="67"/>
      </w:r>
    </w:p>
    <w:p w:rsidR="0050487D" w:rsidRPr="002405D3" w:rsidRDefault="0050487D" w:rsidP="0050487D">
      <w:pPr>
        <w:pStyle w:val="Heading1"/>
        <w:spacing w:before="0" w:after="180"/>
        <w:rPr>
          <w:caps w:val="0"/>
          <w:lang w:val="es-419"/>
        </w:rPr>
      </w:pPr>
      <w:bookmarkStart w:id="62" w:name="_Toc124942456"/>
      <w:r w:rsidRPr="002405D3">
        <w:rPr>
          <w:caps w:val="0"/>
          <w:lang w:val="es-419"/>
        </w:rPr>
        <w:t>Poseedor</w:t>
      </w:r>
      <w:bookmarkEnd w:id="62"/>
    </w:p>
    <w:p w:rsidR="0050487D" w:rsidRPr="002405D3" w:rsidRDefault="0050487D" w:rsidP="0050487D">
      <w:pPr>
        <w:spacing w:after="220"/>
        <w:rPr>
          <w:szCs w:val="22"/>
          <w:lang w:val="es-419"/>
        </w:rPr>
      </w:pPr>
      <w:r w:rsidRPr="002405D3">
        <w:rPr>
          <w:lang w:val="es-419"/>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2405D3">
        <w:rPr>
          <w:szCs w:val="22"/>
          <w:vertAlign w:val="superscript"/>
          <w:lang w:val="es-419"/>
        </w:rPr>
        <w:footnoteReference w:id="68"/>
      </w:r>
      <w:r w:rsidRPr="002405D3">
        <w:rPr>
          <w:lang w:val="es-419"/>
        </w:rPr>
        <w:t xml:space="preserve"> En este contexto, “conocimientos tradicionales” se refiere tanto a los </w:t>
      </w:r>
      <w:r w:rsidRPr="002405D3">
        <w:rPr>
          <w:lang w:val="es-419"/>
        </w:rPr>
        <w:lastRenderedPageBreak/>
        <w:t>conocimientos tradicionales propiamente dichos como a las expresiones culturales tradicionales.</w:t>
      </w:r>
    </w:p>
    <w:p w:rsidR="0050487D" w:rsidRPr="002405D3" w:rsidRDefault="0050487D" w:rsidP="0050487D">
      <w:pPr>
        <w:rPr>
          <w:szCs w:val="22"/>
          <w:lang w:val="es-419"/>
        </w:rPr>
      </w:pPr>
      <w:r w:rsidRPr="002405D3">
        <w:rPr>
          <w:lang w:val="es-419"/>
        </w:rPr>
        <w:t xml:space="preserve">Como se señala en la “Lista y breve descripción técnica de las diversas formas que pueden presentar los conocimientos tradicionales (WIPO/GRTKF/IC/17/INF/9)”, “[p]or lo general, </w:t>
      </w:r>
    </w:p>
    <w:p w:rsidR="0050487D" w:rsidRPr="002405D3" w:rsidRDefault="0050487D" w:rsidP="0050487D">
      <w:pPr>
        <w:spacing w:after="220"/>
        <w:rPr>
          <w:szCs w:val="22"/>
          <w:lang w:val="es-419"/>
        </w:rPr>
      </w:pPr>
      <w:r w:rsidRPr="002405D3">
        <w:rPr>
          <w:lang w:val="es-419"/>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2405D3">
        <w:rPr>
          <w:szCs w:val="22"/>
          <w:vertAlign w:val="superscript"/>
          <w:lang w:val="es-419"/>
        </w:rPr>
        <w:footnoteReference w:id="69"/>
      </w:r>
    </w:p>
    <w:p w:rsidR="0050487D" w:rsidRPr="002405D3" w:rsidRDefault="0050487D" w:rsidP="0050487D">
      <w:pPr>
        <w:pStyle w:val="Heading1"/>
        <w:spacing w:before="0" w:after="180"/>
        <w:rPr>
          <w:caps w:val="0"/>
          <w:lang w:val="es-419"/>
        </w:rPr>
      </w:pPr>
      <w:bookmarkStart w:id="63" w:name="_Toc124942457"/>
      <w:r w:rsidRPr="002405D3">
        <w:rPr>
          <w:caps w:val="0"/>
          <w:lang w:val="es-419"/>
        </w:rPr>
        <w:t>Comunidades indígenas y locales</w:t>
      </w:r>
      <w:bookmarkEnd w:id="63"/>
    </w:p>
    <w:p w:rsidR="0050487D" w:rsidRPr="002405D3" w:rsidRDefault="0050487D" w:rsidP="0050487D">
      <w:pPr>
        <w:spacing w:after="220"/>
        <w:rPr>
          <w:szCs w:val="22"/>
          <w:lang w:val="es-419"/>
        </w:rPr>
      </w:pPr>
      <w:r w:rsidRPr="002405D3">
        <w:rPr>
          <w:lang w:val="es-419"/>
        </w:rPr>
        <w:t xml:space="preserve">El término “comunidades indígenas y locales” ha sido objeto de intenso examen y debate. No existe, a tal respecto, una definición universal y estándar. Dicho término figura en el </w:t>
      </w:r>
      <w:r w:rsidRPr="002405D3">
        <w:rPr>
          <w:i/>
          <w:lang w:val="es-419"/>
        </w:rPr>
        <w:t>Convenio sobre la Diversidad Biológica</w:t>
      </w:r>
      <w:r w:rsidRPr="002405D3">
        <w:rPr>
          <w:lang w:val="es-419"/>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2405D3">
        <w:rPr>
          <w:i/>
          <w:lang w:val="es-419"/>
        </w:rPr>
        <w:t xml:space="preserve">Protocolo de Nagoya sobre Acceso a los Recursos Genéticos y Participación Justa y Equitativa en los Beneficios que se Deriven de su Utilización al Convenio sobre la Diversidad Biológica </w:t>
      </w:r>
      <w:r w:rsidRPr="002405D3">
        <w:rPr>
          <w:lang w:val="es-419"/>
        </w:rPr>
        <w:t>(2010).</w:t>
      </w:r>
    </w:p>
    <w:p w:rsidR="0050487D" w:rsidRPr="002405D3" w:rsidRDefault="0050487D" w:rsidP="0050487D">
      <w:pPr>
        <w:spacing w:after="220"/>
        <w:rPr>
          <w:szCs w:val="22"/>
          <w:lang w:val="es-419"/>
        </w:rPr>
      </w:pPr>
      <w:r w:rsidRPr="002405D3">
        <w:rPr>
          <w:lang w:val="es-419"/>
        </w:rPr>
        <w:t xml:space="preserve">En el </w:t>
      </w:r>
      <w:r w:rsidRPr="002405D3">
        <w:rPr>
          <w:i/>
          <w:lang w:val="es-419"/>
        </w:rPr>
        <w:t xml:space="preserve">Convenio sobre la Diversidad Biológica </w:t>
      </w:r>
      <w:r w:rsidRPr="002405D3">
        <w:rPr>
          <w:lang w:val="es-419"/>
        </w:rPr>
        <w:t>(1992) se utiliza el término “comunidades indígenas y locales” en referencia a comunidades que se identifican desde antaño con las tierras y las aguas en las que viven o que han utilizado conforme a sus tradiciones.</w:t>
      </w:r>
      <w:r w:rsidRPr="002405D3">
        <w:rPr>
          <w:rStyle w:val="FootnoteReference"/>
          <w:szCs w:val="22"/>
          <w:lang w:val="es-419"/>
        </w:rPr>
        <w:footnoteReference w:id="70"/>
      </w:r>
      <w:r w:rsidRPr="002405D3">
        <w:rPr>
          <w:lang w:val="es-419"/>
        </w:rPr>
        <w:t xml:space="preserve">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2405D3">
        <w:rPr>
          <w:rStyle w:val="FootnoteReference"/>
          <w:szCs w:val="22"/>
          <w:lang w:val="es-419"/>
        </w:rPr>
        <w:footnoteReference w:id="71"/>
      </w:r>
    </w:p>
    <w:p w:rsidR="0050487D" w:rsidRPr="002405D3" w:rsidRDefault="0050487D" w:rsidP="0050487D">
      <w:pPr>
        <w:spacing w:after="220"/>
        <w:rPr>
          <w:szCs w:val="22"/>
          <w:lang w:val="es-419"/>
        </w:rPr>
      </w:pPr>
      <w:r w:rsidRPr="002405D3">
        <w:rPr>
          <w:lang w:val="es-419"/>
        </w:rPr>
        <w:t xml:space="preserve">Ese término se utiliza también en el </w:t>
      </w:r>
      <w:r w:rsidRPr="002405D3">
        <w:rPr>
          <w:i/>
          <w:iCs/>
          <w:lang w:val="es-419"/>
        </w:rPr>
        <w:t>Tratado Internacional sobre Recursos Fitogenéticos para la Alimentación y la Agricultura</w:t>
      </w:r>
      <w:r w:rsidRPr="002405D3">
        <w:rPr>
          <w:lang w:val="es-419"/>
        </w:rPr>
        <w:t xml:space="preserve">, de la FAO. En el artículo 5.1 de dicho tratado se estipula que: “cada Parte Contratante […], en particular, según proceda: [...] d) promoverá la conservación </w:t>
      </w:r>
      <w:r w:rsidRPr="002405D3">
        <w:rPr>
          <w:i/>
          <w:lang w:val="es-419"/>
        </w:rPr>
        <w:t xml:space="preserve">in situ </w:t>
      </w:r>
      <w:r w:rsidRPr="002405D3">
        <w:rPr>
          <w:lang w:val="es-419"/>
        </w:rPr>
        <w:t xml:space="preserve">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“cada Parte Contratante […] en particular, según proceda: […] c) promoverá o apoyará, cuando proceda, los esfuerzos de los agricultores y de </w:t>
      </w:r>
      <w:r w:rsidRPr="002405D3">
        <w:rPr>
          <w:lang w:val="es-419"/>
        </w:rPr>
        <w:lastRenderedPageBreak/>
        <w:t>las comunidades locales encaminados a la ordenación y conservación en las fincas de sus recursos fitogenéticos para la alimentación y la agricultura; […]”.</w:t>
      </w:r>
    </w:p>
    <w:p w:rsidR="0050487D" w:rsidRPr="002405D3" w:rsidRDefault="0050487D" w:rsidP="0050487D">
      <w:pPr>
        <w:spacing w:after="220"/>
        <w:rPr>
          <w:szCs w:val="22"/>
          <w:lang w:val="es-419"/>
        </w:rPr>
      </w:pPr>
      <w:r w:rsidRPr="002405D3">
        <w:rPr>
          <w:lang w:val="es-419"/>
        </w:rPr>
        <w:t xml:space="preserve">En otros instrumentos jurídicos se utiliza una terminología diferente: la expresión “comunidad local o tradicional” se utiliza en el </w:t>
      </w:r>
      <w:r w:rsidRPr="002405D3">
        <w:rPr>
          <w:i/>
          <w:lang w:val="es-419"/>
        </w:rPr>
        <w:t>Protocolo de Swakopmund sobre la Protección de los Conocimientos Tradicionales y las Expresiones del Folclore</w:t>
      </w:r>
      <w:r w:rsidRPr="002405D3">
        <w:rPr>
          <w:lang w:val="es-419"/>
        </w:rPr>
        <w:t xml:space="preserve">, de la ARIPO. En el artículo 2.1 de dicho Protocolo se estipula que, en la medida que lo permita el contexto, en el término “comunidad” quedarán comprendidas las comunidades locales o tradicionales. </w:t>
      </w:r>
    </w:p>
    <w:p w:rsidR="0050487D" w:rsidRPr="002405D3" w:rsidRDefault="0050487D" w:rsidP="0050487D">
      <w:pPr>
        <w:spacing w:after="220"/>
        <w:rPr>
          <w:szCs w:val="22"/>
          <w:lang w:val="es-419"/>
        </w:rPr>
      </w:pPr>
      <w:r w:rsidRPr="002405D3">
        <w:rPr>
          <w:lang w:val="es-419"/>
        </w:rPr>
        <w:t xml:space="preserve">En el artículo 1 de la </w:t>
      </w:r>
      <w:r w:rsidRPr="002405D3">
        <w:rPr>
          <w:i/>
          <w:lang w:val="es-419"/>
        </w:rPr>
        <w:t>Decisión 391 de la Comunidad Andina acerca de un Régimen Común sobre Acceso a los Recursos Genéticos</w:t>
      </w:r>
      <w:r w:rsidRPr="002405D3">
        <w:rPr>
          <w:lang w:val="es-419"/>
        </w:rPr>
        <w:t xml:space="preserve"> se define “comunidad indígena, afroamericana o local” como “grupo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p>
    <w:p w:rsidR="0050487D" w:rsidRPr="002405D3" w:rsidRDefault="0050487D" w:rsidP="0050487D">
      <w:pPr>
        <w:spacing w:after="220"/>
        <w:rPr>
          <w:szCs w:val="22"/>
          <w:lang w:val="es-419"/>
        </w:rPr>
      </w:pPr>
      <w:r w:rsidRPr="002405D3">
        <w:rPr>
          <w:lang w:val="es-419"/>
        </w:rPr>
        <w:t>En el artículo 7.III de la Ley provisional del Brasil N.º 2, 186</w:t>
      </w:r>
      <w:r w:rsidRPr="002405D3">
        <w:rPr>
          <w:lang w:val="es-419"/>
        </w:rPr>
        <w:noBreakHyphen/>
        <w:t xml:space="preserve">16, con fecha 23 de agosto de 2001, se define “comunidad local” como “grupo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 </w:t>
      </w:r>
    </w:p>
    <w:p w:rsidR="0050487D" w:rsidRPr="002405D3" w:rsidRDefault="0050487D" w:rsidP="0050487D">
      <w:pPr>
        <w:pStyle w:val="Heading1"/>
        <w:keepLines/>
        <w:spacing w:before="0" w:after="180"/>
        <w:rPr>
          <w:caps w:val="0"/>
          <w:lang w:val="es-419"/>
        </w:rPr>
      </w:pPr>
      <w:bookmarkStart w:id="64" w:name="_Toc124942458"/>
      <w:r w:rsidRPr="002405D3">
        <w:rPr>
          <w:caps w:val="0"/>
          <w:lang w:val="es-419"/>
        </w:rPr>
        <w:t>Conocimientos indígenas</w:t>
      </w:r>
      <w:bookmarkEnd w:id="64"/>
    </w:p>
    <w:p w:rsidR="0050487D" w:rsidRPr="002405D3" w:rsidRDefault="0050487D" w:rsidP="0050487D">
      <w:pPr>
        <w:keepNext/>
        <w:keepLines/>
        <w:spacing w:after="220"/>
        <w:rPr>
          <w:szCs w:val="22"/>
          <w:lang w:val="es-419"/>
        </w:rPr>
      </w:pPr>
      <w:r w:rsidRPr="002405D3">
        <w:rPr>
          <w:lang w:val="es-419"/>
        </w:rPr>
        <w:t>La expresión “conocimientos indígenas” se utiliza para describir “los conocimientos que poseen y utilizan comunidades, pueblos y naciones indígenas”.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2405D3">
        <w:rPr>
          <w:szCs w:val="22"/>
          <w:vertAlign w:val="superscript"/>
          <w:lang w:val="es-419"/>
        </w:rPr>
        <w:footnoteReference w:id="72"/>
      </w:r>
      <w:r w:rsidRPr="002405D3">
        <w:rPr>
          <w:lang w:val="es-419"/>
        </w:rPr>
        <w:t xml:space="preserve"> </w:t>
      </w:r>
    </w:p>
    <w:p w:rsidR="0050487D" w:rsidRPr="002405D3" w:rsidRDefault="0050487D" w:rsidP="0050487D">
      <w:pPr>
        <w:pStyle w:val="Heading1"/>
        <w:spacing w:before="0" w:after="220"/>
        <w:rPr>
          <w:caps w:val="0"/>
          <w:lang w:val="es-419"/>
        </w:rPr>
      </w:pPr>
      <w:bookmarkStart w:id="65" w:name="_Toc124942459"/>
      <w:r w:rsidRPr="002405D3">
        <w:rPr>
          <w:caps w:val="0"/>
          <w:lang w:val="es-419"/>
        </w:rPr>
        <w:t>Pueblos indígenas</w:t>
      </w:r>
      <w:bookmarkEnd w:id="65"/>
    </w:p>
    <w:p w:rsidR="0050487D" w:rsidRPr="002405D3" w:rsidRDefault="0050487D" w:rsidP="0050487D">
      <w:pPr>
        <w:spacing w:after="220"/>
        <w:rPr>
          <w:szCs w:val="22"/>
          <w:lang w:val="es-419"/>
        </w:rPr>
      </w:pPr>
      <w:r w:rsidRPr="002405D3">
        <w:rPr>
          <w:lang w:val="es-419"/>
        </w:rPr>
        <w:t>La expresión “pueblos indígenas” ha sido objeto de considerable debate y estudio por cuanto no existe una definición universal estándar.</w:t>
      </w:r>
    </w:p>
    <w:p w:rsidR="0050487D" w:rsidRPr="002405D3" w:rsidRDefault="0050487D" w:rsidP="0050487D">
      <w:pPr>
        <w:spacing w:after="220"/>
        <w:rPr>
          <w:szCs w:val="22"/>
          <w:lang w:val="es-419"/>
        </w:rPr>
      </w:pPr>
      <w:r w:rsidRPr="002405D3">
        <w:rPr>
          <w:lang w:val="es-419"/>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50487D" w:rsidRPr="002405D3" w:rsidRDefault="0050487D" w:rsidP="0050487D">
      <w:pPr>
        <w:spacing w:after="220"/>
        <w:rPr>
          <w:szCs w:val="22"/>
          <w:lang w:val="es-419"/>
        </w:rPr>
      </w:pPr>
      <w:r w:rsidRPr="002405D3">
        <w:rPr>
          <w:lang w:val="es-419"/>
        </w:rPr>
        <w:t xml:space="preserve">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“teniendo una continuidad histórica con las sociedades anteriores a la invasión y precoloniales que se desarrollaron en sus territorios, se consideran distintos de otros sectores de las sociedades que ahora prevalecen en esos </w:t>
      </w:r>
      <w:r w:rsidRPr="002405D3">
        <w:rPr>
          <w:lang w:val="es-419"/>
        </w:rPr>
        <w:lastRenderedPageBreak/>
        <w:t>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p>
    <w:p w:rsidR="0050487D" w:rsidRPr="002405D3" w:rsidRDefault="0050487D" w:rsidP="0050487D">
      <w:pPr>
        <w:spacing w:after="220"/>
        <w:rPr>
          <w:iCs/>
          <w:szCs w:val="22"/>
          <w:lang w:val="es-419"/>
        </w:rPr>
      </w:pPr>
      <w:r w:rsidRPr="002405D3">
        <w:rPr>
          <w:lang w:val="es-419"/>
        </w:rPr>
        <w:t xml:space="preserve">El artículo 1 del Convenio de la OIT sobre pueblos indígenas y tribales en países independientes establece que dicho Convenio se aplicará: </w:t>
      </w:r>
    </w:p>
    <w:p w:rsidR="0050487D" w:rsidRPr="002405D3" w:rsidRDefault="0050487D" w:rsidP="0050487D">
      <w:pPr>
        <w:pStyle w:val="FootnoteText"/>
        <w:ind w:left="567"/>
        <w:rPr>
          <w:sz w:val="22"/>
          <w:szCs w:val="22"/>
          <w:lang w:val="es-419"/>
        </w:rPr>
      </w:pPr>
      <w:r w:rsidRPr="002405D3">
        <w:rPr>
          <w:sz w:val="22"/>
          <w:lang w:val="es-419"/>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50487D" w:rsidRPr="002405D3" w:rsidRDefault="0050487D" w:rsidP="0050487D">
      <w:pPr>
        <w:pStyle w:val="FootnoteText"/>
        <w:ind w:left="567"/>
        <w:rPr>
          <w:sz w:val="22"/>
          <w:szCs w:val="22"/>
          <w:lang w:val="es-419"/>
        </w:rPr>
      </w:pPr>
      <w:r w:rsidRPr="002405D3">
        <w:rPr>
          <w:sz w:val="22"/>
          <w:lang w:val="es-419"/>
        </w:rPr>
        <w:t xml:space="preserve">b) A los pueblos en países independientes, considerados indígenas por el hecho de descender de poblaciones que habitaban en el país o en una región geográfica </w:t>
      </w:r>
    </w:p>
    <w:p w:rsidR="0050487D" w:rsidRPr="002405D3" w:rsidRDefault="0050487D" w:rsidP="0050487D">
      <w:pPr>
        <w:pStyle w:val="FootnoteText"/>
        <w:spacing w:after="220"/>
        <w:ind w:left="567"/>
        <w:rPr>
          <w:iCs/>
          <w:sz w:val="22"/>
          <w:szCs w:val="22"/>
          <w:lang w:val="es-419"/>
        </w:rPr>
      </w:pPr>
      <w:r w:rsidRPr="002405D3">
        <w:rPr>
          <w:sz w:val="22"/>
          <w:lang w:val="es-419"/>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2405D3">
        <w:rPr>
          <w:rStyle w:val="FootnoteReference"/>
          <w:szCs w:val="22"/>
          <w:lang w:val="es-419"/>
        </w:rPr>
        <w:footnoteReference w:id="73"/>
      </w:r>
    </w:p>
    <w:p w:rsidR="0050487D" w:rsidRPr="002405D3" w:rsidRDefault="0050487D" w:rsidP="0050487D">
      <w:pPr>
        <w:spacing w:after="220"/>
        <w:rPr>
          <w:szCs w:val="22"/>
          <w:lang w:val="es-419"/>
        </w:rPr>
      </w:pPr>
      <w:r w:rsidRPr="002405D3">
        <w:rPr>
          <w:lang w:val="es-419"/>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2405D3">
        <w:rPr>
          <w:lang w:val="es-419"/>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2405D3">
        <w:rPr>
          <w:rStyle w:val="FootnoteReference"/>
          <w:szCs w:val="22"/>
          <w:lang w:val="es-419"/>
        </w:rPr>
        <w:footnoteReference w:id="74"/>
      </w:r>
    </w:p>
    <w:p w:rsidR="0050487D" w:rsidRPr="002405D3" w:rsidRDefault="0050487D" w:rsidP="0050487D">
      <w:pPr>
        <w:keepNext/>
        <w:spacing w:after="220"/>
        <w:rPr>
          <w:szCs w:val="22"/>
          <w:lang w:val="es-419"/>
        </w:rPr>
      </w:pPr>
      <w:r w:rsidRPr="002405D3">
        <w:rPr>
          <w:lang w:val="es-419"/>
        </w:rPr>
        <w:t xml:space="preserve">El Banco Mundial emplea el término “pueblos indígenas” en sentido genérico y mediante el mismo se designa a diferentes grupos que presentan las siguientes características en mayor o menor proporción: </w:t>
      </w:r>
    </w:p>
    <w:p w:rsidR="0050487D" w:rsidRPr="002405D3"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”su propia identificación como miembros de un grupo determinado de cultura indígena y el reconocimiento de su identidad por otros; </w:t>
      </w:r>
    </w:p>
    <w:p w:rsidR="0050487D" w:rsidRPr="002405D3"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un apego colectivo a hábitats geográficamente definidos o territorios ancestrales en la zona del proyecto y a los recursos naturales de esos hábitats o territorios; </w:t>
      </w:r>
    </w:p>
    <w:p w:rsidR="0050487D" w:rsidRPr="002405D3" w:rsidRDefault="0050487D" w:rsidP="0050487D">
      <w:pPr>
        <w:pStyle w:val="Default"/>
        <w:numPr>
          <w:ilvl w:val="0"/>
          <w:numId w:val="14"/>
        </w:numPr>
        <w:tabs>
          <w:tab w:val="clear" w:pos="1741"/>
          <w:tab w:val="left" w:pos="600"/>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instituciones consuetudinarias culturales, económicas, sociales o políticas distintas de las de la sociedad y cultura dominantes; y </w:t>
      </w:r>
    </w:p>
    <w:p w:rsidR="0050487D" w:rsidRPr="002405D3" w:rsidRDefault="0050487D" w:rsidP="0050487D">
      <w:pPr>
        <w:pStyle w:val="Default"/>
        <w:numPr>
          <w:ilvl w:val="0"/>
          <w:numId w:val="14"/>
        </w:numPr>
        <w:tabs>
          <w:tab w:val="clear" w:pos="1741"/>
          <w:tab w:val="num" w:pos="1080"/>
        </w:tabs>
        <w:spacing w:after="220"/>
        <w:ind w:left="540" w:firstLine="0"/>
        <w:rPr>
          <w:rFonts w:ascii="Arial" w:hAnsi="Arial" w:cs="Arial"/>
          <w:color w:val="auto"/>
          <w:sz w:val="22"/>
          <w:szCs w:val="22"/>
          <w:lang w:val="es-419"/>
        </w:rPr>
      </w:pPr>
      <w:r w:rsidRPr="002405D3">
        <w:rPr>
          <w:rFonts w:ascii="Arial" w:hAnsi="Arial"/>
          <w:color w:val="auto"/>
          <w:sz w:val="22"/>
          <w:lang w:val="es-419"/>
        </w:rPr>
        <w:t>una lengua indígena, con frecuencia distinta de la lengua oficial del país o región”.</w:t>
      </w:r>
      <w:r w:rsidRPr="002405D3">
        <w:rPr>
          <w:rStyle w:val="FootnoteReference"/>
          <w:rFonts w:eastAsia="SimSun"/>
          <w:color w:val="auto"/>
          <w:szCs w:val="22"/>
          <w:lang w:val="es-419"/>
        </w:rPr>
        <w:footnoteReference w:id="75"/>
      </w:r>
    </w:p>
    <w:p w:rsidR="0050487D" w:rsidRPr="002405D3" w:rsidRDefault="0050487D" w:rsidP="0050487D">
      <w:pPr>
        <w:keepLines/>
        <w:spacing w:after="220"/>
        <w:rPr>
          <w:iCs/>
          <w:szCs w:val="22"/>
          <w:lang w:val="es-419"/>
        </w:rPr>
      </w:pPr>
      <w:r w:rsidRPr="002405D3">
        <w:rPr>
          <w:lang w:val="es-419"/>
        </w:rPr>
        <w:lastRenderedPageBreak/>
        <w:t>La Política de actuación del Fondo Internacional de Desarrollo Agrícola (FIDA) en relación con los pueblos indígenas establece que “De conformidad con la práctica internacional,</w:t>
      </w:r>
      <w:r w:rsidRPr="002405D3">
        <w:rPr>
          <w:rStyle w:val="FootnoteReference"/>
          <w:iCs/>
          <w:szCs w:val="22"/>
          <w:lang w:val="es-419"/>
        </w:rPr>
        <w:footnoteReference w:id="76"/>
      </w:r>
      <w:r w:rsidRPr="002405D3">
        <w:rPr>
          <w:lang w:val="es-419"/>
        </w:rPr>
        <w:t xml:space="preserve"> y a los fines de la presente política, el FIDA utilizará una definición de “pueblos indígenas” basada en los siguiente criterios: </w:t>
      </w:r>
    </w:p>
    <w:p w:rsidR="0050487D" w:rsidRPr="002405D3" w:rsidRDefault="0050487D" w:rsidP="0050487D">
      <w:pPr>
        <w:numPr>
          <w:ilvl w:val="0"/>
          <w:numId w:val="18"/>
        </w:numPr>
        <w:tabs>
          <w:tab w:val="clear" w:pos="1713"/>
          <w:tab w:val="num" w:pos="550"/>
        </w:tabs>
        <w:ind w:left="1170" w:hanging="630"/>
        <w:rPr>
          <w:iCs/>
          <w:szCs w:val="22"/>
          <w:lang w:val="es-419"/>
        </w:rPr>
      </w:pPr>
      <w:r w:rsidRPr="002405D3">
        <w:rPr>
          <w:lang w:val="es-419"/>
        </w:rPr>
        <w:t xml:space="preserve">la prioridad en el tiempo por lo que respecta a la ocupación y el uso de determinado territorio; </w:t>
      </w:r>
    </w:p>
    <w:p w:rsidR="0050487D" w:rsidRPr="002405D3" w:rsidRDefault="0050487D" w:rsidP="0050487D">
      <w:pPr>
        <w:numPr>
          <w:ilvl w:val="0"/>
          <w:numId w:val="18"/>
        </w:numPr>
        <w:tabs>
          <w:tab w:val="clear" w:pos="1713"/>
          <w:tab w:val="num" w:pos="0"/>
        </w:tabs>
        <w:ind w:left="550" w:hanging="10"/>
        <w:rPr>
          <w:iCs/>
          <w:szCs w:val="22"/>
          <w:lang w:val="es-419"/>
        </w:rPr>
      </w:pPr>
      <w:r w:rsidRPr="002405D3">
        <w:rPr>
          <w:lang w:val="es-419"/>
        </w:rPr>
        <w:t xml:space="preserve">la perpetuación voluntaria de la diferenciación cultural, que puede incluir los aspectos del idioma, la organización social, la religión y los valores espirituales, los modos de producción, las leyes y las instituciones; </w:t>
      </w:r>
    </w:p>
    <w:p w:rsidR="0050487D" w:rsidRPr="002405D3" w:rsidRDefault="0050487D" w:rsidP="0050487D">
      <w:pPr>
        <w:numPr>
          <w:ilvl w:val="0"/>
          <w:numId w:val="18"/>
        </w:numPr>
        <w:tabs>
          <w:tab w:val="clear" w:pos="1713"/>
          <w:tab w:val="num" w:pos="0"/>
        </w:tabs>
        <w:ind w:left="550" w:hanging="10"/>
        <w:rPr>
          <w:iCs/>
          <w:szCs w:val="22"/>
          <w:lang w:val="es-419"/>
        </w:rPr>
      </w:pPr>
      <w:r w:rsidRPr="002405D3">
        <w:rPr>
          <w:lang w:val="es-419"/>
        </w:rPr>
        <w:t xml:space="preserve">la conciencia de la propia identidad, así como su reconocimiento por otros grupos, o por las autoridades estatales, como una colectividad distinta; y </w:t>
      </w:r>
    </w:p>
    <w:p w:rsidR="0050487D" w:rsidRPr="002405D3" w:rsidRDefault="0050487D" w:rsidP="0050487D">
      <w:pPr>
        <w:numPr>
          <w:ilvl w:val="0"/>
          <w:numId w:val="18"/>
        </w:numPr>
        <w:tabs>
          <w:tab w:val="clear" w:pos="1713"/>
          <w:tab w:val="num" w:pos="550"/>
        </w:tabs>
        <w:spacing w:after="220"/>
        <w:ind w:left="550" w:hanging="10"/>
        <w:rPr>
          <w:iCs/>
          <w:szCs w:val="22"/>
          <w:lang w:val="es-419"/>
        </w:rPr>
      </w:pPr>
      <w:r w:rsidRPr="002405D3">
        <w:rPr>
          <w:lang w:val="es-419"/>
        </w:rPr>
        <w:t>una experiencia de sometimiento, marginación, desposeimiento, exclusión o discriminación.”</w:t>
      </w:r>
      <w:r w:rsidRPr="002405D3">
        <w:rPr>
          <w:rStyle w:val="FootnoteReference"/>
          <w:iCs/>
          <w:szCs w:val="22"/>
          <w:lang w:val="es-419"/>
        </w:rPr>
        <w:footnoteReference w:id="77"/>
      </w:r>
    </w:p>
    <w:p w:rsidR="0050487D" w:rsidRPr="002405D3" w:rsidRDefault="0050487D" w:rsidP="0050487D">
      <w:pPr>
        <w:spacing w:after="220"/>
        <w:rPr>
          <w:iCs/>
          <w:szCs w:val="22"/>
          <w:lang w:val="es-419"/>
        </w:rPr>
      </w:pPr>
      <w:r w:rsidRPr="002405D3">
        <w:rPr>
          <w:lang w:val="es-419"/>
        </w:rPr>
        <w:t>En el documento “El PNUD y los pueblos indígenas: Una política de compromiso”,</w:t>
      </w:r>
      <w:r w:rsidRPr="002405D3">
        <w:rPr>
          <w:rStyle w:val="FootnoteReference"/>
          <w:iCs/>
          <w:szCs w:val="22"/>
          <w:lang w:val="es-419"/>
        </w:rPr>
        <w:footnoteReference w:id="78"/>
      </w:r>
      <w:r w:rsidRPr="002405D3">
        <w:rPr>
          <w:lang w:val="es-419"/>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w:t>
      </w:r>
    </w:p>
    <w:p w:rsidR="0050487D" w:rsidRPr="002405D3" w:rsidRDefault="0050487D" w:rsidP="0050487D">
      <w:pPr>
        <w:keepLines/>
        <w:spacing w:after="220"/>
        <w:rPr>
          <w:iCs/>
          <w:szCs w:val="22"/>
          <w:lang w:val="es-419"/>
        </w:rPr>
      </w:pPr>
      <w:r w:rsidRPr="002405D3">
        <w:rPr>
          <w:lang w:val="es-419"/>
        </w:rPr>
        <w:t>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50487D" w:rsidRPr="002405D3" w:rsidRDefault="0050487D" w:rsidP="0050487D">
      <w:pPr>
        <w:spacing w:after="220"/>
        <w:rPr>
          <w:szCs w:val="22"/>
          <w:lang w:val="es-419"/>
        </w:rPr>
      </w:pPr>
      <w:r w:rsidRPr="002405D3">
        <w:rPr>
          <w:lang w:val="es-419"/>
        </w:rPr>
        <w:t>En la Ley N.º 27811 del Perú, de 24 de julio de 2002, que establece el régimen de protección de los conocimientos colectivos de los pueblos indígenas vinculados a los recursos biológicos, se define “pueblos indígenas” como “pueblos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p>
    <w:p w:rsidR="0050487D" w:rsidRPr="002405D3" w:rsidRDefault="0050487D" w:rsidP="0050487D">
      <w:pPr>
        <w:spacing w:after="220"/>
        <w:rPr>
          <w:szCs w:val="22"/>
          <w:lang w:val="es-419"/>
        </w:rPr>
      </w:pPr>
      <w:r w:rsidRPr="002405D3">
        <w:rPr>
          <w:lang w:val="es-419"/>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2405D3">
        <w:rPr>
          <w:i/>
          <w:lang w:val="es-419"/>
        </w:rPr>
        <w:t>indígena</w:t>
      </w:r>
      <w:r w:rsidRPr="002405D3">
        <w:rPr>
          <w:lang w:val="es-419"/>
        </w:rPr>
        <w:t xml:space="preserve">, este último vocablo es el usual en las campañas coloniales para designar a la población nativa. La voz se emplea con preferencia en plural: </w:t>
      </w:r>
      <w:r w:rsidRPr="002405D3">
        <w:rPr>
          <w:i/>
          <w:lang w:val="es-419"/>
        </w:rPr>
        <w:t>aborígenes</w:t>
      </w:r>
      <w:r w:rsidRPr="002405D3">
        <w:rPr>
          <w:lang w:val="es-419"/>
        </w:rPr>
        <w:t>.</w:t>
      </w:r>
      <w:r w:rsidRPr="002405D3">
        <w:rPr>
          <w:i/>
          <w:lang w:val="es-419"/>
        </w:rPr>
        <w:t xml:space="preserve"> </w:t>
      </w:r>
      <w:r w:rsidRPr="002405D3">
        <w:rPr>
          <w:lang w:val="es-419"/>
        </w:rPr>
        <w:t xml:space="preserve">En el Diccionario Oxford se define dicho término también como pueblo que vivía u ocupaba un país antes de la llegada de los colonos europeos […] y también como nombre característico del pueblo indígena de Australia; como adjetivo, se define </w:t>
      </w:r>
      <w:r w:rsidRPr="002405D3">
        <w:rPr>
          <w:lang w:val="es-419"/>
        </w:rPr>
        <w:lastRenderedPageBreak/>
        <w:t xml:space="preserve">como perteneciente o relacionado con los aborígenes o primeros habitantes conocidos de un territorio. </w:t>
      </w:r>
    </w:p>
    <w:p w:rsidR="0050487D" w:rsidRPr="002405D3" w:rsidRDefault="0050487D" w:rsidP="0050487D">
      <w:pPr>
        <w:spacing w:after="220"/>
        <w:rPr>
          <w:szCs w:val="22"/>
          <w:lang w:val="es-419"/>
        </w:rPr>
      </w:pPr>
      <w:r w:rsidRPr="002405D3">
        <w:rPr>
          <w:lang w:val="es-419"/>
        </w:rPr>
        <w:t>En el artículo 35 de la Constitución del Canadá se estipula lo siguiente:</w:t>
      </w:r>
      <w:r w:rsidRPr="002405D3">
        <w:rPr>
          <w:i/>
          <w:lang w:val="es-419"/>
        </w:rPr>
        <w:t xml:space="preserve"> </w:t>
      </w:r>
      <w:r w:rsidRPr="002405D3">
        <w:rPr>
          <w:lang w:val="es-419"/>
        </w:rPr>
        <w:t xml:space="preserve">[…] </w:t>
      </w:r>
      <w:r w:rsidRPr="002405D3">
        <w:rPr>
          <w:i/>
          <w:lang w:val="es-419"/>
        </w:rPr>
        <w:t>el pueblo aborigen del Canadá incluye los pueblos indígena, inuit y mestizo del Canadá</w:t>
      </w:r>
      <w:r w:rsidRPr="002405D3">
        <w:rPr>
          <w:lang w:val="es-419"/>
        </w:rPr>
        <w:t xml:space="preserve">. En 1996, la </w:t>
      </w:r>
      <w:r w:rsidRPr="002405D3">
        <w:rPr>
          <w:i/>
          <w:lang w:val="es-419"/>
        </w:rPr>
        <w:t>Canadian Royal Commission on Aboriginal People</w:t>
      </w:r>
      <w:r w:rsidRPr="002405D3">
        <w:rPr>
          <w:lang w:val="es-419"/>
        </w:rPr>
        <w:t xml:space="preserve"> definió a su grupo destinatario en tanto que: […] </w:t>
      </w:r>
      <w:r w:rsidRPr="002405D3">
        <w:rPr>
          <w:i/>
          <w:lang w:val="es-419"/>
        </w:rPr>
        <w:t>entidades políticas y culturales orgánicas que proceden del pueblo original de América del Norte</w:t>
      </w:r>
      <w:r w:rsidRPr="002405D3">
        <w:rPr>
          <w:lang w:val="es-419"/>
        </w:rPr>
        <w:t xml:space="preserve"> […].</w:t>
      </w:r>
    </w:p>
    <w:p w:rsidR="0050487D" w:rsidRPr="002405D3" w:rsidRDefault="0050487D" w:rsidP="0050487D">
      <w:pPr>
        <w:spacing w:after="220"/>
        <w:rPr>
          <w:szCs w:val="22"/>
          <w:lang w:val="es-419"/>
        </w:rPr>
      </w:pPr>
      <w:r w:rsidRPr="002405D3">
        <w:rPr>
          <w:lang w:val="es-419"/>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2405D3">
        <w:rPr>
          <w:rStyle w:val="FootnoteReference"/>
          <w:szCs w:val="22"/>
          <w:lang w:val="es-419"/>
        </w:rPr>
        <w:footnoteReference w:id="79"/>
      </w:r>
    </w:p>
    <w:p w:rsidR="0050487D" w:rsidRPr="002405D3" w:rsidRDefault="0050487D" w:rsidP="0050487D">
      <w:pPr>
        <w:pStyle w:val="Heading1"/>
        <w:spacing w:before="0" w:after="220"/>
        <w:rPr>
          <w:caps w:val="0"/>
          <w:lang w:val="es-419"/>
        </w:rPr>
      </w:pPr>
      <w:bookmarkStart w:id="66" w:name="_Toc124942460"/>
      <w:r w:rsidRPr="002405D3">
        <w:rPr>
          <w:caps w:val="0"/>
          <w:lang w:val="es-419"/>
        </w:rPr>
        <w:t>Infracción</w:t>
      </w:r>
      <w:bookmarkEnd w:id="66"/>
    </w:p>
    <w:p w:rsidR="0050487D" w:rsidRPr="002405D3" w:rsidRDefault="0050487D" w:rsidP="0050487D">
      <w:pPr>
        <w:rPr>
          <w:szCs w:val="22"/>
          <w:lang w:val="es-419"/>
        </w:rPr>
      </w:pPr>
      <w:r w:rsidRPr="002405D3">
        <w:rPr>
          <w:lang w:val="es-419"/>
        </w:rPr>
        <w:t xml:space="preserve">Según el Diccionario de la lengua española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rsidR="0050487D" w:rsidRPr="002405D3" w:rsidRDefault="0050487D" w:rsidP="0050487D">
      <w:pPr>
        <w:spacing w:after="220"/>
        <w:rPr>
          <w:szCs w:val="22"/>
          <w:lang w:val="es-419"/>
        </w:rPr>
      </w:pPr>
      <w:r w:rsidRPr="002405D3">
        <w:rPr>
          <w:lang w:val="es-419"/>
        </w:rPr>
        <w:t>No sólo puede incurrirse en la responsabilidad de una actividad infractora por responsabilidad directa (por llevar a cabo un acto no autorizado propiamente dicho), sino también por ‘responsabilidad indirecta’ o ‘responsabilidad civil subsidiaria’”.</w:t>
      </w:r>
      <w:r w:rsidRPr="002405D3">
        <w:rPr>
          <w:rStyle w:val="FootnoteReference"/>
          <w:szCs w:val="22"/>
          <w:lang w:val="es-419"/>
        </w:rPr>
        <w:footnoteReference w:id="80"/>
      </w:r>
    </w:p>
    <w:p w:rsidR="0050487D" w:rsidRPr="002405D3" w:rsidRDefault="0050487D" w:rsidP="0050487D">
      <w:pPr>
        <w:pStyle w:val="Heading1"/>
        <w:keepLines/>
        <w:spacing w:before="0" w:after="220"/>
        <w:rPr>
          <w:caps w:val="0"/>
          <w:lang w:val="es-419"/>
        </w:rPr>
      </w:pPr>
      <w:bookmarkStart w:id="67" w:name="_Toc124942461"/>
      <w:r w:rsidRPr="002405D3">
        <w:rPr>
          <w:caps w:val="0"/>
          <w:lang w:val="es-419"/>
        </w:rPr>
        <w:t xml:space="preserve">Condiciones </w:t>
      </w:r>
      <w:r w:rsidRPr="002405D3">
        <w:rPr>
          <w:i/>
          <w:iCs/>
          <w:caps w:val="0"/>
          <w:lang w:val="es-419"/>
        </w:rPr>
        <w:t>in situ</w:t>
      </w:r>
      <w:bookmarkEnd w:id="67"/>
    </w:p>
    <w:p w:rsidR="0050487D" w:rsidRPr="002405D3" w:rsidRDefault="0050487D" w:rsidP="0050487D">
      <w:pPr>
        <w:keepLines/>
        <w:spacing w:after="220"/>
        <w:rPr>
          <w:bCs/>
          <w:snapToGrid w:val="0"/>
          <w:szCs w:val="22"/>
          <w:lang w:val="es-419"/>
        </w:rPr>
      </w:pPr>
      <w:r w:rsidRPr="002405D3">
        <w:rPr>
          <w:snapToGrid w:val="0"/>
          <w:lang w:val="es-419"/>
        </w:rPr>
        <w:t xml:space="preserve">Según el artículo 2 del </w:t>
      </w:r>
      <w:r w:rsidRPr="002405D3">
        <w:rPr>
          <w:i/>
          <w:snapToGrid w:val="0"/>
          <w:lang w:val="es-419"/>
        </w:rPr>
        <w:t>Convenio sobre la Diversidad Biológica</w:t>
      </w:r>
      <w:r w:rsidRPr="002405D3">
        <w:rPr>
          <w:snapToGrid w:val="0"/>
          <w:lang w:val="es-419"/>
        </w:rPr>
        <w:t xml:space="preserve"> (1992), por “condiciones </w:t>
      </w:r>
      <w:r w:rsidRPr="002405D3">
        <w:rPr>
          <w:i/>
          <w:iCs/>
          <w:snapToGrid w:val="0"/>
          <w:lang w:val="es-419"/>
        </w:rPr>
        <w:t>in situ</w:t>
      </w:r>
      <w:r w:rsidRPr="002405D3">
        <w:rPr>
          <w:snapToGrid w:val="0"/>
          <w:lang w:val="es-419"/>
        </w:rPr>
        <w:t>” se entiende “las condiciones en que existen recursos genéticos dentro de ecosistemas y hábitats naturales y, en el caso de las especies domesticadas o cultivadas, en los entornos en que hayan desarrollado sus propiedades específicas”.</w:t>
      </w:r>
    </w:p>
    <w:p w:rsidR="0050487D" w:rsidRPr="002405D3" w:rsidRDefault="0050487D" w:rsidP="0050487D">
      <w:pPr>
        <w:pStyle w:val="Heading1"/>
        <w:spacing w:before="0" w:after="220"/>
        <w:rPr>
          <w:caps w:val="0"/>
          <w:lang w:val="es-419"/>
        </w:rPr>
      </w:pPr>
      <w:bookmarkStart w:id="68" w:name="_Toc124942462"/>
      <w:r w:rsidRPr="002405D3">
        <w:rPr>
          <w:caps w:val="0"/>
          <w:lang w:val="es-419"/>
        </w:rPr>
        <w:t>Patrimonio cultural inmaterial</w:t>
      </w:r>
      <w:bookmarkEnd w:id="68"/>
    </w:p>
    <w:p w:rsidR="0050487D" w:rsidRPr="002405D3" w:rsidRDefault="0050487D" w:rsidP="0050487D">
      <w:pPr>
        <w:spacing w:after="220"/>
        <w:rPr>
          <w:szCs w:val="22"/>
          <w:lang w:val="es-419"/>
        </w:rPr>
      </w:pPr>
      <w:r w:rsidRPr="002405D3">
        <w:rPr>
          <w:lang w:val="es-419"/>
        </w:rPr>
        <w:t>Según el Diccionario de la lengua española de la Real Academia Española, “inmaterial” significa “no material”; el Diccionario de uso del español de María Moliner repite la definición y remite a “Incorpóreo, infigurable, ingrávido. Espiritual. Moral” y dice también que es sinónimo de “impalpable”: “aplicable a las cosas no perceptibles por el tacto”. A su vez, de “incorpóreo” el Diccionario Espasa de la lengua española dice: “Que no tiene cuerpo o que no existe físicamente”. Por el contrario, según la RAE, “material” es aquello “perteneciente o relativo a la materia” y “opuesto a lo espiritual”.</w:t>
      </w:r>
    </w:p>
    <w:p w:rsidR="0050487D" w:rsidRPr="002405D3" w:rsidRDefault="0050487D" w:rsidP="0050487D">
      <w:pPr>
        <w:spacing w:after="220"/>
        <w:rPr>
          <w:szCs w:val="22"/>
          <w:lang w:val="es-419"/>
        </w:rPr>
      </w:pPr>
      <w:r w:rsidRPr="002405D3">
        <w:rPr>
          <w:lang w:val="es-419"/>
        </w:rPr>
        <w:t xml:space="preserve">En la </w:t>
      </w:r>
      <w:r w:rsidRPr="002405D3">
        <w:rPr>
          <w:i/>
          <w:lang w:val="es-419"/>
        </w:rPr>
        <w:t xml:space="preserve">Convención para la Salvaguardia del Patrimonio Cultural Inmaterial </w:t>
      </w:r>
      <w:r w:rsidRPr="002405D3">
        <w:rPr>
          <w:lang w:val="es-419"/>
        </w:rPr>
        <w:t xml:space="preserve">(2003), de la UNESCO, el término se define como “los usos, representaciones, expresiones, conocimientos y técnicas –junto con los instrumentos, objetos, artefactos y espacios culturales que les son inherentes– que las comunidades, los grupos y en algunos casos los individuos reconozcan </w:t>
      </w:r>
      <w:r w:rsidRPr="002405D3">
        <w:rPr>
          <w:lang w:val="es-419"/>
        </w:rPr>
        <w:lastRenderedPageBreak/>
        <w:t xml:space="preserve">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rsidR="0050487D" w:rsidRPr="002405D3" w:rsidRDefault="0050487D" w:rsidP="0050487D">
      <w:pPr>
        <w:spacing w:after="220"/>
        <w:rPr>
          <w:szCs w:val="22"/>
          <w:lang w:val="es-419"/>
        </w:rPr>
      </w:pPr>
      <w:r w:rsidRPr="002405D3">
        <w:rPr>
          <w:lang w:val="es-419"/>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50487D" w:rsidRPr="002405D3" w:rsidRDefault="0050487D" w:rsidP="0050487D">
      <w:pPr>
        <w:pStyle w:val="Heading1"/>
        <w:spacing w:before="0" w:after="220"/>
        <w:rPr>
          <w:caps w:val="0"/>
          <w:lang w:val="es-419"/>
        </w:rPr>
      </w:pPr>
      <w:bookmarkStart w:id="69" w:name="_Toc124942463"/>
      <w:r w:rsidRPr="002405D3">
        <w:rPr>
          <w:caps w:val="0"/>
          <w:lang w:val="es-419"/>
        </w:rPr>
        <w:t>Integridad [derecho de] [de la obra]</w:t>
      </w:r>
      <w:bookmarkEnd w:id="69"/>
    </w:p>
    <w:p w:rsidR="0050487D" w:rsidRPr="002405D3" w:rsidRDefault="0050487D" w:rsidP="0050487D">
      <w:pPr>
        <w:spacing w:after="220"/>
        <w:rPr>
          <w:szCs w:val="22"/>
          <w:lang w:val="es-419"/>
        </w:rPr>
      </w:pPr>
      <w:r w:rsidRPr="002405D3">
        <w:rPr>
          <w:lang w:val="es-419"/>
        </w:rPr>
        <w:t>Gracias al derecho de integridad, el autor puede oponerse a los actos de modificación o alteración de la obra que carezcan de su consentimiento.</w:t>
      </w:r>
      <w:r w:rsidRPr="002405D3">
        <w:rPr>
          <w:rStyle w:val="FootnoteReference"/>
          <w:szCs w:val="22"/>
          <w:lang w:val="es-419"/>
        </w:rPr>
        <w:footnoteReference w:id="81"/>
      </w:r>
      <w:r w:rsidRPr="002405D3">
        <w:rPr>
          <w:lang w:val="es-419"/>
        </w:rPr>
        <w:t xml:space="preserve"> En la revisión de Bruselas de 1949 del </w:t>
      </w:r>
      <w:r w:rsidRPr="002405D3">
        <w:rPr>
          <w:i/>
          <w:lang w:val="es-419"/>
        </w:rPr>
        <w:t>Convenio de Berna para la Protección de las Obras Literarias y Artísticas</w:t>
      </w:r>
      <w:r w:rsidRPr="002405D3">
        <w:rPr>
          <w:lang w:val="es-419"/>
        </w:rPr>
        <w:t xml:space="preserve"> (1971), se acordó prohibir “cualquier atentado a la misma [la obra] que cause perjuicio a su honor o a su reputación [del autor] (artículo 6</w:t>
      </w:r>
      <w:r w:rsidRPr="002405D3">
        <w:rPr>
          <w:i/>
          <w:lang w:val="es-419"/>
        </w:rPr>
        <w:t>bis</w:t>
      </w:r>
      <w:r w:rsidRPr="002405D3">
        <w:rPr>
          <w:lang w:val="es-419"/>
        </w:rPr>
        <w:t>).</w:t>
      </w:r>
    </w:p>
    <w:p w:rsidR="0050487D" w:rsidRPr="002405D3" w:rsidRDefault="0050487D" w:rsidP="0050487D">
      <w:pPr>
        <w:pStyle w:val="Heading1"/>
        <w:spacing w:before="0" w:after="220"/>
        <w:rPr>
          <w:caps w:val="0"/>
          <w:lang w:val="es-419"/>
        </w:rPr>
      </w:pPr>
      <w:bookmarkStart w:id="70" w:name="_Toc124942464"/>
      <w:r w:rsidRPr="002405D3">
        <w:rPr>
          <w:caps w:val="0"/>
          <w:lang w:val="es-419"/>
        </w:rPr>
        <w:t>Directrices de propiedad intelectual sobre acceso y participación en los beneficios</w:t>
      </w:r>
      <w:bookmarkEnd w:id="70"/>
    </w:p>
    <w:p w:rsidR="0050487D" w:rsidRPr="002405D3" w:rsidRDefault="0050487D" w:rsidP="0050487D">
      <w:pPr>
        <w:pStyle w:val="NormalArial"/>
        <w:spacing w:after="220" w:line="240" w:lineRule="auto"/>
        <w:ind w:left="0"/>
        <w:rPr>
          <w:rFonts w:cs="Arial"/>
          <w:sz w:val="22"/>
          <w:szCs w:val="22"/>
          <w:lang w:val="es-419"/>
        </w:rPr>
      </w:pPr>
      <w:r w:rsidRPr="002405D3">
        <w:rPr>
          <w:sz w:val="22"/>
          <w:lang w:val="es-419"/>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r w:rsidRPr="002405D3">
        <w:rPr>
          <w:rStyle w:val="FootnoteReference"/>
          <w:rFonts w:eastAsia="SimSun"/>
          <w:szCs w:val="22"/>
          <w:lang w:val="es-419"/>
        </w:rPr>
        <w:footnoteReference w:id="82"/>
      </w:r>
    </w:p>
    <w:p w:rsidR="0050487D" w:rsidRPr="002405D3" w:rsidRDefault="0050487D" w:rsidP="0050487D">
      <w:pPr>
        <w:pStyle w:val="NormalArial"/>
        <w:spacing w:after="220" w:line="240" w:lineRule="auto"/>
        <w:ind w:left="0"/>
        <w:rPr>
          <w:rFonts w:cs="Arial"/>
          <w:sz w:val="22"/>
          <w:szCs w:val="22"/>
          <w:lang w:val="es-419"/>
        </w:rPr>
      </w:pPr>
      <w:r w:rsidRPr="002405D3">
        <w:rPr>
          <w:sz w:val="22"/>
          <w:lang w:val="es-419"/>
        </w:rPr>
        <w:t>Se preparó un primer borrador</w:t>
      </w:r>
      <w:r w:rsidRPr="002405D3">
        <w:rPr>
          <w:rStyle w:val="FootnoteReference"/>
          <w:rFonts w:eastAsia="SimSun"/>
          <w:szCs w:val="22"/>
          <w:lang w:val="es-419"/>
        </w:rPr>
        <w:footnoteReference w:id="83"/>
      </w:r>
      <w:r w:rsidRPr="002405D3">
        <w:rPr>
          <w:sz w:val="22"/>
          <w:lang w:val="es-419"/>
        </w:rPr>
        <w:t xml:space="preserve"> teniendo en cuenta los principios operativos señalados por el CIG con respecto a la elaboración de tales directrices.</w:t>
      </w:r>
      <w:r w:rsidRPr="002405D3">
        <w:rPr>
          <w:rStyle w:val="FootnoteReference"/>
          <w:rFonts w:eastAsia="SimSun"/>
          <w:szCs w:val="22"/>
          <w:lang w:val="es-419"/>
        </w:rPr>
        <w:footnoteReference w:id="84"/>
      </w:r>
      <w:r w:rsidRPr="002405D3">
        <w:rPr>
          <w:sz w:val="22"/>
          <w:lang w:val="es-419"/>
        </w:rPr>
        <w:t xml:space="preserve"> Posteriormente, dicho borrador fue actualizado con motivo de la decimoséptima sesión del CIG.</w:t>
      </w:r>
      <w:r w:rsidRPr="002405D3">
        <w:rPr>
          <w:rStyle w:val="FootnoteReference"/>
          <w:rFonts w:eastAsia="SimSun"/>
          <w:szCs w:val="22"/>
          <w:lang w:val="es-419"/>
        </w:rPr>
        <w:footnoteReference w:id="85"/>
      </w:r>
    </w:p>
    <w:p w:rsidR="0050487D" w:rsidRPr="002405D3" w:rsidRDefault="0050487D" w:rsidP="0050487D">
      <w:pPr>
        <w:spacing w:after="220"/>
        <w:rPr>
          <w:szCs w:val="22"/>
          <w:lang w:val="es-419"/>
        </w:rPr>
      </w:pPr>
      <w:r w:rsidRPr="002405D3">
        <w:rPr>
          <w:lang w:val="es-419"/>
        </w:rPr>
        <w:t xml:space="preserve">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w:t>
      </w:r>
      <w:r w:rsidRPr="002405D3">
        <w:rPr>
          <w:lang w:val="es-419"/>
        </w:rPr>
        <w:lastRenderedPageBreak/>
        <w:t>participación en los beneficios se ejecuten con arreglo a condiciones equitativas y mutuamente acordadas, pero no se pretende prescribir con ellas una pauta o determinadas opciones.</w:t>
      </w:r>
    </w:p>
    <w:p w:rsidR="0050487D" w:rsidRPr="002405D3" w:rsidRDefault="0050487D" w:rsidP="0050487D">
      <w:pPr>
        <w:keepLines/>
        <w:spacing w:after="220"/>
        <w:rPr>
          <w:szCs w:val="22"/>
          <w:lang w:val="es-419"/>
        </w:rPr>
      </w:pPr>
      <w:r w:rsidRPr="002405D3">
        <w:rPr>
          <w:lang w:val="es-419"/>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2405D3">
        <w:rPr>
          <w:szCs w:val="22"/>
          <w:vertAlign w:val="superscript"/>
          <w:lang w:val="es-419"/>
        </w:rPr>
        <w:footnoteReference w:id="86"/>
      </w:r>
    </w:p>
    <w:p w:rsidR="0050487D" w:rsidRPr="002405D3" w:rsidRDefault="0050487D" w:rsidP="0050487D">
      <w:pPr>
        <w:spacing w:after="220"/>
        <w:rPr>
          <w:szCs w:val="22"/>
          <w:lang w:val="es-419"/>
        </w:rPr>
      </w:pPr>
      <w:r w:rsidRPr="002405D3">
        <w:rPr>
          <w:lang w:val="es-419"/>
        </w:rPr>
        <w:t>Los conocimientos tradicionales se asocian a menudo con los recursos genéticos, y esto puede aportar valiosas indicaciones sobre el modo en que estos últimos pueden preservarse, conservarse, y utilizarse en beneficio de la humanidad.</w:t>
      </w:r>
      <w:r w:rsidRPr="002405D3">
        <w:rPr>
          <w:rStyle w:val="FootnoteReference"/>
          <w:szCs w:val="22"/>
          <w:lang w:val="es-419"/>
        </w:rPr>
        <w:footnoteReference w:id="87"/>
      </w:r>
      <w:r w:rsidRPr="002405D3">
        <w:rPr>
          <w:lang w:val="es-419"/>
        </w:rPr>
        <w:t xml:space="preserve"> Las directrices se aplican también a los conocimientos tradicionales relacionados con los recursos genéticos.</w:t>
      </w:r>
      <w:r w:rsidRPr="002405D3">
        <w:rPr>
          <w:rStyle w:val="FootnoteReference"/>
          <w:szCs w:val="22"/>
          <w:lang w:val="es-419"/>
        </w:rPr>
        <w:footnoteReference w:id="88"/>
      </w:r>
    </w:p>
    <w:p w:rsidR="0050487D" w:rsidRPr="002405D3" w:rsidRDefault="0050487D" w:rsidP="0050487D">
      <w:pPr>
        <w:pStyle w:val="Heading1"/>
        <w:spacing w:before="0" w:after="220"/>
        <w:rPr>
          <w:caps w:val="0"/>
          <w:lang w:val="es-419"/>
        </w:rPr>
      </w:pPr>
      <w:bookmarkStart w:id="71" w:name="_Toc124942465"/>
      <w:r w:rsidRPr="002405D3">
        <w:rPr>
          <w:caps w:val="0"/>
          <w:lang w:val="es-419"/>
        </w:rPr>
        <w:t>Clasificación Internacional de Patentes (CIP)</w:t>
      </w:r>
      <w:bookmarkEnd w:id="71"/>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La Clasificación Internacional de Patentes (CIP) es “un sistema jerárquico donde el ámbito de la tecnología se divide en una serie de secciones, clases, subclases y grupos. </w:t>
      </w:r>
      <w:r w:rsidRPr="002405D3">
        <w:rPr>
          <w:lang w:val="es-419"/>
        </w:rPr>
        <w:br/>
        <w:t>La Clasificación constituye una herramienta que no depende de idioma alguno y que es indispensable para la obtención de documentos de patente en las búsquedas que se realizan en el estado de la técnica</w:t>
      </w:r>
      <w:r w:rsidRPr="002405D3">
        <w:rPr>
          <w:i/>
          <w:lang w:val="es-419"/>
        </w:rPr>
        <w:t>”.</w:t>
      </w:r>
      <w:r w:rsidRPr="002405D3">
        <w:rPr>
          <w:rStyle w:val="FootnoteReference"/>
          <w:szCs w:val="22"/>
          <w:lang w:val="es-419"/>
        </w:rPr>
        <w:footnoteReference w:id="89"/>
      </w:r>
    </w:p>
    <w:p w:rsidR="0050487D" w:rsidRPr="002405D3" w:rsidRDefault="0050487D" w:rsidP="0050487D">
      <w:pPr>
        <w:spacing w:after="220"/>
        <w:rPr>
          <w:szCs w:val="22"/>
          <w:lang w:val="es-419"/>
        </w:rPr>
      </w:pPr>
      <w:r w:rsidRPr="002405D3">
        <w:rPr>
          <w:lang w:val="es-419"/>
        </w:rPr>
        <w:t xml:space="preserve">La CIP fue establecida a raíz de la adopción, en 1971, del </w:t>
      </w:r>
      <w:r w:rsidRPr="002405D3">
        <w:rPr>
          <w:i/>
          <w:lang w:val="es-419"/>
        </w:rPr>
        <w:t>Arreglo de Estrasburgo relativo a la Clasificación Internacional de Patentes</w:t>
      </w:r>
      <w:r w:rsidRPr="002405D3">
        <w:rPr>
          <w:lang w:val="es-419"/>
        </w:rPr>
        <w:t>. En el artículo 2.1)a) de dicho Arreglo se estipula lo siguiente: “la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p>
    <w:p w:rsidR="0050487D" w:rsidRPr="002405D3" w:rsidRDefault="0050487D" w:rsidP="0050487D">
      <w:pPr>
        <w:pStyle w:val="Heading1"/>
        <w:spacing w:before="0" w:after="220"/>
        <w:rPr>
          <w:caps w:val="0"/>
          <w:lang w:val="es-419"/>
        </w:rPr>
      </w:pPr>
      <w:bookmarkStart w:id="72" w:name="_Toc124942466"/>
      <w:r w:rsidRPr="002405D3">
        <w:rPr>
          <w:caps w:val="0"/>
          <w:lang w:val="es-419"/>
        </w:rPr>
        <w:t>Tratado Internacional sobre los Recursos Fitogenéticos para la Alimentación y la Agricultura</w:t>
      </w:r>
      <w:bookmarkEnd w:id="72"/>
      <w:r w:rsidRPr="002405D3">
        <w:rPr>
          <w:caps w:val="0"/>
          <w:lang w:val="es-419"/>
        </w:rPr>
        <w:t xml:space="preserve"> </w:t>
      </w:r>
    </w:p>
    <w:p w:rsidR="0050487D" w:rsidRPr="002405D3" w:rsidRDefault="0050487D" w:rsidP="0050487D">
      <w:pPr>
        <w:pStyle w:val="bodytext0"/>
        <w:shd w:val="clear" w:color="auto" w:fill="FFFFFF"/>
        <w:spacing w:before="0" w:beforeAutospacing="0" w:after="220" w:afterAutospacing="0"/>
        <w:rPr>
          <w:rFonts w:ascii="Arial" w:hAnsi="Arial" w:cs="Arial"/>
          <w:sz w:val="22"/>
          <w:szCs w:val="22"/>
          <w:lang w:val="es-419"/>
        </w:rPr>
      </w:pPr>
      <w:r w:rsidRPr="002405D3">
        <w:rPr>
          <w:rFonts w:ascii="Arial" w:hAnsi="Arial"/>
          <w:sz w:val="22"/>
          <w:lang w:val="es-419"/>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 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2405D3">
        <w:rPr>
          <w:rStyle w:val="FootnoteReference"/>
          <w:rFonts w:eastAsia="SimSun"/>
          <w:szCs w:val="22"/>
          <w:lang w:val="es-419"/>
        </w:rPr>
        <w:footnoteReference w:id="90"/>
      </w:r>
    </w:p>
    <w:p w:rsidR="0050487D" w:rsidRPr="002405D3" w:rsidRDefault="0050487D" w:rsidP="0050487D">
      <w:pPr>
        <w:pStyle w:val="Heading1"/>
        <w:spacing w:before="0" w:after="220"/>
        <w:rPr>
          <w:caps w:val="0"/>
          <w:lang w:val="es-419"/>
        </w:rPr>
      </w:pPr>
      <w:bookmarkStart w:id="73" w:name="_Toc124942467"/>
      <w:r w:rsidRPr="002405D3">
        <w:rPr>
          <w:caps w:val="0"/>
          <w:lang w:val="es-419"/>
        </w:rPr>
        <w:lastRenderedPageBreak/>
        <w:t>Actividad inventiva</w:t>
      </w:r>
      <w:bookmarkEnd w:id="73"/>
    </w:p>
    <w:p w:rsidR="0050487D" w:rsidRPr="002405D3" w:rsidRDefault="0050487D" w:rsidP="0050487D">
      <w:pPr>
        <w:autoSpaceDE w:val="0"/>
        <w:autoSpaceDN w:val="0"/>
        <w:adjustRightInd w:val="0"/>
        <w:spacing w:after="220"/>
        <w:rPr>
          <w:bCs/>
          <w:szCs w:val="22"/>
          <w:lang w:val="es-419"/>
        </w:rPr>
      </w:pPr>
      <w:r w:rsidRPr="002405D3">
        <w:rPr>
          <w:lang w:val="es-419"/>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2405D3">
        <w:rPr>
          <w:rStyle w:val="FootnoteReference"/>
          <w:szCs w:val="22"/>
          <w:lang w:val="es-419"/>
        </w:rPr>
        <w:footnoteReference w:id="91"/>
      </w:r>
    </w:p>
    <w:p w:rsidR="0050487D" w:rsidRPr="002405D3" w:rsidRDefault="0050487D" w:rsidP="0050487D">
      <w:pPr>
        <w:autoSpaceDE w:val="0"/>
        <w:autoSpaceDN w:val="0"/>
        <w:adjustRightInd w:val="0"/>
        <w:spacing w:after="220"/>
        <w:rPr>
          <w:szCs w:val="22"/>
          <w:lang w:val="es-419"/>
        </w:rPr>
      </w:pPr>
      <w:r w:rsidRPr="002405D3">
        <w:rPr>
          <w:lang w:val="es-419"/>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56 del </w:t>
      </w:r>
      <w:r w:rsidRPr="002405D3">
        <w:rPr>
          <w:i/>
          <w:iCs/>
          <w:lang w:val="es-419"/>
        </w:rPr>
        <w:t>Convenio de la Patente Europea</w:t>
      </w:r>
      <w:r w:rsidRPr="002405D3">
        <w:rPr>
          <w:lang w:val="es-419"/>
        </w:rPr>
        <w:t xml:space="preserve"> y en el artículo 103 del Título 35 del Código de los Estados Unidos figuran definiciones similares. En el artículo 103 del Título 35 del Código de los Estados Unidos se utiliza el término equivalente “materia no evidente”. </w:t>
      </w:r>
      <w:r w:rsidRPr="002405D3">
        <w:rPr>
          <w:rStyle w:val="FootnoteReference"/>
          <w:szCs w:val="22"/>
          <w:lang w:val="es-419" w:bidi="th-TH"/>
        </w:rPr>
        <w:footnoteReference w:id="92"/>
      </w:r>
    </w:p>
    <w:p w:rsidR="0050487D" w:rsidRPr="002405D3" w:rsidRDefault="0050487D" w:rsidP="0050487D">
      <w:pPr>
        <w:pStyle w:val="Heading1"/>
        <w:spacing w:before="0" w:after="220"/>
        <w:rPr>
          <w:caps w:val="0"/>
          <w:lang w:val="es-419"/>
        </w:rPr>
      </w:pPr>
      <w:bookmarkStart w:id="74" w:name="_Toc124942468"/>
      <w:r w:rsidRPr="002405D3">
        <w:rPr>
          <w:caps w:val="0"/>
          <w:lang w:val="es-419"/>
        </w:rPr>
        <w:t>Acuerdos de licencia</w:t>
      </w:r>
      <w:bookmarkEnd w:id="74"/>
    </w:p>
    <w:p w:rsidR="0050487D" w:rsidRPr="002405D3" w:rsidRDefault="0050487D" w:rsidP="0050487D">
      <w:pPr>
        <w:pStyle w:val="BodyText"/>
        <w:tabs>
          <w:tab w:val="left" w:pos="567"/>
        </w:tabs>
        <w:rPr>
          <w:szCs w:val="22"/>
          <w:lang w:val="es-419"/>
        </w:rPr>
      </w:pPr>
      <w:r w:rsidRPr="002405D3">
        <w:rPr>
          <w:lang w:val="es-419"/>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2405D3">
        <w:rPr>
          <w:rStyle w:val="FootnoteReference"/>
          <w:szCs w:val="22"/>
          <w:lang w:val="es-419"/>
        </w:rPr>
        <w:footnoteReference w:id="93"/>
      </w:r>
    </w:p>
    <w:p w:rsidR="0050487D" w:rsidRPr="002405D3" w:rsidRDefault="0050487D" w:rsidP="0050487D">
      <w:pPr>
        <w:pStyle w:val="Heading1"/>
        <w:spacing w:before="0" w:after="220"/>
        <w:rPr>
          <w:caps w:val="0"/>
          <w:lang w:val="es-419"/>
        </w:rPr>
      </w:pPr>
      <w:bookmarkStart w:id="75" w:name="_Toc124942469"/>
      <w:r w:rsidRPr="002405D3">
        <w:rPr>
          <w:caps w:val="0"/>
          <w:lang w:val="es-419"/>
        </w:rPr>
        <w:t>Limitación</w:t>
      </w:r>
      <w:bookmarkEnd w:id="75"/>
    </w:p>
    <w:p w:rsidR="0050487D" w:rsidRPr="002405D3" w:rsidRDefault="0050487D" w:rsidP="0050487D">
      <w:pPr>
        <w:spacing w:after="220"/>
        <w:rPr>
          <w:szCs w:val="22"/>
          <w:lang w:val="es-419"/>
        </w:rPr>
      </w:pPr>
      <w:r w:rsidRPr="002405D3">
        <w:rPr>
          <w:lang w:val="es-419"/>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2405D3">
        <w:rPr>
          <w:rStyle w:val="FootnoteReference"/>
          <w:szCs w:val="22"/>
          <w:lang w:val="es-419"/>
        </w:rPr>
        <w:footnoteReference w:id="94"/>
      </w:r>
      <w:r w:rsidRPr="002405D3">
        <w:rPr>
          <w:lang w:val="es-419"/>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2405D3">
        <w:rPr>
          <w:rStyle w:val="FootnoteReference"/>
          <w:szCs w:val="22"/>
          <w:lang w:val="es-419"/>
        </w:rPr>
        <w:footnoteReference w:id="95"/>
      </w:r>
    </w:p>
    <w:p w:rsidR="0050487D" w:rsidRPr="002405D3" w:rsidRDefault="0050487D" w:rsidP="0050487D">
      <w:pPr>
        <w:spacing w:after="220"/>
        <w:rPr>
          <w:szCs w:val="22"/>
          <w:lang w:val="es-419"/>
        </w:rPr>
      </w:pPr>
      <w:r w:rsidRPr="002405D3">
        <w:rPr>
          <w:lang w:val="es-419"/>
        </w:rPr>
        <w:t xml:space="preserve">En el </w:t>
      </w:r>
      <w:r w:rsidRPr="002405D3">
        <w:rPr>
          <w:i/>
          <w:lang w:val="es-419"/>
        </w:rPr>
        <w:t xml:space="preserve">Convenio de Berna para la Protección de las Obras Literarias y Artísticas </w:t>
      </w:r>
      <w:r w:rsidRPr="002405D3">
        <w:rPr>
          <w:lang w:val="es-419"/>
        </w:rPr>
        <w:t>(1971) se fijan los supuestos en que quedan limitados los derechos del autor y, en consecuencia, es posible hacer uso libremente de la obra.</w:t>
      </w:r>
      <w:r w:rsidRPr="002405D3">
        <w:rPr>
          <w:rStyle w:val="FootnoteReference"/>
          <w:szCs w:val="22"/>
          <w:lang w:val="es-419"/>
        </w:rPr>
        <w:footnoteReference w:id="96"/>
      </w:r>
      <w:r w:rsidRPr="002405D3">
        <w:rPr>
          <w:lang w:val="es-419"/>
        </w:rPr>
        <w:t xml:space="preserve"> </w:t>
      </w:r>
      <w:r w:rsidRPr="002405D3">
        <w:rPr>
          <w:lang w:val="es-419"/>
        </w:rPr>
        <w:br/>
        <w:t>La prueba del criterio triple establece las condiciones que ponen límites a los derechos del autor.</w:t>
      </w:r>
      <w:r w:rsidRPr="002405D3">
        <w:rPr>
          <w:rStyle w:val="FootnoteReference"/>
          <w:szCs w:val="22"/>
          <w:lang w:val="es-419"/>
        </w:rPr>
        <w:footnoteReference w:id="97"/>
      </w:r>
      <w:r w:rsidRPr="002405D3">
        <w:rPr>
          <w:lang w:val="es-419"/>
        </w:rPr>
        <w:t xml:space="preserve"> “Fue ampliada en virtud del Artículo 13 del </w:t>
      </w:r>
      <w:r w:rsidRPr="002405D3">
        <w:rPr>
          <w:i/>
          <w:lang w:val="es-419"/>
        </w:rPr>
        <w:t>Acuerdo sobre los ADPIC</w:t>
      </w:r>
      <w:r w:rsidRPr="002405D3">
        <w:rPr>
          <w:lang w:val="es-419"/>
        </w:rPr>
        <w:t xml:space="preserve">, de la OMC, y posteriormente también mediante el Artículo 10 del </w:t>
      </w:r>
      <w:r w:rsidRPr="002405D3">
        <w:rPr>
          <w:i/>
          <w:lang w:val="es-419"/>
        </w:rPr>
        <w:t>WCT</w:t>
      </w:r>
      <w:r w:rsidRPr="002405D3">
        <w:rPr>
          <w:lang w:val="es-419"/>
        </w:rPr>
        <w:t xml:space="preserve">, como prueba para las excepciones y limitaciones a cualquier derecho patrimonial previsto en virtud del derecho de autor. Por último, el Artículo 16 del </w:t>
      </w:r>
      <w:r w:rsidRPr="002405D3">
        <w:rPr>
          <w:i/>
          <w:lang w:val="es-419"/>
        </w:rPr>
        <w:t>WPPT</w:t>
      </w:r>
      <w:r w:rsidRPr="002405D3">
        <w:rPr>
          <w:lang w:val="es-419"/>
        </w:rPr>
        <w:t xml:space="preserve"> la ha ampliado a los derechos de los artistas intérpretes o ejecutantes y los productores de fonogramas recogidos en dicho Tratado”.</w:t>
      </w:r>
      <w:r w:rsidRPr="002405D3">
        <w:rPr>
          <w:rStyle w:val="FootnoteReference"/>
          <w:szCs w:val="22"/>
          <w:lang w:val="es-419"/>
        </w:rPr>
        <w:footnoteReference w:id="98"/>
      </w:r>
    </w:p>
    <w:p w:rsidR="0050487D" w:rsidRPr="002405D3" w:rsidRDefault="0050487D" w:rsidP="0050487D">
      <w:pPr>
        <w:pStyle w:val="Heading1"/>
        <w:spacing w:before="0" w:after="220"/>
        <w:rPr>
          <w:caps w:val="0"/>
          <w:lang w:val="es-419"/>
        </w:rPr>
      </w:pPr>
      <w:bookmarkStart w:id="76" w:name="_Toc124942470"/>
      <w:r w:rsidRPr="002405D3">
        <w:rPr>
          <w:caps w:val="0"/>
          <w:lang w:val="es-419"/>
        </w:rPr>
        <w:lastRenderedPageBreak/>
        <w:t>Acuerdos de transferencia de material</w:t>
      </w:r>
      <w:bookmarkEnd w:id="76"/>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2405D3">
        <w:rPr>
          <w:i/>
          <w:iCs/>
          <w:lang w:val="es-419"/>
        </w:rPr>
        <w:t>in situ</w:t>
      </w:r>
      <w:r w:rsidRPr="002405D3">
        <w:rPr>
          <w:lang w:val="es-419"/>
        </w:rPr>
        <w:t>.</w:t>
      </w:r>
      <w:r w:rsidRPr="002405D3">
        <w:rPr>
          <w:rStyle w:val="FootnoteReference"/>
          <w:szCs w:val="22"/>
          <w:lang w:val="es-419"/>
        </w:rPr>
        <w:footnoteReference w:id="99"/>
      </w:r>
      <w:r w:rsidRPr="002405D3">
        <w:rPr>
          <w:lang w:val="es-419"/>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2405D3">
        <w:rPr>
          <w:rStyle w:val="FootnoteReference"/>
          <w:szCs w:val="22"/>
          <w:lang w:val="es-419"/>
        </w:rPr>
        <w:footnoteReference w:id="100"/>
      </w:r>
      <w:r w:rsidRPr="002405D3">
        <w:rPr>
          <w:lang w:val="es-419"/>
        </w:rPr>
        <w:t xml:space="preserve"> En 2006, la FAO constituyó y aprobó el Acuerdo de Transferencia de Material Normalizado, relativo a la aplicación del Tratado Internacional sobre los Recursos Fitogenéticos para la Alimentación y la Agricultura.</w:t>
      </w:r>
      <w:r w:rsidRPr="002405D3">
        <w:rPr>
          <w:rStyle w:val="FootnoteReference"/>
          <w:bCs/>
          <w:szCs w:val="22"/>
          <w:lang w:val="es-419"/>
        </w:rPr>
        <w:footnoteReference w:id="101"/>
      </w:r>
      <w:r w:rsidRPr="002405D3">
        <w:rPr>
          <w:lang w:val="es-419"/>
        </w:rPr>
        <w:t xml:space="preserve"> En el Apéndice I de las </w:t>
      </w:r>
      <w:r w:rsidRPr="002405D3">
        <w:rPr>
          <w:i/>
          <w:iCs/>
          <w:lang w:val="es-419"/>
        </w:rPr>
        <w:t>Directrices de Bonn</w:t>
      </w:r>
      <w:r w:rsidRPr="002405D3">
        <w:rPr>
          <w:lang w:val="es-419"/>
        </w:rPr>
        <w:t xml:space="preserve"> se hacen sugerencias con respecto a los acuerdos de transferencia de materiales.</w:t>
      </w:r>
    </w:p>
    <w:p w:rsidR="0050487D" w:rsidRPr="002405D3" w:rsidRDefault="0050487D" w:rsidP="0050487D">
      <w:pPr>
        <w:pStyle w:val="Heading1"/>
        <w:spacing w:before="0" w:after="220"/>
        <w:rPr>
          <w:caps w:val="0"/>
          <w:lang w:val="es-419"/>
        </w:rPr>
      </w:pPr>
      <w:bookmarkStart w:id="77" w:name="_Toc124942471"/>
      <w:r w:rsidRPr="002405D3">
        <w:rPr>
          <w:caps w:val="0"/>
          <w:lang w:val="es-419"/>
        </w:rPr>
        <w:t>Documentación mínima del PCT</w:t>
      </w:r>
      <w:bookmarkEnd w:id="77"/>
    </w:p>
    <w:p w:rsidR="0050487D" w:rsidRPr="002405D3" w:rsidRDefault="0050487D" w:rsidP="0050487D">
      <w:pPr>
        <w:autoSpaceDE w:val="0"/>
        <w:autoSpaceDN w:val="0"/>
        <w:adjustRightInd w:val="0"/>
        <w:spacing w:after="220"/>
        <w:rPr>
          <w:szCs w:val="22"/>
          <w:lang w:val="es-419"/>
        </w:rPr>
      </w:pPr>
      <w:r w:rsidRPr="002405D3">
        <w:rPr>
          <w:lang w:val="es-419"/>
        </w:rPr>
        <w:t>Según el Glosario del PCT de la OMPI, podría definirse “documentación mínima” como “documentos que la Administración encargada de la búsqueda internacional debe consultar a fin de descubrir el estado de la técnica pertinente.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2405D3">
        <w:rPr>
          <w:rStyle w:val="FootnoteReference"/>
          <w:szCs w:val="22"/>
          <w:lang w:val="es-419" w:bidi="th-TH"/>
        </w:rPr>
        <w:footnoteReference w:id="102"/>
      </w:r>
    </w:p>
    <w:p w:rsidR="0050487D" w:rsidRPr="002405D3" w:rsidRDefault="0050487D" w:rsidP="0050487D">
      <w:pPr>
        <w:autoSpaceDE w:val="0"/>
        <w:autoSpaceDN w:val="0"/>
        <w:adjustRightInd w:val="0"/>
        <w:spacing w:after="220"/>
        <w:rPr>
          <w:szCs w:val="22"/>
          <w:lang w:val="es-419"/>
        </w:rPr>
      </w:pPr>
      <w:r w:rsidRPr="002405D3">
        <w:rPr>
          <w:lang w:val="es-419"/>
        </w:rPr>
        <w:t>En las Directrices de búsqueda internacional del PCT, la documentación internacional mínima de búsqueda se define como “una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2405D3">
        <w:rPr>
          <w:rStyle w:val="FootnoteReference"/>
          <w:szCs w:val="22"/>
          <w:lang w:val="es-419"/>
        </w:rPr>
        <w:footnoteReference w:id="103"/>
      </w:r>
    </w:p>
    <w:p w:rsidR="0050487D" w:rsidRPr="002405D3" w:rsidRDefault="0050487D" w:rsidP="0050487D">
      <w:pPr>
        <w:autoSpaceDE w:val="0"/>
        <w:autoSpaceDN w:val="0"/>
        <w:adjustRightInd w:val="0"/>
        <w:spacing w:after="220"/>
        <w:rPr>
          <w:szCs w:val="22"/>
          <w:lang w:val="es-419"/>
        </w:rPr>
      </w:pPr>
      <w:r w:rsidRPr="002405D3">
        <w:rPr>
          <w:lang w:val="es-419"/>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2405D3">
        <w:rPr>
          <w:rStyle w:val="FootnoteReference"/>
          <w:szCs w:val="22"/>
          <w:lang w:val="es-419"/>
        </w:rPr>
        <w:footnoteReference w:id="104"/>
      </w:r>
      <w:r w:rsidRPr="002405D3">
        <w:rPr>
          <w:lang w:val="es-419"/>
        </w:rPr>
        <w:t xml:space="preserve"> Por ejemplo, el </w:t>
      </w:r>
      <w:r w:rsidRPr="002405D3">
        <w:rPr>
          <w:i/>
          <w:lang w:val="es-419"/>
        </w:rPr>
        <w:t xml:space="preserve">Indian Journal of Traditional Knowledge </w:t>
      </w:r>
      <w:r w:rsidRPr="002405D3">
        <w:rPr>
          <w:lang w:val="es-419"/>
        </w:rPr>
        <w:t xml:space="preserve">y el </w:t>
      </w:r>
      <w:r w:rsidRPr="002405D3">
        <w:rPr>
          <w:i/>
          <w:lang w:val="es-419"/>
        </w:rPr>
        <w:t>Korean Journal of Traditional Knowledge</w:t>
      </w:r>
      <w:r w:rsidRPr="002405D3">
        <w:rPr>
          <w:lang w:val="es-419"/>
        </w:rPr>
        <w:t xml:space="preserve"> se consideran literatura distinta de la de patentes en “Documentación Mínima del PCT – Lista de publicaciones periódicas: Publicaciones periódicas que deben emplearse en la búsqueda y el examen”.</w:t>
      </w:r>
    </w:p>
    <w:p w:rsidR="0050487D" w:rsidRPr="002405D3" w:rsidRDefault="0050487D" w:rsidP="0050487D">
      <w:pPr>
        <w:pStyle w:val="Heading1"/>
        <w:spacing w:before="0" w:after="220"/>
        <w:rPr>
          <w:caps w:val="0"/>
          <w:lang w:val="es-419"/>
        </w:rPr>
      </w:pPr>
      <w:bookmarkStart w:id="78" w:name="_Toc124942472"/>
      <w:r w:rsidRPr="002405D3">
        <w:rPr>
          <w:caps w:val="0"/>
          <w:lang w:val="es-419"/>
        </w:rPr>
        <w:t>Minoría</w:t>
      </w:r>
      <w:bookmarkEnd w:id="78"/>
    </w:p>
    <w:p w:rsidR="0050487D" w:rsidRPr="002405D3" w:rsidRDefault="0050487D" w:rsidP="0050487D">
      <w:pPr>
        <w:autoSpaceDE w:val="0"/>
        <w:autoSpaceDN w:val="0"/>
        <w:adjustRightInd w:val="0"/>
        <w:spacing w:after="220"/>
        <w:rPr>
          <w:szCs w:val="22"/>
          <w:lang w:val="es-419"/>
        </w:rPr>
      </w:pPr>
      <w:r w:rsidRPr="002405D3">
        <w:rPr>
          <w:lang w:val="es-419"/>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p>
    <w:p w:rsidR="0050487D" w:rsidRPr="002405D3" w:rsidRDefault="0050487D" w:rsidP="0050487D">
      <w:pPr>
        <w:autoSpaceDE w:val="0"/>
        <w:autoSpaceDN w:val="0"/>
        <w:adjustRightInd w:val="0"/>
        <w:spacing w:after="220"/>
        <w:rPr>
          <w:szCs w:val="22"/>
          <w:lang w:val="es-419"/>
        </w:rPr>
      </w:pPr>
      <w:r w:rsidRPr="002405D3">
        <w:rPr>
          <w:lang w:val="es-419"/>
        </w:rPr>
        <w:t xml:space="preserve">“Una minoría es un grupo que es numéricamente inferior al resto de la población de un Estado, que se encuentra en una posición no dominante, cuyos miembros poseen características </w:t>
      </w:r>
      <w:r w:rsidRPr="002405D3">
        <w:rPr>
          <w:lang w:val="es-419"/>
        </w:rPr>
        <w:lastRenderedPageBreak/>
        <w:t>étnicas, religiosas o lingüísticas que difieren de las del resto de la población y que, siquiera de manera implícita, mantienen un sentido de solidaridad encaminada a preservar su cultura, tradiciones, religión o idioma”.</w:t>
      </w:r>
      <w:r w:rsidRPr="002405D3">
        <w:rPr>
          <w:rStyle w:val="FootnoteReference"/>
          <w:szCs w:val="22"/>
          <w:lang w:val="es-419"/>
        </w:rPr>
        <w:footnoteReference w:id="105"/>
      </w:r>
    </w:p>
    <w:p w:rsidR="0050487D" w:rsidRPr="002405D3" w:rsidRDefault="0050487D" w:rsidP="0050487D">
      <w:pPr>
        <w:autoSpaceDE w:val="0"/>
        <w:autoSpaceDN w:val="0"/>
        <w:adjustRightInd w:val="0"/>
        <w:spacing w:after="220"/>
        <w:rPr>
          <w:szCs w:val="22"/>
          <w:lang w:val="es-419"/>
        </w:rPr>
      </w:pPr>
      <w:r w:rsidRPr="002405D3">
        <w:rPr>
          <w:lang w:val="es-419"/>
        </w:rPr>
        <w:t xml:space="preserve">La </w:t>
      </w:r>
      <w:r w:rsidRPr="002405D3">
        <w:rPr>
          <w:i/>
          <w:lang w:val="es-419"/>
        </w:rPr>
        <w:t>Declaración sobre los derechos de las personas pertenecientes a minorías nacionales o étnicas, religiosas y lingüísticas</w:t>
      </w:r>
      <w:r w:rsidRPr="002405D3">
        <w:rPr>
          <w:lang w:val="es-419"/>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2405D3">
        <w:rPr>
          <w:rStyle w:val="FootnoteReference"/>
          <w:szCs w:val="22"/>
          <w:lang w:val="es-419"/>
        </w:rPr>
        <w:footnoteReference w:id="106"/>
      </w:r>
      <w:r w:rsidRPr="002405D3">
        <w:rPr>
          <w:lang w:val="es-419"/>
        </w:rPr>
        <w:t xml:space="preserve"> Los Estados protegerán la existencia y la identidad nacional o étnica, cultural, religiosa y lingüística de las minorías dentro de sus territorios respectivos y fomentarán las condiciones para la promoción de esa identidad”.</w:t>
      </w:r>
      <w:r w:rsidRPr="002405D3">
        <w:rPr>
          <w:rStyle w:val="FootnoteReference"/>
          <w:szCs w:val="22"/>
          <w:lang w:val="es-419"/>
        </w:rPr>
        <w:footnoteReference w:id="107"/>
      </w:r>
    </w:p>
    <w:p w:rsidR="0050487D" w:rsidRPr="002405D3" w:rsidRDefault="0050487D" w:rsidP="0050487D">
      <w:pPr>
        <w:autoSpaceDE w:val="0"/>
        <w:autoSpaceDN w:val="0"/>
        <w:adjustRightInd w:val="0"/>
        <w:spacing w:after="220"/>
        <w:rPr>
          <w:szCs w:val="22"/>
          <w:lang w:val="es-419"/>
        </w:rPr>
      </w:pPr>
      <w:r w:rsidRPr="002405D3">
        <w:rPr>
          <w:lang w:val="es-419"/>
        </w:rPr>
        <w:t xml:space="preserve">El </w:t>
      </w:r>
      <w:r w:rsidRPr="002405D3">
        <w:rPr>
          <w:i/>
          <w:iCs/>
          <w:lang w:val="es-419"/>
        </w:rPr>
        <w:t>Pacto Internacional de Derechos Civiles y Políticos</w:t>
      </w:r>
      <w:r w:rsidRPr="002405D3">
        <w:rPr>
          <w:lang w:val="es-419"/>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 </w:t>
      </w:r>
      <w:r w:rsidRPr="002405D3">
        <w:rPr>
          <w:rStyle w:val="FootnoteReference"/>
          <w:szCs w:val="22"/>
          <w:lang w:val="es-419"/>
        </w:rPr>
        <w:footnoteReference w:id="108"/>
      </w:r>
    </w:p>
    <w:p w:rsidR="0050487D" w:rsidRPr="002405D3" w:rsidRDefault="0050487D" w:rsidP="0050487D">
      <w:pPr>
        <w:pStyle w:val="Heading1"/>
        <w:spacing w:before="0" w:after="220"/>
        <w:rPr>
          <w:caps w:val="0"/>
          <w:lang w:val="es-419"/>
        </w:rPr>
      </w:pPr>
      <w:bookmarkStart w:id="79" w:name="_Toc124942473"/>
      <w:r w:rsidRPr="002405D3">
        <w:rPr>
          <w:caps w:val="0"/>
          <w:lang w:val="es-419"/>
        </w:rPr>
        <w:t>Apropiación indebida</w:t>
      </w:r>
      <w:bookmarkEnd w:id="79"/>
    </w:p>
    <w:p w:rsidR="0050487D" w:rsidRPr="002405D3" w:rsidRDefault="0050487D" w:rsidP="0050487D">
      <w:pPr>
        <w:autoSpaceDE w:val="0"/>
        <w:autoSpaceDN w:val="0"/>
        <w:adjustRightInd w:val="0"/>
        <w:spacing w:after="220"/>
        <w:rPr>
          <w:szCs w:val="22"/>
          <w:lang w:val="es-419"/>
        </w:rPr>
      </w:pPr>
      <w:r w:rsidRPr="002405D3">
        <w:rPr>
          <w:lang w:val="es-419"/>
        </w:rPr>
        <w:t xml:space="preserve">En el Diccionario Enciclopédico de Derecho Usual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2405D3">
        <w:rPr>
          <w:i/>
          <w:iCs/>
          <w:lang w:val="es-419"/>
        </w:rPr>
        <w:t>common law</w:t>
      </w:r>
      <w:r w:rsidRPr="002405D3">
        <w:rPr>
          <w:lang w:val="es-419"/>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sistema del </w:t>
      </w:r>
      <w:r w:rsidRPr="002405D3">
        <w:rPr>
          <w:i/>
          <w:iCs/>
          <w:lang w:val="es-419"/>
        </w:rPr>
        <w:t>common law</w:t>
      </w:r>
      <w:r w:rsidRPr="002405D3">
        <w:rPr>
          <w:lang w:val="es-419"/>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3 del proyecto de ley </w:t>
      </w:r>
      <w:r w:rsidRPr="002405D3">
        <w:rPr>
          <w:i/>
          <w:iCs/>
          <w:lang w:val="es-419"/>
        </w:rPr>
        <w:t>Marco jurídico de protección de los conocimientos tradicionales en Sri Lanka</w:t>
      </w:r>
      <w:r w:rsidRPr="002405D3">
        <w:rPr>
          <w:lang w:val="es-419"/>
        </w:rPr>
        <w:t xml:space="preserve">, de 2009, se define la apropiación indebida en tanto que: ‘i) adquisición, apropiación o utilización de conocimientos tradicionales en contravención de lo </w:t>
      </w:r>
      <w:r w:rsidRPr="002405D3">
        <w:rPr>
          <w:lang w:val="es-419"/>
        </w:rPr>
        <w:lastRenderedPageBreak/>
        <w:t>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2405D3">
        <w:rPr>
          <w:rStyle w:val="FootnoteReference"/>
          <w:szCs w:val="22"/>
          <w:lang w:val="es-419"/>
        </w:rPr>
        <w:footnoteReference w:id="109"/>
      </w:r>
    </w:p>
    <w:p w:rsidR="0050487D" w:rsidRPr="002405D3" w:rsidRDefault="0050487D" w:rsidP="0050487D">
      <w:pPr>
        <w:pStyle w:val="Heading1"/>
        <w:keepLines/>
        <w:spacing w:before="0" w:after="220"/>
        <w:rPr>
          <w:caps w:val="0"/>
          <w:lang w:val="es-419"/>
        </w:rPr>
      </w:pPr>
      <w:bookmarkStart w:id="80" w:name="_Toc124942474"/>
      <w:r w:rsidRPr="002405D3">
        <w:rPr>
          <w:caps w:val="0"/>
          <w:lang w:val="es-419"/>
        </w:rPr>
        <w:t>Utilización indebida</w:t>
      </w:r>
      <w:r w:rsidRPr="002405D3">
        <w:rPr>
          <w:caps w:val="0"/>
          <w:vertAlign w:val="superscript"/>
          <w:lang w:val="es-419"/>
        </w:rPr>
        <w:footnoteReference w:id="110"/>
      </w:r>
      <w:bookmarkEnd w:id="80"/>
    </w:p>
    <w:p w:rsidR="0050487D" w:rsidRPr="002405D3" w:rsidRDefault="0050487D" w:rsidP="0050487D">
      <w:pPr>
        <w:keepLines/>
        <w:autoSpaceDE w:val="0"/>
        <w:autoSpaceDN w:val="0"/>
        <w:adjustRightInd w:val="0"/>
        <w:spacing w:after="220"/>
        <w:rPr>
          <w:szCs w:val="22"/>
          <w:lang w:val="es-419"/>
        </w:rPr>
      </w:pPr>
      <w:r w:rsidRPr="002405D3">
        <w:rPr>
          <w:lang w:val="es-419"/>
        </w:rPr>
        <w:t xml:space="preserve">En el ámbito de las patentes, en el diccionario jurídico de Black se define la expresión “utilización indebida” en tanto que “utilización de una patente para ampliar indebidamente el monopolio concedido para dar cabida a productos no patentados o para infringir leyes antimonopolio”.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 </w:t>
      </w:r>
    </w:p>
    <w:p w:rsidR="0050487D" w:rsidRPr="002405D3" w:rsidRDefault="0050487D" w:rsidP="0050487D">
      <w:pPr>
        <w:pStyle w:val="Heading1"/>
        <w:spacing w:before="0" w:after="220"/>
        <w:rPr>
          <w:caps w:val="0"/>
          <w:lang w:val="es-419"/>
        </w:rPr>
      </w:pPr>
      <w:bookmarkStart w:id="81" w:name="_Toc124942475"/>
      <w:r w:rsidRPr="002405D3">
        <w:rPr>
          <w:caps w:val="0"/>
          <w:lang w:val="es-419"/>
        </w:rPr>
        <w:t>Modificación</w:t>
      </w:r>
      <w:bookmarkEnd w:id="81"/>
    </w:p>
    <w:p w:rsidR="0050487D" w:rsidRPr="002405D3" w:rsidRDefault="0050487D" w:rsidP="0050487D">
      <w:pPr>
        <w:autoSpaceDE w:val="0"/>
        <w:autoSpaceDN w:val="0"/>
        <w:adjustRightInd w:val="0"/>
        <w:spacing w:after="220"/>
        <w:rPr>
          <w:szCs w:val="22"/>
          <w:lang w:val="es-419"/>
        </w:rPr>
      </w:pPr>
      <w:r w:rsidRPr="002405D3">
        <w:rPr>
          <w:lang w:val="es-419"/>
        </w:rPr>
        <w:t>Según el Diccionario de la lengua española de la Real Academia Española, “modificar” significa “transformar o cambiar algo mudando alguno de sus accidentes” y es sinónimo de “alterar”, que quiere decir “cambiar la esencia o forma de algo”. En el artículo 6</w:t>
      </w:r>
      <w:r w:rsidRPr="002405D3">
        <w:rPr>
          <w:i/>
          <w:lang w:val="es-419"/>
        </w:rPr>
        <w:t>bis</w:t>
      </w:r>
      <w:r w:rsidRPr="002405D3">
        <w:rPr>
          <w:lang w:val="es-419"/>
        </w:rPr>
        <w:t xml:space="preserve"> del </w:t>
      </w:r>
      <w:r w:rsidRPr="002405D3">
        <w:rPr>
          <w:i/>
          <w:lang w:val="es-419"/>
        </w:rPr>
        <w:t>Convenio de Berna para la Protección de las Obras Literarias y Artísticas</w:t>
      </w:r>
      <w:r w:rsidRPr="002405D3">
        <w:rPr>
          <w:lang w:val="es-419"/>
        </w:rPr>
        <w:t xml:space="preserve"> (1971), entre otras cosas, se confiere al autor el derecho “de oponerse a cualquier deformación, mutilación u otra modificación de la misma […] que cause perjuicio a su honor o a su reputación”.</w:t>
      </w:r>
    </w:p>
    <w:p w:rsidR="0050487D" w:rsidRPr="002405D3" w:rsidRDefault="0050487D" w:rsidP="0050487D">
      <w:pPr>
        <w:pStyle w:val="Heading1"/>
        <w:keepLines/>
        <w:spacing w:before="0" w:after="220"/>
        <w:rPr>
          <w:caps w:val="0"/>
          <w:lang w:val="es-419"/>
        </w:rPr>
      </w:pPr>
      <w:bookmarkStart w:id="82" w:name="_Toc124942476"/>
      <w:r w:rsidRPr="002405D3">
        <w:rPr>
          <w:caps w:val="0"/>
          <w:lang w:val="es-419"/>
        </w:rPr>
        <w:t>Mutilación</w:t>
      </w:r>
      <w:bookmarkEnd w:id="82"/>
    </w:p>
    <w:p w:rsidR="0050487D" w:rsidRPr="002405D3" w:rsidRDefault="0050487D" w:rsidP="0050487D">
      <w:pPr>
        <w:keepLines/>
        <w:autoSpaceDE w:val="0"/>
        <w:autoSpaceDN w:val="0"/>
        <w:adjustRightInd w:val="0"/>
        <w:spacing w:after="220"/>
        <w:rPr>
          <w:szCs w:val="22"/>
          <w:lang w:val="es-419"/>
        </w:rPr>
      </w:pPr>
      <w:r w:rsidRPr="002405D3">
        <w:rPr>
          <w:lang w:val="es-419"/>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2405D3">
        <w:rPr>
          <w:i/>
          <w:lang w:val="es-419"/>
        </w:rPr>
        <w:t>bis</w:t>
      </w:r>
      <w:r w:rsidRPr="002405D3">
        <w:rPr>
          <w:lang w:val="es-419"/>
        </w:rPr>
        <w:t xml:space="preserve"> del </w:t>
      </w:r>
      <w:r w:rsidRPr="002405D3">
        <w:rPr>
          <w:i/>
          <w:lang w:val="es-419"/>
        </w:rPr>
        <w:t>Convenio de Berna</w:t>
      </w:r>
      <w:r w:rsidRPr="002405D3">
        <w:rPr>
          <w:lang w:val="es-419"/>
        </w:rPr>
        <w:t>).</w:t>
      </w:r>
    </w:p>
    <w:p w:rsidR="0050487D" w:rsidRPr="002405D3" w:rsidRDefault="0050487D" w:rsidP="0050487D">
      <w:pPr>
        <w:pStyle w:val="Heading1"/>
        <w:spacing w:before="0" w:after="220"/>
        <w:rPr>
          <w:caps w:val="0"/>
          <w:lang w:val="es-419"/>
        </w:rPr>
      </w:pPr>
      <w:bookmarkStart w:id="83" w:name="_Toc124942477"/>
      <w:r w:rsidRPr="002405D3">
        <w:rPr>
          <w:caps w:val="0"/>
          <w:lang w:val="es-419"/>
        </w:rPr>
        <w:t>Respeto mutuo</w:t>
      </w:r>
      <w:bookmarkEnd w:id="83"/>
    </w:p>
    <w:p w:rsidR="0050487D" w:rsidRPr="002405D3" w:rsidRDefault="0050487D" w:rsidP="0050487D">
      <w:pPr>
        <w:autoSpaceDE w:val="0"/>
        <w:autoSpaceDN w:val="0"/>
        <w:adjustRightInd w:val="0"/>
        <w:spacing w:after="220"/>
        <w:rPr>
          <w:szCs w:val="22"/>
          <w:lang w:val="es-419"/>
        </w:rPr>
      </w:pPr>
      <w:r w:rsidRPr="002405D3">
        <w:rPr>
          <w:lang w:val="es-419"/>
        </w:rPr>
        <w:t xml:space="preserve">En el preámbulo de la </w:t>
      </w:r>
      <w:r w:rsidRPr="002405D3">
        <w:rPr>
          <w:i/>
          <w:lang w:val="es-419"/>
        </w:rPr>
        <w:t>Declaración de las Naciones Unidas sobre los Derechos de los Pueblos Indígenas</w:t>
      </w:r>
      <w:r w:rsidRPr="002405D3">
        <w:rPr>
          <w:lang w:val="es-419"/>
        </w:rPr>
        <w:t xml:space="preserve"> se afirma que es el “ideal común que debe perseguirse en un espíritu de solidaridad y respeto mutuo”. El Diccionario de uso del español de María Moliner explica que “mutuo” es aquello que “se aplica a los sentimientos o acciones que son tenidos o realizados por dos o más personas, de modo que cada una hace objeto de ellos a otra de la que, a su vez, los recibe”.</w:t>
      </w:r>
    </w:p>
    <w:p w:rsidR="0050487D" w:rsidRPr="002405D3" w:rsidRDefault="0050487D" w:rsidP="0050487D">
      <w:pPr>
        <w:pStyle w:val="Heading1"/>
        <w:spacing w:before="0" w:after="220"/>
        <w:rPr>
          <w:caps w:val="0"/>
          <w:lang w:val="es-419"/>
        </w:rPr>
      </w:pPr>
      <w:bookmarkStart w:id="84" w:name="_Toc124942478"/>
      <w:r w:rsidRPr="002405D3">
        <w:rPr>
          <w:caps w:val="0"/>
          <w:lang w:val="es-419"/>
        </w:rPr>
        <w:lastRenderedPageBreak/>
        <w:t>Condiciones mutuamente convenidas</w:t>
      </w:r>
      <w:bookmarkEnd w:id="84"/>
    </w:p>
    <w:p w:rsidR="0050487D" w:rsidRPr="002405D3" w:rsidRDefault="0050487D" w:rsidP="0050487D">
      <w:pPr>
        <w:pStyle w:val="Header"/>
        <w:rPr>
          <w:szCs w:val="22"/>
          <w:lang w:val="es-419"/>
        </w:rPr>
      </w:pPr>
      <w:r w:rsidRPr="002405D3">
        <w:rPr>
          <w:lang w:val="es-419"/>
        </w:rPr>
        <w:t xml:space="preserve">Además de reconocer la soberanía de los gobiernos nacionales para determinar el acceso a los recursos genéticos, en el artículo 15.4 del </w:t>
      </w:r>
      <w:r w:rsidRPr="002405D3">
        <w:rPr>
          <w:i/>
          <w:iCs/>
          <w:lang w:val="es-419"/>
        </w:rPr>
        <w:t>Convenio sobre la Diversidad Biológica</w:t>
      </w:r>
      <w:r w:rsidRPr="002405D3">
        <w:rPr>
          <w:lang w:val="es-419"/>
        </w:rPr>
        <w:t xml:space="preserve"> (1992)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2405D3">
        <w:rPr>
          <w:rStyle w:val="FootnoteReference"/>
          <w:szCs w:val="22"/>
          <w:lang w:val="es-419"/>
        </w:rPr>
        <w:footnoteReference w:id="111"/>
      </w:r>
      <w:r w:rsidRPr="002405D3">
        <w:rPr>
          <w:lang w:val="es-419"/>
        </w:rPr>
        <w:t xml:space="preserve"> En los artículos 41 a 44 de las </w:t>
      </w:r>
      <w:r w:rsidRPr="002405D3">
        <w:rPr>
          <w:i/>
          <w:iCs/>
          <w:lang w:val="es-419"/>
        </w:rPr>
        <w:t>Directrices de Bonn</w:t>
      </w:r>
      <w:r w:rsidRPr="002405D3">
        <w:rPr>
          <w:lang w:val="es-419"/>
        </w:rPr>
        <w:t xml:space="preserve"> se señalan algunos requisitos básicos de las condiciones mutuamente convenidas.</w:t>
      </w:r>
    </w:p>
    <w:p w:rsidR="0050487D" w:rsidRPr="002405D3" w:rsidRDefault="0050487D" w:rsidP="0050487D">
      <w:pPr>
        <w:pStyle w:val="Header"/>
        <w:spacing w:after="220"/>
        <w:rPr>
          <w:szCs w:val="22"/>
          <w:lang w:val="es-419"/>
        </w:rPr>
      </w:pPr>
      <w:r w:rsidRPr="002405D3">
        <w:rPr>
          <w:lang w:val="es-419"/>
        </w:rPr>
        <w:t xml:space="preserve">En el Artículo 18 del </w:t>
      </w:r>
      <w:r w:rsidRPr="002405D3">
        <w:rPr>
          <w:i/>
          <w:iCs/>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se aborda específicamente el cumplimiento de las condiciones mutuamente acordadas o convenidas, a saber: “1. 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p>
    <w:p w:rsidR="0050487D" w:rsidRPr="002405D3" w:rsidRDefault="0050487D" w:rsidP="0050487D">
      <w:pPr>
        <w:pStyle w:val="Heading1"/>
        <w:spacing w:before="0" w:after="220"/>
        <w:rPr>
          <w:caps w:val="0"/>
          <w:lang w:val="es-419"/>
        </w:rPr>
      </w:pPr>
      <w:bookmarkStart w:id="85" w:name="_Toc124942479"/>
      <w:r w:rsidRPr="002405D3">
        <w:rPr>
          <w:caps w:val="0"/>
          <w:lang w:val="es-419"/>
        </w:rPr>
        <w:t>Protocolo de Nagoya sobre Acceso a los Recursos Genéticos y Participación Justa y Equitativa en los Beneficios que se Deriven de su Utilización al Convenio sobre la Diversidad Biológica (2010)</w:t>
      </w:r>
      <w:bookmarkEnd w:id="85"/>
      <w:r w:rsidRPr="002405D3">
        <w:rPr>
          <w:caps w:val="0"/>
          <w:lang w:val="es-419"/>
        </w:rPr>
        <w:t xml:space="preserve"> </w:t>
      </w:r>
    </w:p>
    <w:p w:rsidR="0050487D" w:rsidRPr="002405D3" w:rsidRDefault="0050487D" w:rsidP="0050487D">
      <w:pPr>
        <w:pStyle w:val="BodyText"/>
        <w:tabs>
          <w:tab w:val="left" w:pos="567"/>
        </w:tabs>
        <w:rPr>
          <w:szCs w:val="22"/>
          <w:lang w:val="es-419"/>
        </w:rPr>
      </w:pPr>
      <w:r w:rsidRPr="002405D3">
        <w:rPr>
          <w:lang w:val="es-419"/>
        </w:rPr>
        <w:t xml:space="preserve">Durante la décima reunión de la Conferencia de las Partes (COP 10), celebrada en Nagoya (Japón) en octubre de 2010, se adoptó un protocolo. Con arreglo al artículo 1, el objetivo del Protocolo es “la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 El Secretario General de las Naciones Unidas será el depositario del Protocolo y lo abrirá a la firma en la Sede de las Naciones Unidas de Nueva York del 2 de febrero de 2011 al 1 de febrero de 2012. </w:t>
      </w:r>
    </w:p>
    <w:p w:rsidR="0050487D" w:rsidRPr="002405D3" w:rsidRDefault="0050487D" w:rsidP="0050487D">
      <w:pPr>
        <w:pStyle w:val="BodyText"/>
        <w:tabs>
          <w:tab w:val="left" w:pos="567"/>
        </w:tabs>
        <w:rPr>
          <w:szCs w:val="22"/>
          <w:lang w:val="es-419"/>
        </w:rPr>
      </w:pPr>
      <w:r w:rsidRPr="002405D3">
        <w:rPr>
          <w:lang w:val="es-419"/>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50487D" w:rsidRPr="002405D3" w:rsidRDefault="0050487D" w:rsidP="0050487D">
      <w:pPr>
        <w:pStyle w:val="Heading1"/>
        <w:spacing w:before="0" w:after="220"/>
        <w:rPr>
          <w:caps w:val="0"/>
          <w:lang w:val="es-419"/>
        </w:rPr>
      </w:pPr>
      <w:bookmarkStart w:id="86" w:name="_Toc124942480"/>
      <w:r w:rsidRPr="002405D3">
        <w:rPr>
          <w:caps w:val="0"/>
          <w:lang w:val="es-419"/>
        </w:rPr>
        <w:t>Nación</w:t>
      </w:r>
      <w:bookmarkEnd w:id="86"/>
    </w:p>
    <w:p w:rsidR="0050487D" w:rsidRPr="002405D3" w:rsidRDefault="0050487D" w:rsidP="0050487D">
      <w:pPr>
        <w:pStyle w:val="BodyText"/>
        <w:tabs>
          <w:tab w:val="left" w:pos="567"/>
        </w:tabs>
        <w:rPr>
          <w:szCs w:val="22"/>
          <w:lang w:val="es-419"/>
        </w:rPr>
      </w:pPr>
      <w:r w:rsidRPr="002405D3">
        <w:rPr>
          <w:lang w:val="es-419"/>
        </w:rPr>
        <w:t xml:space="preserve">Según el Diccionario de la lengua española de la Real Academia Española, “nación” es el “conjunto de los habitantes de un país regido por el mismo gobierno” y “conjunto de personas </w:t>
      </w:r>
      <w:r w:rsidRPr="002405D3">
        <w:rPr>
          <w:lang w:val="es-419"/>
        </w:rPr>
        <w:lastRenderedPageBreak/>
        <w:t xml:space="preserve">de un mismo origen y que generalmente hablan un mismo idioma y tienen una tradición común”. En el </w:t>
      </w:r>
      <w:r w:rsidRPr="002405D3">
        <w:rPr>
          <w:i/>
          <w:iCs/>
          <w:lang w:val="es-419"/>
        </w:rPr>
        <w:t>Acuerdo sobre los ADPIC</w:t>
      </w:r>
      <w:r w:rsidRPr="002405D3">
        <w:rPr>
          <w:lang w:val="es-419"/>
        </w:rPr>
        <w:t>, por “nacionales” se entiende “las personas físicas o jurídicas que tengan domicilio o un establecimiento industrial o comercial, real y efectivo, en ese territorio aduanero”.</w:t>
      </w:r>
      <w:bookmarkStart w:id="87" w:name="_Ref289681765"/>
      <w:r w:rsidRPr="002405D3">
        <w:rPr>
          <w:rStyle w:val="FootnoteReference"/>
          <w:szCs w:val="22"/>
          <w:lang w:val="es-419"/>
        </w:rPr>
        <w:footnoteReference w:id="112"/>
      </w:r>
      <w:bookmarkEnd w:id="87"/>
      <w:r w:rsidRPr="002405D3">
        <w:rPr>
          <w:lang w:val="es-419"/>
        </w:rPr>
        <w:t xml:space="preserve"> La voz “nación” suele connotar que la comunidad está forjada por un mismo origen, cultura e historia, a lo cual se suma no pocas veces una lengua que es común.</w:t>
      </w:r>
      <w:r w:rsidRPr="002405D3">
        <w:rPr>
          <w:rStyle w:val="FootnoteReference"/>
          <w:szCs w:val="22"/>
          <w:lang w:val="es-419"/>
        </w:rPr>
        <w:footnoteReference w:id="113"/>
      </w:r>
      <w:r w:rsidRPr="002405D3">
        <w:rPr>
          <w:lang w:val="es-419"/>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2405D3">
        <w:rPr>
          <w:rStyle w:val="FootnoteReference"/>
          <w:szCs w:val="22"/>
          <w:lang w:val="es-419"/>
        </w:rPr>
        <w:footnoteReference w:id="114"/>
      </w:r>
      <w:r w:rsidRPr="002405D3">
        <w:rPr>
          <w:lang w:val="es-419"/>
        </w:rPr>
        <w:t xml:space="preserve"> </w:t>
      </w:r>
    </w:p>
    <w:p w:rsidR="0050487D" w:rsidRPr="002405D3" w:rsidRDefault="0050487D" w:rsidP="0050487D">
      <w:pPr>
        <w:pStyle w:val="Heading1"/>
        <w:spacing w:before="0" w:after="220"/>
        <w:rPr>
          <w:bCs w:val="0"/>
          <w:caps w:val="0"/>
          <w:lang w:val="es-419"/>
        </w:rPr>
      </w:pPr>
      <w:bookmarkStart w:id="88" w:name="_Toc124942481"/>
      <w:r w:rsidRPr="002405D3">
        <w:rPr>
          <w:caps w:val="0"/>
          <w:lang w:val="es-419"/>
        </w:rPr>
        <w:t>Novedad</w:t>
      </w:r>
      <w:bookmarkEnd w:id="88"/>
    </w:p>
    <w:p w:rsidR="0050487D" w:rsidRPr="002405D3" w:rsidRDefault="0050487D" w:rsidP="0050487D">
      <w:pPr>
        <w:autoSpaceDE w:val="0"/>
        <w:autoSpaceDN w:val="0"/>
        <w:adjustRightInd w:val="0"/>
        <w:spacing w:after="220"/>
        <w:rPr>
          <w:szCs w:val="22"/>
          <w:lang w:val="es-419"/>
        </w:rPr>
      </w:pPr>
      <w:r w:rsidRPr="002405D3">
        <w:rPr>
          <w:lang w:val="es-419"/>
        </w:rPr>
        <w:t>La novedad es uno de los criterios que se aplican en todo examen de patentes para determinar si se concede una patente. Una invención es nueva si no existe en el estado de la técnica.</w:t>
      </w:r>
      <w:r w:rsidRPr="002405D3">
        <w:rPr>
          <w:rStyle w:val="FootnoteReference"/>
          <w:szCs w:val="22"/>
          <w:lang w:val="es-419"/>
        </w:rPr>
        <w:footnoteReference w:id="115"/>
      </w:r>
    </w:p>
    <w:p w:rsidR="0050487D" w:rsidRPr="002405D3" w:rsidRDefault="0050487D" w:rsidP="0050487D">
      <w:pPr>
        <w:keepLines/>
        <w:autoSpaceDE w:val="0"/>
        <w:autoSpaceDN w:val="0"/>
        <w:adjustRightInd w:val="0"/>
        <w:spacing w:after="220"/>
        <w:rPr>
          <w:i/>
          <w:iCs/>
          <w:szCs w:val="22"/>
          <w:lang w:val="es-419"/>
        </w:rPr>
      </w:pPr>
      <w:r w:rsidRPr="002405D3">
        <w:rPr>
          <w:lang w:val="es-419"/>
        </w:rPr>
        <w:t xml:space="preserve">En el artículo 33 del </w:t>
      </w:r>
      <w:r w:rsidRPr="002405D3">
        <w:rPr>
          <w:i/>
          <w:lang w:val="es-419"/>
        </w:rPr>
        <w:t>Tratado de Cooperación en materia de Patentes</w:t>
      </w:r>
      <w:r w:rsidRPr="002405D3">
        <w:rPr>
          <w:lang w:val="es-419"/>
        </w:rPr>
        <w:t xml:space="preserve"> (PCT) se establece lo siguiente con respecto a la novedad: “A los efectos del examen preliminar internacional, se considerará nueva una invención reivindicada si no existe anterioridad en el estado de la técnica, tal como se define en el Reglamento”.</w:t>
      </w:r>
      <w:r w:rsidRPr="002405D3">
        <w:rPr>
          <w:i/>
          <w:lang w:val="es-419"/>
        </w:rPr>
        <w:t xml:space="preserve"> </w:t>
      </w:r>
      <w:r w:rsidRPr="002405D3">
        <w:rPr>
          <w:lang w:val="es-419"/>
        </w:rPr>
        <w:t xml:space="preserve">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 </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54 del </w:t>
      </w:r>
      <w:r w:rsidRPr="002405D3">
        <w:rPr>
          <w:i/>
          <w:lang w:val="es-419"/>
        </w:rPr>
        <w:t>Convenio sobre la Patente Europea</w:t>
      </w:r>
      <w:r w:rsidRPr="002405D3">
        <w:rPr>
          <w:lang w:val="es-419"/>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50487D" w:rsidRPr="002405D3" w:rsidRDefault="0050487D" w:rsidP="0050487D">
      <w:pPr>
        <w:autoSpaceDE w:val="0"/>
        <w:autoSpaceDN w:val="0"/>
        <w:adjustRightInd w:val="0"/>
        <w:spacing w:after="220"/>
        <w:rPr>
          <w:szCs w:val="22"/>
          <w:lang w:val="es-419"/>
        </w:rPr>
      </w:pPr>
      <w:r w:rsidRPr="002405D3">
        <w:rPr>
          <w:lang w:val="es-419"/>
        </w:rPr>
        <w:t>En el artículo 102 del título 35 del Código de los Estados Unidos [condiciones de patentabilidad; novedad], el concepto de “novedad” se define del siguiente modo: 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2405D3">
        <w:rPr>
          <w:rStyle w:val="FootnoteReference"/>
          <w:iCs/>
          <w:szCs w:val="22"/>
          <w:lang w:val="es-419" w:bidi="th-TH"/>
        </w:rPr>
        <w:footnoteReference w:id="116"/>
      </w:r>
      <w:r w:rsidRPr="002405D3">
        <w:rPr>
          <w:lang w:val="es-419"/>
        </w:rPr>
        <w:t xml:space="preserve"> </w:t>
      </w:r>
    </w:p>
    <w:p w:rsidR="0050487D" w:rsidRPr="002405D3" w:rsidRDefault="0050487D" w:rsidP="0050487D">
      <w:pPr>
        <w:pStyle w:val="Heading1"/>
        <w:spacing w:before="0" w:after="220"/>
        <w:rPr>
          <w:bCs w:val="0"/>
          <w:caps w:val="0"/>
          <w:lang w:val="es-419"/>
        </w:rPr>
      </w:pPr>
      <w:bookmarkStart w:id="89" w:name="_Toc124942482"/>
      <w:r w:rsidRPr="002405D3">
        <w:rPr>
          <w:caps w:val="0"/>
          <w:lang w:val="es-419"/>
        </w:rPr>
        <w:lastRenderedPageBreak/>
        <w:t>Ofensivo</w:t>
      </w:r>
      <w:bookmarkEnd w:id="89"/>
    </w:p>
    <w:p w:rsidR="0050487D" w:rsidRPr="002405D3" w:rsidRDefault="0050487D" w:rsidP="0050487D">
      <w:pPr>
        <w:spacing w:after="220"/>
        <w:rPr>
          <w:szCs w:val="22"/>
          <w:lang w:val="es-419"/>
        </w:rPr>
      </w:pPr>
      <w:r w:rsidRPr="002405D3">
        <w:rPr>
          <w:lang w:val="es-419"/>
        </w:rPr>
        <w:t>Según el Diccionario de la lengua española de la Real Academia Española, por “ofensivo” se entiende “que ofende o puede ofender” y, a su vez, “ofender” significa “ir en contra de lo que se tiene comúnmente por bueno, correcto o agradable”.</w:t>
      </w:r>
    </w:p>
    <w:p w:rsidR="0050487D" w:rsidRPr="002405D3" w:rsidRDefault="0050487D" w:rsidP="0050487D">
      <w:pPr>
        <w:pStyle w:val="Heading1"/>
        <w:spacing w:before="0" w:after="220"/>
        <w:rPr>
          <w:bCs w:val="0"/>
          <w:caps w:val="0"/>
          <w:lang w:val="es-419"/>
        </w:rPr>
      </w:pPr>
      <w:bookmarkStart w:id="90" w:name="_Toc124942483"/>
      <w:r w:rsidRPr="002405D3">
        <w:rPr>
          <w:caps w:val="0"/>
          <w:lang w:val="es-419"/>
        </w:rPr>
        <w:t>Patente</w:t>
      </w:r>
      <w:bookmarkEnd w:id="90"/>
    </w:p>
    <w:p w:rsidR="0050487D" w:rsidRPr="002405D3" w:rsidRDefault="0050487D" w:rsidP="0050487D">
      <w:pPr>
        <w:rPr>
          <w:szCs w:val="22"/>
          <w:lang w:val="es-419"/>
        </w:rPr>
      </w:pPr>
      <w:r w:rsidRPr="002405D3">
        <w:rPr>
          <w:lang w:val="es-419"/>
        </w:rPr>
        <w:t xml:space="preserve">Se entiende por patente “un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w:t>
      </w:r>
    </w:p>
    <w:p w:rsidR="0050487D" w:rsidRPr="002405D3" w:rsidRDefault="0050487D" w:rsidP="0050487D">
      <w:pPr>
        <w:spacing w:after="220"/>
        <w:rPr>
          <w:szCs w:val="22"/>
          <w:lang w:val="es-419"/>
        </w:rPr>
      </w:pPr>
      <w:r w:rsidRPr="002405D3">
        <w:rPr>
          <w:lang w:val="es-419"/>
        </w:rPr>
        <w:t>También está limitada territorialmente al país o países a los que se refiere. Una patente es un acuerdo entre un inventor y un país. El acuerdo permite al propietario impedir a terceros fabricar, utilizar o comercializar la invención reivindicada.”</w:t>
      </w:r>
      <w:r w:rsidRPr="002405D3">
        <w:rPr>
          <w:szCs w:val="22"/>
          <w:vertAlign w:val="superscript"/>
          <w:lang w:val="es-419"/>
        </w:rPr>
        <w:footnoteReference w:id="117"/>
      </w:r>
    </w:p>
    <w:p w:rsidR="0050487D" w:rsidRPr="002405D3" w:rsidRDefault="0050487D" w:rsidP="0050487D">
      <w:pPr>
        <w:spacing w:after="220"/>
        <w:rPr>
          <w:szCs w:val="22"/>
          <w:lang w:val="es-419"/>
        </w:rPr>
      </w:pPr>
      <w:r w:rsidRPr="002405D3">
        <w:rPr>
          <w:lang w:val="es-419"/>
        </w:rPr>
        <w:t xml:space="preserve">En el artículo 27.1 del </w:t>
      </w:r>
      <w:r w:rsidRPr="002405D3">
        <w:rPr>
          <w:i/>
          <w:lang w:val="es-419"/>
        </w:rPr>
        <w:t>Acuerdo sobre los Derechos de Propiedad Intelectual relacionados con el Comercio</w:t>
      </w:r>
      <w:r w:rsidRPr="002405D3">
        <w:rPr>
          <w:lang w:val="es-419"/>
        </w:rPr>
        <w:t xml:space="preserve"> (Acuerdo sobre los ADPIC), de la Organización Mundial del Comercio (OMC), se estipula que “[…]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50487D" w:rsidRPr="002405D3" w:rsidRDefault="0050487D" w:rsidP="0050487D">
      <w:pPr>
        <w:pStyle w:val="Heading1"/>
        <w:spacing w:before="0" w:after="180"/>
        <w:rPr>
          <w:bCs w:val="0"/>
          <w:caps w:val="0"/>
          <w:spacing w:val="-180"/>
          <w:lang w:val="es-419"/>
        </w:rPr>
      </w:pPr>
      <w:bookmarkStart w:id="91" w:name="_Toc124942484"/>
      <w:r w:rsidRPr="002405D3">
        <w:rPr>
          <w:caps w:val="0"/>
          <w:lang w:val="es-419"/>
        </w:rPr>
        <w:t>Conservación</w:t>
      </w:r>
      <w:bookmarkEnd w:id="91"/>
    </w:p>
    <w:p w:rsidR="0050487D" w:rsidRPr="002405D3" w:rsidRDefault="0050487D" w:rsidP="0050487D">
      <w:pPr>
        <w:spacing w:after="220"/>
        <w:rPr>
          <w:spacing w:val="-2"/>
          <w:szCs w:val="22"/>
          <w:lang w:val="es-419"/>
        </w:rPr>
      </w:pPr>
      <w:r w:rsidRPr="002405D3">
        <w:rPr>
          <w:lang w:val="es-419"/>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2405D3">
        <w:rPr>
          <w:spacing w:val="-2"/>
          <w:szCs w:val="22"/>
          <w:vertAlign w:val="superscript"/>
          <w:lang w:val="es-419"/>
        </w:rPr>
        <w:footnoteReference w:id="118"/>
      </w:r>
    </w:p>
    <w:p w:rsidR="0050487D" w:rsidRPr="002405D3" w:rsidRDefault="0050487D" w:rsidP="0050487D">
      <w:pPr>
        <w:spacing w:after="220"/>
        <w:rPr>
          <w:spacing w:val="-2"/>
          <w:szCs w:val="22"/>
          <w:lang w:val="es-419"/>
        </w:rPr>
      </w:pPr>
      <w:r w:rsidRPr="002405D3">
        <w:rPr>
          <w:lang w:val="es-419"/>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2405D3">
        <w:rPr>
          <w:i/>
          <w:lang w:val="es-419"/>
        </w:rPr>
        <w:t xml:space="preserve">Convenio sobre la Diversidad Biológica </w:t>
      </w:r>
      <w:r w:rsidRPr="002405D3">
        <w:rPr>
          <w:lang w:val="es-419"/>
        </w:rPr>
        <w:t>(1992) y la UNESCO, se ocupan de los aspectos relacionados con la conservación, conservación y salvaguardia de los conocimientos tradicionales en el contexto de sus respectivas políticas”.</w:t>
      </w:r>
      <w:r w:rsidRPr="002405D3">
        <w:rPr>
          <w:rStyle w:val="FootnoteReference"/>
          <w:spacing w:val="-2"/>
          <w:szCs w:val="22"/>
          <w:lang w:val="es-419"/>
        </w:rPr>
        <w:footnoteReference w:id="119"/>
      </w:r>
    </w:p>
    <w:p w:rsidR="0050487D" w:rsidRPr="002405D3" w:rsidRDefault="0050487D" w:rsidP="0050487D">
      <w:pPr>
        <w:pStyle w:val="Heading1"/>
        <w:spacing w:before="0" w:after="180"/>
        <w:rPr>
          <w:bCs w:val="0"/>
          <w:caps w:val="0"/>
          <w:spacing w:val="-2"/>
          <w:lang w:val="es-419"/>
        </w:rPr>
      </w:pPr>
      <w:bookmarkStart w:id="92" w:name="_Toc124942485"/>
      <w:r w:rsidRPr="002405D3">
        <w:rPr>
          <w:caps w:val="0"/>
          <w:lang w:val="es-419"/>
        </w:rPr>
        <w:lastRenderedPageBreak/>
        <w:t>Consentimiento fundamentado previo</w:t>
      </w:r>
      <w:bookmarkEnd w:id="92"/>
    </w:p>
    <w:p w:rsidR="0050487D" w:rsidRPr="002405D3" w:rsidRDefault="0050487D" w:rsidP="0050487D">
      <w:pPr>
        <w:autoSpaceDE w:val="0"/>
        <w:autoSpaceDN w:val="0"/>
        <w:adjustRightInd w:val="0"/>
        <w:spacing w:after="220"/>
        <w:rPr>
          <w:spacing w:val="-2"/>
          <w:szCs w:val="22"/>
          <w:lang w:val="es-419"/>
        </w:rPr>
      </w:pPr>
      <w:r w:rsidRPr="002405D3">
        <w:rPr>
          <w:lang w:val="es-419"/>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 (1992).</w:t>
      </w:r>
    </w:p>
    <w:p w:rsidR="0050487D" w:rsidRPr="002405D3" w:rsidRDefault="0050487D" w:rsidP="0050487D">
      <w:pPr>
        <w:spacing w:after="220"/>
        <w:rPr>
          <w:spacing w:val="-2"/>
          <w:szCs w:val="22"/>
          <w:lang w:val="es-419"/>
        </w:rPr>
      </w:pPr>
      <w:r w:rsidRPr="002405D3">
        <w:rPr>
          <w:lang w:val="es-419"/>
        </w:rPr>
        <w:t>En lo que respecta al acceso a recursos genéticos, en el artículo 15.5 del CDB se estipula que “estará sometido al consentimiento fundamentado previo de la Parte Contratante que proporciona los recursos, a menos que esa Parte decida otra cosa”.</w:t>
      </w:r>
    </w:p>
    <w:p w:rsidR="0050487D" w:rsidRPr="002405D3" w:rsidRDefault="0050487D" w:rsidP="0050487D">
      <w:pPr>
        <w:spacing w:after="220"/>
        <w:rPr>
          <w:spacing w:val="-2"/>
          <w:szCs w:val="22"/>
          <w:lang w:val="es-419"/>
        </w:rPr>
      </w:pPr>
      <w:r w:rsidRPr="002405D3">
        <w:rPr>
          <w:lang w:val="es-419"/>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50487D" w:rsidRPr="002405D3" w:rsidRDefault="0050487D" w:rsidP="0050487D">
      <w:pPr>
        <w:spacing w:after="220"/>
        <w:rPr>
          <w:spacing w:val="-2"/>
          <w:szCs w:val="22"/>
          <w:lang w:val="es-419"/>
        </w:rPr>
      </w:pPr>
      <w:r w:rsidRPr="002405D3">
        <w:rPr>
          <w:lang w:val="es-419"/>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2405D3">
        <w:rPr>
          <w:rStyle w:val="Title1"/>
          <w:lang w:val="es-419"/>
        </w:rPr>
        <w:t>Declaración Universal sobre el Genoma Humano y los Derechos Humanos</w:t>
      </w:r>
      <w:r w:rsidRPr="002405D3">
        <w:rPr>
          <w:lang w:val="es-419"/>
        </w:rPr>
        <w:t xml:space="preserve"> de 1997, se estipula que </w:t>
      </w:r>
      <w:r w:rsidRPr="002405D3">
        <w:rPr>
          <w:rStyle w:val="longdesc"/>
          <w:lang w:val="es-419"/>
        </w:rPr>
        <w:t>“una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Pr="002405D3">
        <w:rPr>
          <w:lang w:val="es-419"/>
        </w:rPr>
        <w:t xml:space="preserve">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 </w:t>
      </w:r>
    </w:p>
    <w:p w:rsidR="0050487D" w:rsidRPr="002405D3" w:rsidRDefault="0050487D" w:rsidP="0050487D">
      <w:pPr>
        <w:spacing w:after="180"/>
        <w:rPr>
          <w:szCs w:val="22"/>
          <w:lang w:val="es-419"/>
        </w:rPr>
      </w:pPr>
      <w:r w:rsidRPr="002405D3">
        <w:rPr>
          <w:lang w:val="es-419"/>
        </w:rPr>
        <w:t>El concepto ha sido acuñado con el fin de poner en vigor el principio general de la participación de los pueblos indígenas en la decisión, elaboración, ejecución y evaluación de los programas que los afecten.</w:t>
      </w:r>
      <w:r w:rsidRPr="002405D3">
        <w:rPr>
          <w:rStyle w:val="FootnoteReference"/>
          <w:szCs w:val="22"/>
          <w:lang w:val="es-419"/>
        </w:rPr>
        <w:footnoteReference w:id="120"/>
      </w:r>
    </w:p>
    <w:p w:rsidR="0050487D" w:rsidRPr="002405D3" w:rsidRDefault="0050487D" w:rsidP="0050487D">
      <w:pPr>
        <w:spacing w:after="180"/>
        <w:rPr>
          <w:szCs w:val="22"/>
          <w:lang w:val="es-419"/>
        </w:rPr>
      </w:pPr>
      <w:r w:rsidRPr="002405D3">
        <w:rPr>
          <w:lang w:val="es-419"/>
        </w:rPr>
        <w:t xml:space="preserve">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 </w:t>
      </w:r>
    </w:p>
    <w:p w:rsidR="0050487D" w:rsidRPr="002405D3" w:rsidRDefault="0050487D" w:rsidP="0050487D">
      <w:pPr>
        <w:spacing w:after="220"/>
        <w:rPr>
          <w:szCs w:val="22"/>
          <w:lang w:val="es-419"/>
        </w:rPr>
      </w:pPr>
      <w:r w:rsidRPr="002405D3">
        <w:rPr>
          <w:lang w:val="es-419"/>
        </w:rPr>
        <w:lastRenderedPageBreak/>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2405D3">
        <w:rPr>
          <w:rStyle w:val="FootnoteReference"/>
          <w:szCs w:val="22"/>
          <w:lang w:val="es-419"/>
        </w:rPr>
        <w:footnoteReference w:id="121"/>
      </w:r>
    </w:p>
    <w:p w:rsidR="0050487D" w:rsidRPr="002405D3" w:rsidRDefault="0050487D" w:rsidP="0050487D">
      <w:pPr>
        <w:pStyle w:val="Heading1"/>
        <w:spacing w:before="0" w:after="180"/>
        <w:rPr>
          <w:bCs w:val="0"/>
          <w:caps w:val="0"/>
          <w:lang w:val="es-419"/>
        </w:rPr>
      </w:pPr>
      <w:bookmarkStart w:id="93" w:name="_Toc124942486"/>
      <w:r w:rsidRPr="002405D3">
        <w:rPr>
          <w:caps w:val="0"/>
          <w:lang w:val="es-419"/>
        </w:rPr>
        <w:t>Estado de la técnica</w:t>
      </w:r>
      <w:bookmarkEnd w:id="93"/>
    </w:p>
    <w:p w:rsidR="0050487D" w:rsidRPr="002405D3" w:rsidRDefault="0050487D" w:rsidP="0050487D">
      <w:pPr>
        <w:spacing w:after="180"/>
        <w:rPr>
          <w:szCs w:val="22"/>
          <w:lang w:val="es-419"/>
        </w:rPr>
      </w:pPr>
      <w:r w:rsidRPr="002405D3">
        <w:rPr>
          <w:lang w:val="es-419"/>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2405D3">
        <w:rPr>
          <w:rStyle w:val="FootnoteReference"/>
          <w:szCs w:val="22"/>
          <w:lang w:val="es-419"/>
        </w:rPr>
        <w:footnoteReference w:id="122"/>
      </w:r>
    </w:p>
    <w:p w:rsidR="0050487D" w:rsidRPr="002405D3" w:rsidRDefault="0050487D" w:rsidP="0050487D">
      <w:pPr>
        <w:spacing w:after="180"/>
        <w:rPr>
          <w:szCs w:val="22"/>
          <w:lang w:val="es-419"/>
        </w:rPr>
      </w:pPr>
      <w:r w:rsidRPr="002405D3">
        <w:rPr>
          <w:lang w:val="es-419"/>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50487D" w:rsidRPr="002405D3" w:rsidRDefault="0050487D" w:rsidP="0050487D">
      <w:pPr>
        <w:autoSpaceDE w:val="0"/>
        <w:autoSpaceDN w:val="0"/>
        <w:adjustRightInd w:val="0"/>
        <w:spacing w:after="180"/>
        <w:rPr>
          <w:szCs w:val="22"/>
          <w:lang w:val="es-419"/>
        </w:rPr>
      </w:pPr>
      <w:r w:rsidRPr="002405D3">
        <w:rPr>
          <w:lang w:val="es-419"/>
        </w:rPr>
        <w:t xml:space="preserve">En el caso de Europa, en el artículo 54.2 del </w:t>
      </w:r>
      <w:r w:rsidRPr="002405D3">
        <w:rPr>
          <w:i/>
          <w:lang w:val="es-419"/>
        </w:rPr>
        <w:t>Convenio sobre la Patente Europea</w:t>
      </w:r>
      <w:r w:rsidRPr="002405D3">
        <w:rPr>
          <w:lang w:val="es-419"/>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2405D3">
        <w:rPr>
          <w:i/>
          <w:lang w:val="es-419"/>
        </w:rPr>
        <w:t>Directrices de Examen de la Oficina Europea de Patentes</w:t>
      </w:r>
      <w:r w:rsidRPr="002405D3">
        <w:rPr>
          <w:lang w:val="es-419"/>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rsidR="0050487D" w:rsidRPr="002405D3" w:rsidRDefault="0050487D" w:rsidP="0050487D">
      <w:pPr>
        <w:autoSpaceDE w:val="0"/>
        <w:autoSpaceDN w:val="0"/>
        <w:adjustRightInd w:val="0"/>
        <w:spacing w:after="220"/>
        <w:rPr>
          <w:szCs w:val="22"/>
          <w:lang w:val="es-419"/>
        </w:rPr>
      </w:pPr>
      <w:r w:rsidRPr="002405D3">
        <w:rPr>
          <w:lang w:val="es-419"/>
        </w:rPr>
        <w:t>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2405D3">
        <w:rPr>
          <w:rStyle w:val="FootnoteReference"/>
          <w:szCs w:val="22"/>
          <w:lang w:val="es-419" w:bidi="th-TH"/>
        </w:rPr>
        <w:footnoteReference w:id="123"/>
      </w:r>
    </w:p>
    <w:p w:rsidR="0050487D" w:rsidRPr="002405D3" w:rsidRDefault="0050487D" w:rsidP="0050487D">
      <w:pPr>
        <w:autoSpaceDE w:val="0"/>
        <w:autoSpaceDN w:val="0"/>
        <w:adjustRightInd w:val="0"/>
        <w:spacing w:after="220"/>
        <w:rPr>
          <w:lang w:val="es-419"/>
        </w:rPr>
      </w:pPr>
      <w:r w:rsidRPr="002405D3">
        <w:rPr>
          <w:lang w:val="es-419"/>
        </w:rPr>
        <w:lastRenderedPageBreak/>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2405D3">
        <w:rPr>
          <w:rStyle w:val="FootnoteReference"/>
          <w:lang w:val="es-419" w:bidi="th-TH"/>
        </w:rPr>
        <w:footnoteReference w:id="124"/>
      </w:r>
    </w:p>
    <w:p w:rsidR="0050487D" w:rsidRPr="002405D3" w:rsidRDefault="0050487D" w:rsidP="0050487D">
      <w:pPr>
        <w:pStyle w:val="Heading1"/>
        <w:spacing w:before="0" w:after="220"/>
        <w:rPr>
          <w:bCs w:val="0"/>
          <w:caps w:val="0"/>
          <w:lang w:val="es-419"/>
        </w:rPr>
      </w:pPr>
      <w:bookmarkStart w:id="94" w:name="_Toc124942487"/>
      <w:r w:rsidRPr="002405D3">
        <w:rPr>
          <w:caps w:val="0"/>
          <w:lang w:val="es-419"/>
        </w:rPr>
        <w:t>Protección</w:t>
      </w:r>
      <w:bookmarkEnd w:id="94"/>
    </w:p>
    <w:p w:rsidR="0050487D" w:rsidRPr="002405D3" w:rsidRDefault="0050487D" w:rsidP="0050487D">
      <w:pPr>
        <w:autoSpaceDE w:val="0"/>
        <w:autoSpaceDN w:val="0"/>
        <w:adjustRightInd w:val="0"/>
        <w:spacing w:after="220"/>
        <w:rPr>
          <w:szCs w:val="22"/>
          <w:lang w:val="es-419"/>
        </w:rPr>
      </w:pPr>
      <w:r w:rsidRPr="002405D3">
        <w:rPr>
          <w:lang w:val="es-419"/>
        </w:rPr>
        <w:t>En el contexto del CIG, por “protección” se entiende generalmente la protección de los conocimientos tradicionales y las expresiones culturales tradicionales contra algún tipo de utilización no autorizada por terceros.</w:t>
      </w:r>
      <w:r w:rsidRPr="002405D3">
        <w:rPr>
          <w:szCs w:val="22"/>
          <w:vertAlign w:val="superscript"/>
          <w:lang w:val="es-419"/>
        </w:rPr>
        <w:footnoteReference w:id="125"/>
      </w:r>
      <w:r w:rsidRPr="002405D3">
        <w:rPr>
          <w:lang w:val="es-419"/>
        </w:rPr>
        <w:t xml:space="preserve"> Se han desarrollado y aplicado dos formas de protección.</w:t>
      </w:r>
    </w:p>
    <w:p w:rsidR="0050487D" w:rsidRPr="002405D3" w:rsidRDefault="0050487D" w:rsidP="0050487D">
      <w:pPr>
        <w:autoSpaceDE w:val="0"/>
        <w:autoSpaceDN w:val="0"/>
        <w:adjustRightInd w:val="0"/>
        <w:spacing w:after="220"/>
        <w:outlineLvl w:val="0"/>
        <w:rPr>
          <w:i/>
          <w:szCs w:val="22"/>
          <w:u w:val="single"/>
          <w:lang w:val="es-419"/>
        </w:rPr>
      </w:pPr>
      <w:bookmarkStart w:id="95" w:name="_Toc124942488"/>
      <w:r w:rsidRPr="002405D3">
        <w:rPr>
          <w:i/>
          <w:u w:val="single"/>
          <w:lang w:val="es-419"/>
        </w:rPr>
        <w:t>Protección positiva</w:t>
      </w:r>
      <w:bookmarkEnd w:id="95"/>
    </w:p>
    <w:p w:rsidR="0050487D" w:rsidRPr="002405D3" w:rsidRDefault="0050487D" w:rsidP="0050487D">
      <w:pPr>
        <w:autoSpaceDE w:val="0"/>
        <w:autoSpaceDN w:val="0"/>
        <w:adjustRightInd w:val="0"/>
        <w:rPr>
          <w:szCs w:val="22"/>
          <w:lang w:val="es-419"/>
        </w:rPr>
      </w:pPr>
      <w:r w:rsidRPr="002405D3">
        <w:rPr>
          <w:lang w:val="es-419"/>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2405D3">
        <w:rPr>
          <w:szCs w:val="22"/>
          <w:vertAlign w:val="superscript"/>
          <w:lang w:val="es-419"/>
        </w:rPr>
        <w:footnoteReference w:id="126"/>
      </w:r>
      <w:r w:rsidRPr="002405D3">
        <w:rPr>
          <w:lang w:val="es-419"/>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w:t>
      </w:r>
    </w:p>
    <w:p w:rsidR="0050487D" w:rsidRPr="002405D3" w:rsidRDefault="0050487D" w:rsidP="0050487D">
      <w:pPr>
        <w:autoSpaceDE w:val="0"/>
        <w:autoSpaceDN w:val="0"/>
        <w:adjustRightInd w:val="0"/>
        <w:spacing w:after="220"/>
        <w:rPr>
          <w:szCs w:val="22"/>
          <w:lang w:val="es-419"/>
        </w:rPr>
      </w:pPr>
      <w:r w:rsidRPr="002405D3">
        <w:rPr>
          <w:lang w:val="es-419"/>
        </w:rPr>
        <w:t>beneficios; sin embargo, los poseedores de conocimientos tradicionales y de expresiones culturales tradicionales también podrán utilizar ese tipo de protección para establecer sus propias empresas sobre la base de tales conocimientos.</w:t>
      </w:r>
      <w:r w:rsidRPr="002405D3">
        <w:rPr>
          <w:rStyle w:val="FootnoteReference"/>
          <w:szCs w:val="22"/>
          <w:lang w:val="es-419"/>
        </w:rPr>
        <w:footnoteReference w:id="127"/>
      </w:r>
    </w:p>
    <w:p w:rsidR="0050487D" w:rsidRPr="002405D3" w:rsidRDefault="0050487D" w:rsidP="0050487D">
      <w:pPr>
        <w:autoSpaceDE w:val="0"/>
        <w:autoSpaceDN w:val="0"/>
        <w:adjustRightInd w:val="0"/>
        <w:spacing w:after="220"/>
        <w:outlineLvl w:val="0"/>
        <w:rPr>
          <w:i/>
          <w:szCs w:val="22"/>
          <w:u w:val="single"/>
          <w:lang w:val="es-419"/>
        </w:rPr>
      </w:pPr>
      <w:bookmarkStart w:id="96" w:name="_Toc124942489"/>
      <w:r w:rsidRPr="002405D3">
        <w:rPr>
          <w:i/>
          <w:u w:val="single"/>
          <w:lang w:val="es-419"/>
        </w:rPr>
        <w:t>Protección preventiva</w:t>
      </w:r>
      <w:bookmarkEnd w:id="96"/>
    </w:p>
    <w:p w:rsidR="0050487D" w:rsidRPr="002405D3" w:rsidRDefault="0050487D" w:rsidP="0050487D">
      <w:pPr>
        <w:autoSpaceDE w:val="0"/>
        <w:autoSpaceDN w:val="0"/>
        <w:adjustRightInd w:val="0"/>
        <w:spacing w:after="220"/>
        <w:rPr>
          <w:szCs w:val="22"/>
          <w:lang w:val="es-419"/>
        </w:rPr>
      </w:pPr>
      <w:r w:rsidRPr="002405D3">
        <w:rPr>
          <w:lang w:val="es-419"/>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2405D3">
        <w:rPr>
          <w:szCs w:val="22"/>
          <w:vertAlign w:val="superscript"/>
          <w:lang w:val="es-419"/>
        </w:rPr>
        <w:footnoteReference w:id="128"/>
      </w:r>
      <w:r w:rsidRPr="002405D3">
        <w:rPr>
          <w:lang w:val="es-419"/>
        </w:rPr>
        <w:t xml:space="preserve"> La protección preventiva de los conocimientos tradicionales prevé medidas para impedir o invalidar patentes que reivindican ilegítimamente como invenciones conocimientos tradicionales preexistentes.</w:t>
      </w:r>
    </w:p>
    <w:p w:rsidR="0050487D" w:rsidRPr="002405D3" w:rsidRDefault="0050487D" w:rsidP="0050487D">
      <w:pPr>
        <w:pStyle w:val="Heading1"/>
        <w:spacing w:before="0" w:after="220"/>
        <w:rPr>
          <w:bCs w:val="0"/>
          <w:caps w:val="0"/>
          <w:lang w:val="es-419"/>
        </w:rPr>
      </w:pPr>
      <w:bookmarkStart w:id="97" w:name="_Toc124942490"/>
      <w:r w:rsidRPr="002405D3">
        <w:rPr>
          <w:caps w:val="0"/>
          <w:lang w:val="es-419"/>
        </w:rPr>
        <w:t>Protocolo</w:t>
      </w:r>
      <w:bookmarkEnd w:id="97"/>
    </w:p>
    <w:p w:rsidR="0050487D" w:rsidRPr="002405D3" w:rsidRDefault="0050487D" w:rsidP="0050487D">
      <w:pPr>
        <w:autoSpaceDE w:val="0"/>
        <w:autoSpaceDN w:val="0"/>
        <w:adjustRightInd w:val="0"/>
        <w:spacing w:after="220"/>
        <w:rPr>
          <w:szCs w:val="22"/>
          <w:lang w:val="es-419"/>
        </w:rPr>
      </w:pPr>
      <w:r w:rsidRPr="002405D3">
        <w:rPr>
          <w:lang w:val="es-419"/>
        </w:rPr>
        <w:t xml:space="preserve">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w:t>
      </w:r>
      <w:r w:rsidRPr="002405D3">
        <w:rPr>
          <w:lang w:val="es-419"/>
        </w:rPr>
        <w:lastRenderedPageBreak/>
        <w:t>lograr determinados objetivos que no hayan podido alcanzarse mediante otros instrumentos legislativos. En tanto que directrices oficiales u oficiosas de conducta, los protocolos pueden contribuir a estrechar vínculos y a crear otros nuevos.</w:t>
      </w:r>
      <w:r w:rsidRPr="002405D3">
        <w:rPr>
          <w:rStyle w:val="FootnoteReference"/>
          <w:szCs w:val="22"/>
          <w:lang w:val="es-419"/>
        </w:rPr>
        <w:footnoteReference w:id="129"/>
      </w:r>
    </w:p>
    <w:p w:rsidR="0050487D" w:rsidRPr="002405D3" w:rsidRDefault="0050487D" w:rsidP="0050487D">
      <w:pPr>
        <w:pStyle w:val="Heading1"/>
        <w:spacing w:before="0" w:after="220"/>
        <w:rPr>
          <w:bCs w:val="0"/>
          <w:caps w:val="0"/>
          <w:lang w:val="es-419"/>
        </w:rPr>
      </w:pPr>
      <w:bookmarkStart w:id="98" w:name="_Toc124942491"/>
      <w:r w:rsidRPr="002405D3">
        <w:rPr>
          <w:caps w:val="0"/>
          <w:lang w:val="es-419"/>
        </w:rPr>
        <w:t>Proveedores y beneficiarios de recursos genéticos</w:t>
      </w:r>
      <w:bookmarkEnd w:id="98"/>
      <w:r w:rsidRPr="002405D3">
        <w:rPr>
          <w:caps w:val="0"/>
          <w:lang w:val="es-419"/>
        </w:rPr>
        <w:t xml:space="preserve"> </w:t>
      </w:r>
    </w:p>
    <w:p w:rsidR="0050487D" w:rsidRPr="002405D3" w:rsidRDefault="0050487D" w:rsidP="0050487D">
      <w:pPr>
        <w:pStyle w:val="BodyText"/>
        <w:tabs>
          <w:tab w:val="left" w:pos="567"/>
        </w:tabs>
        <w:rPr>
          <w:szCs w:val="22"/>
          <w:lang w:val="es-419"/>
        </w:rPr>
      </w:pPr>
      <w:r w:rsidRPr="002405D3">
        <w:rPr>
          <w:lang w:val="es-419"/>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2405D3">
        <w:rPr>
          <w:rStyle w:val="FootnoteReference"/>
          <w:szCs w:val="22"/>
          <w:lang w:val="es-419"/>
        </w:rPr>
        <w:footnoteReference w:id="130"/>
      </w:r>
    </w:p>
    <w:p w:rsidR="0050487D" w:rsidRPr="002405D3" w:rsidRDefault="0050487D" w:rsidP="0050487D">
      <w:pPr>
        <w:pStyle w:val="Heading1"/>
        <w:spacing w:before="0" w:after="220"/>
        <w:rPr>
          <w:bCs w:val="0"/>
          <w:caps w:val="0"/>
          <w:lang w:val="es-419"/>
        </w:rPr>
      </w:pPr>
      <w:bookmarkStart w:id="99" w:name="_Toc124942492"/>
      <w:r w:rsidRPr="002405D3">
        <w:rPr>
          <w:caps w:val="0"/>
          <w:lang w:val="es-419"/>
        </w:rPr>
        <w:t>Dominio público</w:t>
      </w:r>
      <w:bookmarkEnd w:id="99"/>
    </w:p>
    <w:p w:rsidR="0050487D" w:rsidRPr="002405D3" w:rsidRDefault="0050487D" w:rsidP="0050487D">
      <w:pPr>
        <w:spacing w:after="220"/>
        <w:rPr>
          <w:szCs w:val="22"/>
          <w:lang w:val="es-419"/>
        </w:rPr>
      </w:pPr>
      <w:r w:rsidRPr="002405D3">
        <w:rPr>
          <w:lang w:val="es-419"/>
        </w:rPr>
        <w:t>En general, se considera que una obra forma parte del dominio público si no existe una restricción jurídica sobre su uso por parte del público.</w:t>
      </w:r>
      <w:r w:rsidRPr="002405D3">
        <w:rPr>
          <w:rStyle w:val="FootnoteReference"/>
          <w:szCs w:val="22"/>
          <w:lang w:val="es-419"/>
        </w:rPr>
        <w:footnoteReference w:id="131"/>
      </w:r>
    </w:p>
    <w:p w:rsidR="0050487D" w:rsidRPr="002405D3" w:rsidRDefault="0050487D" w:rsidP="0050487D">
      <w:pPr>
        <w:autoSpaceDE w:val="0"/>
        <w:autoSpaceDN w:val="0"/>
        <w:adjustRightInd w:val="0"/>
        <w:spacing w:after="220"/>
        <w:rPr>
          <w:szCs w:val="22"/>
          <w:lang w:val="es-419"/>
        </w:rPr>
      </w:pPr>
      <w:r w:rsidRPr="002405D3">
        <w:rPr>
          <w:lang w:val="es-419"/>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50487D" w:rsidRPr="002405D3" w:rsidRDefault="0050487D" w:rsidP="0050487D">
      <w:pPr>
        <w:rPr>
          <w:szCs w:val="22"/>
          <w:lang w:val="es-419"/>
        </w:rPr>
      </w:pPr>
      <w:r w:rsidRPr="002405D3">
        <w:rPr>
          <w:lang w:val="es-419"/>
        </w:rPr>
        <w:t xml:space="preserve">En el ámbito del derecho de autor y los derechos conexos, el dominio público se define como “el ámbito de las obras y objetos de derechos conexos que pueden utilizarse y explotarse por cualquiera sin </w:t>
      </w:r>
    </w:p>
    <w:p w:rsidR="0050487D" w:rsidRPr="002405D3" w:rsidRDefault="0050487D" w:rsidP="0050487D">
      <w:pPr>
        <w:spacing w:after="220"/>
        <w:rPr>
          <w:szCs w:val="22"/>
          <w:lang w:val="es-419"/>
        </w:rPr>
      </w:pPr>
      <w:r w:rsidRPr="002405D3">
        <w:rPr>
          <w:lang w:val="es-419"/>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Pr="002405D3">
        <w:rPr>
          <w:rStyle w:val="FootnoteReference"/>
          <w:szCs w:val="22"/>
          <w:lang w:val="es-419"/>
        </w:rPr>
        <w:footnoteReference w:id="132"/>
      </w:r>
    </w:p>
    <w:p w:rsidR="0050487D" w:rsidRPr="002405D3" w:rsidRDefault="0050487D" w:rsidP="0050487D">
      <w:pPr>
        <w:spacing w:after="220"/>
        <w:rPr>
          <w:szCs w:val="22"/>
          <w:lang w:val="es-419"/>
        </w:rPr>
      </w:pPr>
      <w:r w:rsidRPr="002405D3">
        <w:rPr>
          <w:lang w:val="es-419"/>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2405D3">
        <w:rPr>
          <w:rStyle w:val="FootnoteReference"/>
          <w:szCs w:val="22"/>
          <w:lang w:val="es-419"/>
        </w:rPr>
        <w:footnoteReference w:id="133"/>
      </w:r>
    </w:p>
    <w:p w:rsidR="0050487D" w:rsidRPr="002405D3" w:rsidRDefault="0050487D" w:rsidP="0050487D">
      <w:pPr>
        <w:keepLines/>
        <w:spacing w:after="220"/>
        <w:rPr>
          <w:szCs w:val="22"/>
          <w:lang w:val="es-419"/>
        </w:rPr>
      </w:pPr>
      <w:r w:rsidRPr="002405D3">
        <w:rPr>
          <w:lang w:val="es-419"/>
        </w:rPr>
        <w:lastRenderedPageBreak/>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WIPO/GRTKF/IC/17/INF/8) se examina más detenidamente el significado de “dominio público” en relación con los CC.TT. y las ECT.</w:t>
      </w:r>
    </w:p>
    <w:p w:rsidR="0050487D" w:rsidRPr="002405D3" w:rsidRDefault="0050487D" w:rsidP="0050487D">
      <w:pPr>
        <w:pStyle w:val="Heading1"/>
        <w:spacing w:before="0" w:after="220"/>
        <w:rPr>
          <w:bCs w:val="0"/>
          <w:caps w:val="0"/>
          <w:lang w:val="es-419"/>
        </w:rPr>
      </w:pPr>
      <w:bookmarkStart w:id="100" w:name="_Toc124942493"/>
      <w:r w:rsidRPr="002405D3">
        <w:rPr>
          <w:caps w:val="0"/>
          <w:lang w:val="es-419"/>
        </w:rPr>
        <w:t>Disponibilidad pública</w:t>
      </w:r>
      <w:bookmarkEnd w:id="100"/>
    </w:p>
    <w:p w:rsidR="0050487D" w:rsidRPr="002405D3" w:rsidRDefault="0050487D" w:rsidP="0050487D">
      <w:pPr>
        <w:spacing w:after="220"/>
        <w:rPr>
          <w:szCs w:val="22"/>
          <w:lang w:val="es-419"/>
        </w:rPr>
      </w:pPr>
      <w:r w:rsidRPr="002405D3">
        <w:rPr>
          <w:lang w:val="es-419"/>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2405D3">
        <w:rPr>
          <w:szCs w:val="22"/>
          <w:vertAlign w:val="superscript"/>
          <w:lang w:val="es-419"/>
        </w:rPr>
        <w:footnoteReference w:id="134"/>
      </w:r>
    </w:p>
    <w:p w:rsidR="0050487D" w:rsidRPr="002405D3" w:rsidRDefault="0050487D" w:rsidP="0050487D">
      <w:pPr>
        <w:pStyle w:val="Heading1"/>
        <w:spacing w:before="0" w:after="220"/>
        <w:rPr>
          <w:bCs w:val="0"/>
          <w:caps w:val="0"/>
          <w:lang w:val="es-419"/>
        </w:rPr>
      </w:pPr>
      <w:bookmarkStart w:id="101" w:name="_Toc124942494"/>
      <w:r w:rsidRPr="002405D3">
        <w:rPr>
          <w:caps w:val="0"/>
          <w:lang w:val="es-419"/>
        </w:rPr>
        <w:t>Registros de conocimientos tradicionales</w:t>
      </w:r>
      <w:bookmarkEnd w:id="101"/>
    </w:p>
    <w:p w:rsidR="0050487D" w:rsidRPr="002405D3" w:rsidRDefault="0050487D" w:rsidP="0050487D">
      <w:pPr>
        <w:spacing w:after="220"/>
        <w:rPr>
          <w:szCs w:val="22"/>
          <w:lang w:val="es-419"/>
        </w:rPr>
      </w:pPr>
      <w:r w:rsidRPr="002405D3">
        <w:rPr>
          <w:lang w:val="es-419"/>
        </w:rPr>
        <w:t>Los registros se pueden analizar desde varias perspectivas distintas. Según su naturaleza jurídica, los registros pueden ser o bien declarativos o bien constitutivos en función del sistema en el que se basan.</w:t>
      </w:r>
      <w:r w:rsidRPr="002405D3">
        <w:rPr>
          <w:rStyle w:val="FootnoteReference"/>
          <w:szCs w:val="22"/>
          <w:lang w:val="es-419"/>
        </w:rPr>
        <w:footnoteReference w:id="135"/>
      </w:r>
      <w:r w:rsidRPr="002405D3">
        <w:rPr>
          <w:lang w:val="es-419"/>
        </w:rPr>
        <w:t xml:space="preserve"> </w:t>
      </w:r>
    </w:p>
    <w:p w:rsidR="0050487D" w:rsidRPr="002405D3" w:rsidRDefault="0050487D" w:rsidP="0050487D">
      <w:pPr>
        <w:spacing w:after="220"/>
        <w:rPr>
          <w:szCs w:val="22"/>
          <w:lang w:val="es-419"/>
        </w:rPr>
      </w:pPr>
      <w:r w:rsidRPr="002405D3">
        <w:rPr>
          <w:lang w:val="es-419"/>
        </w:rPr>
        <w:t>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2405D3">
        <w:rPr>
          <w:rStyle w:val="FootnoteReference"/>
          <w:szCs w:val="22"/>
          <w:lang w:val="es-419"/>
        </w:rPr>
        <w:footnoteReference w:id="136"/>
      </w:r>
    </w:p>
    <w:p w:rsidR="0050487D" w:rsidRPr="002405D3" w:rsidRDefault="0050487D" w:rsidP="0050487D">
      <w:pPr>
        <w:spacing w:after="220"/>
        <w:rPr>
          <w:szCs w:val="22"/>
          <w:lang w:val="es-419"/>
        </w:rPr>
      </w:pPr>
      <w:r w:rsidRPr="002405D3">
        <w:rPr>
          <w:lang w:val="es-419"/>
        </w:rPr>
        <w:lastRenderedPageBreak/>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2405D3">
        <w:rPr>
          <w:rStyle w:val="FootnoteReference"/>
          <w:lang w:val="es-419"/>
        </w:rPr>
        <w:t xml:space="preserve"> </w:t>
      </w:r>
      <w:r w:rsidRPr="002405D3">
        <w:rPr>
          <w:rStyle w:val="FootnoteReference"/>
          <w:szCs w:val="22"/>
          <w:lang w:val="es-419"/>
        </w:rPr>
        <w:footnoteReference w:id="137"/>
      </w:r>
    </w:p>
    <w:p w:rsidR="0050487D" w:rsidRPr="002405D3" w:rsidRDefault="0050487D" w:rsidP="0050487D">
      <w:pPr>
        <w:spacing w:after="220"/>
        <w:rPr>
          <w:szCs w:val="22"/>
          <w:lang w:val="es-419"/>
        </w:rPr>
      </w:pPr>
      <w:r w:rsidRPr="002405D3">
        <w:rPr>
          <w:lang w:val="es-419"/>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2405D3">
        <w:rPr>
          <w:szCs w:val="22"/>
          <w:vertAlign w:val="superscript"/>
          <w:lang w:val="es-419"/>
        </w:rPr>
        <w:footnoteReference w:id="138"/>
      </w:r>
      <w:r w:rsidRPr="002405D3">
        <w:rPr>
          <w:lang w:val="es-419"/>
        </w:rPr>
        <w:t xml:space="preserve"> En el artículo 15 se estipula además que “[l]os conocimientos colectivos de los pueblos indígenas podrán ser inscritos en tres tipos de registros: a) Registro Nacional Público de Conocimientos Colectivos de los Pueblos Indígenas; b) Registro Nacional Confidencial de Conocimientos Colectivos de los Pueblos Indígenas; c) Registros Locales de Conocimientos Colectivos de los Pueblos indígenas.”</w:t>
      </w:r>
    </w:p>
    <w:p w:rsidR="0050487D" w:rsidRPr="002405D3" w:rsidRDefault="0050487D" w:rsidP="0050487D">
      <w:pPr>
        <w:pStyle w:val="Heading1"/>
        <w:spacing w:before="0" w:after="220"/>
        <w:rPr>
          <w:bCs w:val="0"/>
          <w:caps w:val="0"/>
          <w:lang w:val="es-419"/>
        </w:rPr>
      </w:pPr>
      <w:bookmarkStart w:id="102" w:name="_Toc124942495"/>
      <w:r w:rsidRPr="002405D3">
        <w:rPr>
          <w:caps w:val="0"/>
          <w:lang w:val="es-419"/>
        </w:rPr>
        <w:t>Reputación</w:t>
      </w:r>
      <w:bookmarkEnd w:id="102"/>
    </w:p>
    <w:p w:rsidR="0050487D" w:rsidRPr="002405D3" w:rsidRDefault="0050487D" w:rsidP="0050487D">
      <w:pPr>
        <w:spacing w:after="220"/>
        <w:rPr>
          <w:szCs w:val="22"/>
          <w:lang w:val="es-419"/>
        </w:rPr>
      </w:pPr>
      <w:r w:rsidRPr="002405D3">
        <w:rPr>
          <w:lang w:val="es-419"/>
        </w:rPr>
        <w:t>Según el Diccionario de la lengua española de la Real Academia Española, es el “prestigio o estima en que son tenidos alguien o algo”. La reputación está amparada por los derechos morales del autor.</w:t>
      </w:r>
      <w:r w:rsidRPr="002405D3">
        <w:rPr>
          <w:rStyle w:val="FootnoteReference"/>
          <w:szCs w:val="22"/>
          <w:lang w:val="es-419"/>
        </w:rPr>
        <w:footnoteReference w:id="139"/>
      </w:r>
      <w:r w:rsidRPr="002405D3">
        <w:rPr>
          <w:lang w:val="es-419"/>
        </w:rPr>
        <w:t xml:space="preserve"> En la Conferencia de Revisión de Bruselas del </w:t>
      </w:r>
      <w:r w:rsidRPr="002405D3">
        <w:rPr>
          <w:i/>
          <w:lang w:val="es-419"/>
        </w:rPr>
        <w:t>Convenio de Berna para la Protección de las Obras Literarias y Artísticas</w:t>
      </w:r>
      <w:r w:rsidRPr="002405D3">
        <w:rPr>
          <w:lang w:val="es-419"/>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2405D3">
        <w:rPr>
          <w:rStyle w:val="FootnoteReference"/>
          <w:szCs w:val="22"/>
          <w:lang w:val="es-419"/>
        </w:rPr>
        <w:footnoteReference w:id="140"/>
      </w:r>
    </w:p>
    <w:p w:rsidR="0050487D" w:rsidRPr="002405D3" w:rsidRDefault="0050487D" w:rsidP="0050487D">
      <w:pPr>
        <w:pStyle w:val="Heading1"/>
        <w:spacing w:before="0" w:after="220"/>
        <w:rPr>
          <w:bCs w:val="0"/>
          <w:caps w:val="0"/>
          <w:lang w:val="es-419"/>
        </w:rPr>
      </w:pPr>
      <w:bookmarkStart w:id="103" w:name="_Toc124942496"/>
      <w:r w:rsidRPr="002405D3">
        <w:rPr>
          <w:caps w:val="0"/>
          <w:lang w:val="es-419"/>
        </w:rPr>
        <w:t>Sagrado</w:t>
      </w:r>
      <w:bookmarkEnd w:id="103"/>
    </w:p>
    <w:p w:rsidR="0050487D" w:rsidRPr="002405D3" w:rsidRDefault="0050487D" w:rsidP="0050487D">
      <w:pPr>
        <w:spacing w:after="220"/>
        <w:rPr>
          <w:szCs w:val="22"/>
          <w:lang w:val="es-419"/>
        </w:rPr>
      </w:pPr>
      <w:r w:rsidRPr="002405D3">
        <w:rPr>
          <w:lang w:val="es-419"/>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2405D3">
        <w:rPr>
          <w:rStyle w:val="FootnoteReference"/>
          <w:szCs w:val="22"/>
          <w:lang w:val="es-419"/>
        </w:rPr>
        <w:footnoteReference w:id="141"/>
      </w:r>
      <w:r w:rsidRPr="002405D3">
        <w:rPr>
          <w:lang w:val="es-419"/>
        </w:rPr>
        <w:t xml:space="preserve"> </w:t>
      </w:r>
    </w:p>
    <w:p w:rsidR="0050487D" w:rsidRPr="002405D3" w:rsidRDefault="0050487D" w:rsidP="0050487D">
      <w:pPr>
        <w:spacing w:after="220"/>
        <w:rPr>
          <w:szCs w:val="22"/>
          <w:lang w:val="es-419"/>
        </w:rPr>
      </w:pPr>
      <w:r w:rsidRPr="002405D3">
        <w:rPr>
          <w:lang w:val="es-419"/>
        </w:rPr>
        <w:t xml:space="preserve">Los conocimientos tradicionales sagrados son los conocimientos tradicionales que comprenden elementos religiosos y espirituales, por ejemplo, tótems, ceremonias especiales, objetos y conocimientos sagrados, plegarias, cantos e interpretaciones, así como símbolos sagrados; la </w:t>
      </w:r>
      <w:r w:rsidRPr="002405D3">
        <w:rPr>
          <w:lang w:val="es-419"/>
        </w:rPr>
        <w:lastRenderedPageBreak/>
        <w:t>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50487D" w:rsidRPr="002405D3" w:rsidRDefault="0050487D" w:rsidP="0050487D">
      <w:pPr>
        <w:spacing w:after="220"/>
        <w:rPr>
          <w:szCs w:val="22"/>
          <w:lang w:val="es-419"/>
        </w:rPr>
      </w:pPr>
      <w:r w:rsidRPr="002405D3">
        <w:rPr>
          <w:lang w:val="es-419"/>
        </w:rPr>
        <w:t xml:space="preserve">En el </w:t>
      </w:r>
      <w:r w:rsidRPr="002405D3">
        <w:rPr>
          <w:i/>
          <w:lang w:val="es-419"/>
        </w:rPr>
        <w:t>Informe de la OMPI relativo a las misiones exploratorias sobre propiedad intelectual y conocimientos tradicionales</w:t>
      </w:r>
      <w:r w:rsidRPr="002405D3">
        <w:rPr>
          <w:lang w:val="es-419"/>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 En ciertos sistemas de CC.TT., se supone que las creencias y los códigos culturales explican o guían las consecuencias de las actividades de la vida.</w:t>
      </w:r>
      <w:r w:rsidRPr="002405D3">
        <w:rPr>
          <w:rStyle w:val="FootnoteReference"/>
          <w:szCs w:val="22"/>
          <w:lang w:val="es-419"/>
        </w:rPr>
        <w:footnoteReference w:id="142"/>
      </w:r>
      <w:r w:rsidRPr="002405D3">
        <w:rPr>
          <w:lang w:val="es-419"/>
        </w:rPr>
        <w:t xml:space="preserve"> En el Perú, algunos “conocimientos se transmitían de generación en generación en un ‘libro’ sagrado no escrito”.</w:t>
      </w:r>
      <w:r w:rsidRPr="002405D3">
        <w:rPr>
          <w:rStyle w:val="FootnoteReference"/>
          <w:szCs w:val="22"/>
          <w:lang w:val="es-419"/>
        </w:rPr>
        <w:footnoteReference w:id="143"/>
      </w:r>
      <w:r w:rsidRPr="002405D3">
        <w:rPr>
          <w:lang w:val="es-419"/>
        </w:rPr>
        <w:t xml:space="preserve"> El núcleo de los CC.TT. sagrados y secretos es ponderado de distintas maneras en las comunidades indígenas y locales, y se almacena, se transmite y se registra de maneras diferentes.</w:t>
      </w:r>
    </w:p>
    <w:p w:rsidR="0050487D" w:rsidRPr="002405D3" w:rsidRDefault="0050487D" w:rsidP="0050487D">
      <w:pPr>
        <w:spacing w:after="220"/>
        <w:rPr>
          <w:szCs w:val="22"/>
          <w:lang w:val="es-419"/>
        </w:rPr>
      </w:pPr>
      <w:r w:rsidRPr="002405D3">
        <w:rPr>
          <w:lang w:val="es-419"/>
        </w:rPr>
        <w:t>Desde la perspectiva de la PI, y en particular de la labor del Comité, pueden formularse las observaciones siguientes:</w:t>
      </w:r>
    </w:p>
    <w:p w:rsidR="0050487D" w:rsidRPr="002405D3" w:rsidRDefault="0050487D" w:rsidP="0050487D">
      <w:pPr>
        <w:numPr>
          <w:ilvl w:val="0"/>
          <w:numId w:val="27"/>
        </w:numPr>
        <w:spacing w:after="120"/>
        <w:rPr>
          <w:szCs w:val="22"/>
          <w:u w:val="single"/>
          <w:lang w:val="es-419"/>
        </w:rPr>
      </w:pPr>
      <w:r w:rsidRPr="002405D3">
        <w:rPr>
          <w:lang w:val="es-419"/>
        </w:rPr>
        <w:t>una delegación preguntó si los CC.TT. sagrados se tendrían en cuenta al examinar la protección por PI de los CC.TT.</w:t>
      </w:r>
      <w:r w:rsidRPr="002405D3">
        <w:rPr>
          <w:rStyle w:val="FootnoteReference"/>
          <w:szCs w:val="22"/>
          <w:lang w:val="es-419"/>
        </w:rPr>
        <w:footnoteReference w:id="144"/>
      </w:r>
      <w:r w:rsidRPr="002405D3">
        <w:rPr>
          <w:lang w:val="es-419"/>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r w:rsidRPr="002405D3">
        <w:rPr>
          <w:rStyle w:val="FootnoteReference"/>
          <w:szCs w:val="22"/>
          <w:lang w:val="es-419"/>
        </w:rPr>
        <w:footnoteReference w:id="145"/>
      </w:r>
      <w:r w:rsidRPr="002405D3">
        <w:rPr>
          <w:lang w:val="es-419"/>
        </w:rPr>
        <w:t xml:space="preserve"> </w:t>
      </w:r>
    </w:p>
    <w:p w:rsidR="0050487D" w:rsidRPr="002405D3" w:rsidRDefault="0050487D" w:rsidP="0050487D">
      <w:pPr>
        <w:numPr>
          <w:ilvl w:val="0"/>
          <w:numId w:val="27"/>
        </w:numPr>
        <w:spacing w:after="220"/>
        <w:rPr>
          <w:szCs w:val="22"/>
          <w:u w:val="single"/>
          <w:lang w:val="es-419"/>
        </w:rPr>
      </w:pPr>
      <w:r w:rsidRPr="002405D3">
        <w:rPr>
          <w:lang w:val="es-419"/>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2405D3">
        <w:rPr>
          <w:rStyle w:val="FootnoteReference"/>
          <w:szCs w:val="22"/>
          <w:lang w:val="es-419"/>
        </w:rPr>
        <w:footnoteReference w:id="146"/>
      </w:r>
      <w:r w:rsidRPr="002405D3">
        <w:rPr>
          <w:lang w:val="es-419"/>
        </w:rPr>
        <w:t xml:space="preserve"> </w:t>
      </w:r>
    </w:p>
    <w:p w:rsidR="0050487D" w:rsidRPr="002405D3" w:rsidRDefault="0050487D" w:rsidP="0050487D">
      <w:pPr>
        <w:pStyle w:val="Heading1"/>
        <w:spacing w:before="0" w:after="220"/>
        <w:rPr>
          <w:bCs w:val="0"/>
          <w:caps w:val="0"/>
          <w:lang w:val="es-419"/>
        </w:rPr>
      </w:pPr>
      <w:bookmarkStart w:id="104" w:name="_Toc124942497"/>
      <w:r w:rsidRPr="002405D3">
        <w:rPr>
          <w:caps w:val="0"/>
          <w:lang w:val="es-419"/>
        </w:rPr>
        <w:lastRenderedPageBreak/>
        <w:t>Salvaguardia</w:t>
      </w:r>
      <w:bookmarkEnd w:id="104"/>
    </w:p>
    <w:p w:rsidR="0050487D" w:rsidRPr="002405D3" w:rsidRDefault="0050487D" w:rsidP="0050487D">
      <w:pPr>
        <w:spacing w:after="220"/>
        <w:rPr>
          <w:i/>
          <w:szCs w:val="22"/>
          <w:lang w:val="es-419"/>
        </w:rPr>
      </w:pPr>
      <w:r w:rsidRPr="002405D3">
        <w:rPr>
          <w:lang w:val="es-419"/>
        </w:rPr>
        <w:t xml:space="preserve">En la </w:t>
      </w:r>
      <w:r w:rsidRPr="002405D3">
        <w:rPr>
          <w:i/>
          <w:iCs/>
          <w:lang w:val="es-419"/>
        </w:rPr>
        <w:t>Convención para la Salvaguardia del Patrimonio Cultural Inmaterial</w:t>
      </w:r>
      <w:r w:rsidRPr="002405D3">
        <w:rPr>
          <w:lang w:val="es-419"/>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50487D" w:rsidRPr="002405D3" w:rsidRDefault="0050487D" w:rsidP="0050487D">
      <w:pPr>
        <w:pStyle w:val="Heading1"/>
        <w:spacing w:before="0" w:after="220"/>
        <w:rPr>
          <w:bCs w:val="0"/>
          <w:caps w:val="0"/>
          <w:lang w:val="es-419"/>
        </w:rPr>
      </w:pPr>
      <w:bookmarkStart w:id="105" w:name="_Toc124942498"/>
      <w:r w:rsidRPr="002405D3">
        <w:rPr>
          <w:caps w:val="0"/>
          <w:lang w:val="es-419"/>
        </w:rPr>
        <w:t>Secreto</w:t>
      </w:r>
      <w:bookmarkEnd w:id="105"/>
    </w:p>
    <w:p w:rsidR="0050487D" w:rsidRPr="002405D3" w:rsidRDefault="0050487D" w:rsidP="0050487D">
      <w:pPr>
        <w:spacing w:after="220"/>
        <w:rPr>
          <w:szCs w:val="22"/>
          <w:lang w:val="es-419"/>
        </w:rPr>
      </w:pPr>
      <w:r w:rsidRPr="002405D3">
        <w:rPr>
          <w:lang w:val="es-419"/>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2405D3">
        <w:rPr>
          <w:rStyle w:val="FootnoteReference"/>
          <w:szCs w:val="22"/>
          <w:lang w:val="es-419"/>
        </w:rPr>
        <w:footnoteReference w:id="147"/>
      </w:r>
    </w:p>
    <w:p w:rsidR="0050487D" w:rsidRPr="002405D3" w:rsidRDefault="0050487D" w:rsidP="0050487D">
      <w:pPr>
        <w:pStyle w:val="Heading1"/>
        <w:spacing w:before="0" w:after="220"/>
        <w:rPr>
          <w:bCs w:val="0"/>
          <w:iCs/>
          <w:caps w:val="0"/>
          <w:lang w:val="es-419"/>
        </w:rPr>
      </w:pPr>
      <w:bookmarkStart w:id="106" w:name="_Toc124942499"/>
      <w:r w:rsidRPr="002405D3">
        <w:rPr>
          <w:caps w:val="0"/>
          <w:lang w:val="es-419"/>
        </w:rPr>
        <w:t>Fuente de los recursos genéticos</w:t>
      </w:r>
      <w:bookmarkEnd w:id="106"/>
    </w:p>
    <w:p w:rsidR="0050487D" w:rsidRPr="002405D3" w:rsidRDefault="0050487D" w:rsidP="0050487D">
      <w:pPr>
        <w:spacing w:after="220"/>
        <w:rPr>
          <w:szCs w:val="22"/>
          <w:lang w:val="es-419"/>
        </w:rPr>
      </w:pPr>
      <w:r w:rsidRPr="002405D3">
        <w:rPr>
          <w:lang w:val="es-419"/>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2405D3">
        <w:rPr>
          <w:rStyle w:val="FootnoteReference"/>
          <w:iCs/>
          <w:szCs w:val="22"/>
          <w:lang w:val="es-419"/>
        </w:rPr>
        <w:footnoteReference w:id="148"/>
      </w:r>
      <w:r w:rsidRPr="002405D3">
        <w:rPr>
          <w:lang w:val="es-419"/>
        </w:rPr>
        <w:t xml:space="preserve"> y, por último, el Sistema Multilateral del Tratado Internacional de la FAO,</w:t>
      </w:r>
      <w:r w:rsidRPr="002405D3">
        <w:rPr>
          <w:rStyle w:val="FootnoteReference"/>
          <w:iCs/>
          <w:szCs w:val="22"/>
          <w:lang w:val="es-419"/>
        </w:rPr>
        <w:footnoteReference w:id="149"/>
      </w:r>
      <w:r w:rsidRPr="002405D3">
        <w:rPr>
          <w:lang w:val="es-419"/>
        </w:rPr>
        <w:t xml:space="preserve"> las comunidades indígenas y locales;</w:t>
      </w:r>
      <w:r w:rsidRPr="002405D3">
        <w:rPr>
          <w:rStyle w:val="FootnoteReference"/>
          <w:iCs/>
          <w:szCs w:val="22"/>
          <w:lang w:val="es-419"/>
        </w:rPr>
        <w:footnoteReference w:id="150"/>
      </w:r>
      <w:r w:rsidRPr="002405D3">
        <w:rPr>
          <w:lang w:val="es-419"/>
        </w:rPr>
        <w:t xml:space="preserve"> y las fuentes secundarias, incluidas en particular las colecciones </w:t>
      </w:r>
      <w:r w:rsidRPr="002405D3">
        <w:rPr>
          <w:i/>
          <w:lang w:val="es-419"/>
        </w:rPr>
        <w:t>ex situ</w:t>
      </w:r>
      <w:r w:rsidRPr="002405D3">
        <w:rPr>
          <w:lang w:val="es-419"/>
        </w:rPr>
        <w:t xml:space="preserve"> y la literatura científica”.</w:t>
      </w:r>
      <w:r w:rsidRPr="002405D3">
        <w:rPr>
          <w:rStyle w:val="FootnoteReference"/>
          <w:iCs/>
          <w:szCs w:val="22"/>
          <w:lang w:val="es-419"/>
        </w:rPr>
        <w:footnoteReference w:id="151"/>
      </w:r>
    </w:p>
    <w:p w:rsidR="0050487D" w:rsidRPr="002405D3" w:rsidRDefault="0050487D" w:rsidP="0050487D">
      <w:pPr>
        <w:pStyle w:val="Heading1"/>
        <w:spacing w:before="0" w:after="220"/>
        <w:rPr>
          <w:bCs w:val="0"/>
          <w:i/>
          <w:iCs/>
          <w:caps w:val="0"/>
          <w:lang w:val="es-419"/>
        </w:rPr>
      </w:pPr>
      <w:bookmarkStart w:id="107" w:name="_Toc124942500"/>
      <w:r w:rsidRPr="002405D3">
        <w:rPr>
          <w:caps w:val="0"/>
          <w:lang w:val="es-419"/>
        </w:rPr>
        <w:t>Sui géneris</w:t>
      </w:r>
      <w:bookmarkEnd w:id="107"/>
    </w:p>
    <w:p w:rsidR="0050487D" w:rsidRPr="002405D3" w:rsidRDefault="0050487D" w:rsidP="0050487D">
      <w:pPr>
        <w:spacing w:after="220"/>
        <w:rPr>
          <w:szCs w:val="22"/>
          <w:lang w:val="es-419"/>
        </w:rPr>
      </w:pPr>
      <w:r w:rsidRPr="002405D3">
        <w:rPr>
          <w:lang w:val="es-419"/>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w:t>
      </w:r>
      <w:r w:rsidRPr="002405D3">
        <w:rPr>
          <w:i/>
          <w:lang w:val="es-419"/>
        </w:rPr>
        <w:t xml:space="preserve"> </w:t>
      </w:r>
      <w:r w:rsidRPr="002405D3">
        <w:rPr>
          <w:lang w:val="es-419"/>
        </w:rPr>
        <w:t xml:space="preserve">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 Se dispone ya de varios ejemplos de derechos sui géneris de propiedad intelectual, tales como los derechos de obtentor, según se establece en el </w:t>
      </w:r>
      <w:r w:rsidRPr="002405D3">
        <w:rPr>
          <w:i/>
          <w:lang w:val="es-419"/>
        </w:rPr>
        <w:lastRenderedPageBreak/>
        <w:t>Convenio Internacional para la Protección de las Obtenciones Vegetales</w:t>
      </w:r>
      <w:r w:rsidRPr="002405D3">
        <w:rPr>
          <w:lang w:val="es-419"/>
        </w:rPr>
        <w:t xml:space="preserve"> de 1991 (“el Convenio de la UPOV”), y la protección de la propiedad intelectual de los circuitos integrados, como se refleja en el </w:t>
      </w:r>
      <w:r w:rsidRPr="002405D3">
        <w:rPr>
          <w:i/>
          <w:lang w:val="es-419"/>
        </w:rPr>
        <w:t>Tratado sobre la Propiedad Intelectual respecto de los Circuitos Integrados</w:t>
      </w:r>
      <w:r w:rsidRPr="002405D3">
        <w:rPr>
          <w:lang w:val="es-419"/>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 </w:t>
      </w:r>
    </w:p>
    <w:p w:rsidR="0050487D" w:rsidRPr="002405D3" w:rsidRDefault="0050487D" w:rsidP="0050487D">
      <w:pPr>
        <w:pStyle w:val="Heading1"/>
        <w:spacing w:before="0" w:after="220"/>
        <w:rPr>
          <w:bCs w:val="0"/>
          <w:iCs/>
          <w:caps w:val="0"/>
          <w:lang w:val="es-419"/>
        </w:rPr>
      </w:pPr>
      <w:bookmarkStart w:id="108" w:name="_Toc124942501"/>
      <w:r w:rsidRPr="002405D3">
        <w:rPr>
          <w:caps w:val="0"/>
          <w:lang w:val="es-419"/>
        </w:rPr>
        <w:t>Protocolo de Swakopmund sobre la Protección de los Conocimientos Tradicionales y las Expresiones del Folclore</w:t>
      </w:r>
      <w:bookmarkEnd w:id="108"/>
    </w:p>
    <w:p w:rsidR="0050487D" w:rsidRPr="002405D3" w:rsidRDefault="0050487D" w:rsidP="0050487D">
      <w:pPr>
        <w:spacing w:after="220"/>
        <w:rPr>
          <w:szCs w:val="22"/>
          <w:lang w:val="es-419"/>
        </w:rPr>
      </w:pPr>
      <w:r w:rsidRPr="002405D3">
        <w:rPr>
          <w:lang w:val="es-419"/>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rsidR="0050487D" w:rsidRPr="002405D3" w:rsidRDefault="0050487D" w:rsidP="0050487D">
      <w:pPr>
        <w:pStyle w:val="Heading1"/>
        <w:spacing w:before="0" w:after="220"/>
        <w:rPr>
          <w:bCs w:val="0"/>
          <w:iCs/>
          <w:caps w:val="0"/>
          <w:lang w:val="es-419"/>
        </w:rPr>
      </w:pPr>
      <w:bookmarkStart w:id="109" w:name="_Toc124942502"/>
      <w:r w:rsidRPr="002405D3">
        <w:rPr>
          <w:caps w:val="0"/>
          <w:lang w:val="es-419"/>
        </w:rPr>
        <w:t>Expresiones materiales (o tangibles)</w:t>
      </w:r>
      <w:bookmarkEnd w:id="109"/>
    </w:p>
    <w:p w:rsidR="0050487D" w:rsidRPr="002405D3" w:rsidRDefault="0050487D" w:rsidP="0050487D">
      <w:pPr>
        <w:spacing w:after="220"/>
        <w:rPr>
          <w:szCs w:val="22"/>
          <w:lang w:val="es-419"/>
        </w:rPr>
      </w:pPr>
      <w:r w:rsidRPr="002405D3">
        <w:rPr>
          <w:lang w:val="es-419"/>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50487D" w:rsidRPr="002405D3" w:rsidRDefault="0050487D" w:rsidP="0050487D">
      <w:pPr>
        <w:spacing w:after="220"/>
        <w:rPr>
          <w:szCs w:val="22"/>
          <w:lang w:val="es-419"/>
        </w:rPr>
      </w:pPr>
      <w:r w:rsidRPr="002405D3">
        <w:rPr>
          <w:lang w:val="es-419"/>
        </w:rPr>
        <w:t>Las expresiones tangibles son las expresiones incorporadas en objetos materiales.</w:t>
      </w:r>
      <w:r w:rsidRPr="002405D3">
        <w:rPr>
          <w:rStyle w:val="FootnoteReference"/>
          <w:szCs w:val="22"/>
          <w:lang w:val="es-419"/>
        </w:rPr>
        <w:footnoteReference w:id="152"/>
      </w:r>
      <w:r w:rsidRPr="002405D3">
        <w:rPr>
          <w:lang w:val="es-419"/>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50487D" w:rsidRPr="002405D3" w:rsidRDefault="0050487D" w:rsidP="0050487D">
      <w:pPr>
        <w:numPr>
          <w:ilvl w:val="2"/>
          <w:numId w:val="14"/>
        </w:numPr>
        <w:tabs>
          <w:tab w:val="clear" w:pos="2340"/>
          <w:tab w:val="num" w:pos="1080"/>
        </w:tabs>
        <w:autoSpaceDE w:val="0"/>
        <w:autoSpaceDN w:val="0"/>
        <w:adjustRightInd w:val="0"/>
        <w:ind w:left="1080" w:firstLine="0"/>
        <w:rPr>
          <w:szCs w:val="22"/>
          <w:lang w:val="es-419"/>
        </w:rPr>
      </w:pPr>
      <w:r w:rsidRPr="002405D3">
        <w:rPr>
          <w:lang w:val="es-419"/>
        </w:rPr>
        <w:t>las obras de arte popular y tradicional, tales como: dibujos, pinturas, tallas, esculturas, alfarería, terracota, mosaico, ebanistería, forja, joyería, cestería, labores de punto, textiles, tapices, trajes;</w:t>
      </w:r>
    </w:p>
    <w:p w:rsidR="0050487D" w:rsidRPr="002405D3" w:rsidRDefault="0050487D" w:rsidP="0050487D">
      <w:pPr>
        <w:numPr>
          <w:ilvl w:val="2"/>
          <w:numId w:val="14"/>
        </w:numPr>
        <w:tabs>
          <w:tab w:val="clear" w:pos="2340"/>
          <w:tab w:val="num" w:pos="1080"/>
        </w:tabs>
        <w:autoSpaceDE w:val="0"/>
        <w:autoSpaceDN w:val="0"/>
        <w:adjustRightInd w:val="0"/>
        <w:ind w:left="1080" w:firstLine="0"/>
        <w:rPr>
          <w:szCs w:val="22"/>
          <w:lang w:val="es-419"/>
        </w:rPr>
      </w:pPr>
      <w:r w:rsidRPr="002405D3">
        <w:rPr>
          <w:lang w:val="es-419"/>
        </w:rPr>
        <w:t>los instrumentos musicales;</w:t>
      </w:r>
    </w:p>
    <w:p w:rsidR="0050487D" w:rsidRPr="002405D3" w:rsidRDefault="0050487D" w:rsidP="0050487D">
      <w:pPr>
        <w:numPr>
          <w:ilvl w:val="2"/>
          <w:numId w:val="14"/>
        </w:numPr>
        <w:tabs>
          <w:tab w:val="clear" w:pos="2340"/>
          <w:tab w:val="num" w:pos="1080"/>
        </w:tabs>
        <w:autoSpaceDE w:val="0"/>
        <w:autoSpaceDN w:val="0"/>
        <w:adjustRightInd w:val="0"/>
        <w:spacing w:after="220"/>
        <w:ind w:left="1080" w:firstLine="0"/>
        <w:rPr>
          <w:szCs w:val="22"/>
          <w:lang w:val="es-419"/>
        </w:rPr>
      </w:pPr>
      <w:r w:rsidRPr="002405D3">
        <w:rPr>
          <w:lang w:val="es-419"/>
        </w:rPr>
        <w:t>las obras arquitectónicas.</w:t>
      </w:r>
      <w:r w:rsidRPr="002405D3">
        <w:rPr>
          <w:vertAlign w:val="superscript"/>
          <w:lang w:val="es-419"/>
        </w:rPr>
        <w:footnoteReference w:id="153"/>
      </w:r>
    </w:p>
    <w:p w:rsidR="0050487D" w:rsidRPr="002405D3" w:rsidRDefault="0050487D" w:rsidP="0050487D">
      <w:pPr>
        <w:pStyle w:val="Heading1"/>
        <w:spacing w:before="0" w:after="220"/>
        <w:rPr>
          <w:bCs w:val="0"/>
          <w:iCs/>
          <w:caps w:val="0"/>
          <w:lang w:val="es-419"/>
        </w:rPr>
      </w:pPr>
      <w:bookmarkStart w:id="110" w:name="_Toc124942503"/>
      <w:r w:rsidRPr="002405D3">
        <w:rPr>
          <w:caps w:val="0"/>
          <w:lang w:val="es-419"/>
        </w:rPr>
        <w:t>Contexto tradicional</w:t>
      </w:r>
      <w:bookmarkEnd w:id="110"/>
    </w:p>
    <w:p w:rsidR="0050487D" w:rsidRPr="002405D3" w:rsidRDefault="0050487D" w:rsidP="0050487D">
      <w:pPr>
        <w:spacing w:after="220"/>
        <w:rPr>
          <w:szCs w:val="22"/>
          <w:lang w:val="es-419"/>
        </w:rPr>
      </w:pPr>
      <w:r w:rsidRPr="002405D3">
        <w:rPr>
          <w:lang w:val="es-419"/>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2405D3">
        <w:rPr>
          <w:rStyle w:val="FootnoteReference"/>
          <w:szCs w:val="22"/>
          <w:lang w:val="es-419"/>
        </w:rPr>
        <w:footnoteReference w:id="154"/>
      </w:r>
      <w:r w:rsidRPr="002405D3">
        <w:rPr>
          <w:lang w:val="es-419"/>
        </w:rPr>
        <w:t xml:space="preserve"> El término “tradicional” significa “que las expresiones culturales se derivan o se basan en la tradición y se identifican o asocian con un pueblo indígena o tradicional determinado y pueden practicarse de manera tradicional”.</w:t>
      </w:r>
      <w:r w:rsidRPr="002405D3">
        <w:rPr>
          <w:rStyle w:val="FootnoteReference"/>
          <w:szCs w:val="22"/>
          <w:lang w:val="es-419"/>
        </w:rPr>
        <w:footnoteReference w:id="155"/>
      </w:r>
      <w:r w:rsidRPr="002405D3">
        <w:rPr>
          <w:lang w:val="es-419"/>
        </w:rPr>
        <w:t xml:space="preserve"> </w:t>
      </w:r>
      <w:r w:rsidRPr="002405D3">
        <w:rPr>
          <w:lang w:val="es-419"/>
        </w:rPr>
        <w:lastRenderedPageBreak/>
        <w:t>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2405D3">
        <w:rPr>
          <w:rStyle w:val="FootnoteReference"/>
          <w:szCs w:val="22"/>
          <w:lang w:val="es-419"/>
        </w:rPr>
        <w:footnoteReference w:id="156"/>
      </w:r>
    </w:p>
    <w:p w:rsidR="0050487D" w:rsidRPr="002405D3" w:rsidRDefault="0050487D" w:rsidP="0050487D">
      <w:pPr>
        <w:spacing w:after="220"/>
        <w:rPr>
          <w:szCs w:val="22"/>
          <w:lang w:val="es-419"/>
        </w:rPr>
      </w:pPr>
      <w:r w:rsidRPr="002405D3">
        <w:rPr>
          <w:lang w:val="es-419"/>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2405D3">
        <w:rPr>
          <w:rStyle w:val="FootnoteReference"/>
          <w:szCs w:val="22"/>
          <w:lang w:val="es-419"/>
        </w:rPr>
        <w:footnoteReference w:id="157"/>
      </w:r>
    </w:p>
    <w:p w:rsidR="0050487D" w:rsidRPr="002405D3" w:rsidRDefault="0050487D" w:rsidP="0050487D">
      <w:pPr>
        <w:pStyle w:val="Heading1"/>
        <w:spacing w:before="0" w:after="220"/>
        <w:rPr>
          <w:bCs w:val="0"/>
          <w:iCs/>
          <w:caps w:val="0"/>
          <w:lang w:val="es-419"/>
        </w:rPr>
      </w:pPr>
      <w:bookmarkStart w:id="111" w:name="_Toc124942504"/>
      <w:r w:rsidRPr="002405D3">
        <w:rPr>
          <w:caps w:val="0"/>
          <w:lang w:val="es-419"/>
        </w:rPr>
        <w:t>Expresiones culturales tradicionales</w:t>
      </w:r>
      <w:bookmarkEnd w:id="111"/>
    </w:p>
    <w:p w:rsidR="0050487D" w:rsidRPr="002405D3" w:rsidRDefault="0050487D" w:rsidP="0050487D">
      <w:pPr>
        <w:spacing w:after="220"/>
        <w:rPr>
          <w:szCs w:val="22"/>
          <w:lang w:val="es-419"/>
        </w:rPr>
      </w:pPr>
      <w:r w:rsidRPr="002405D3">
        <w:rPr>
          <w:lang w:val="es-419"/>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 </w:t>
      </w:r>
    </w:p>
    <w:p w:rsidR="0050487D" w:rsidRPr="002405D3" w:rsidRDefault="0050487D" w:rsidP="0050487D">
      <w:pPr>
        <w:pStyle w:val="Heading1"/>
        <w:spacing w:before="0" w:after="220"/>
        <w:rPr>
          <w:bCs w:val="0"/>
          <w:iCs/>
          <w:caps w:val="0"/>
          <w:lang w:val="es-419"/>
        </w:rPr>
      </w:pPr>
      <w:bookmarkStart w:id="112" w:name="_Toc124942505"/>
      <w:r w:rsidRPr="002405D3">
        <w:rPr>
          <w:caps w:val="0"/>
          <w:lang w:val="es-419"/>
        </w:rPr>
        <w:t>Culturas tradicionales</w:t>
      </w:r>
      <w:bookmarkEnd w:id="112"/>
    </w:p>
    <w:p w:rsidR="0050487D" w:rsidRPr="002405D3" w:rsidRDefault="0050487D" w:rsidP="0050487D">
      <w:pPr>
        <w:spacing w:after="220"/>
        <w:rPr>
          <w:szCs w:val="22"/>
          <w:lang w:val="es-419"/>
        </w:rPr>
      </w:pPr>
      <w:r w:rsidRPr="002405D3">
        <w:rPr>
          <w:lang w:val="es-419"/>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2405D3">
        <w:rPr>
          <w:rStyle w:val="FootnoteReference"/>
          <w:szCs w:val="22"/>
          <w:lang w:val="es-419"/>
        </w:rPr>
        <w:footnoteReference w:id="158"/>
      </w:r>
    </w:p>
    <w:p w:rsidR="0050487D" w:rsidRPr="002405D3" w:rsidRDefault="0050487D" w:rsidP="0050487D">
      <w:pPr>
        <w:pStyle w:val="Heading1"/>
        <w:spacing w:before="0" w:after="220"/>
        <w:rPr>
          <w:bCs w:val="0"/>
          <w:iCs/>
          <w:caps w:val="0"/>
          <w:lang w:val="es-419"/>
        </w:rPr>
      </w:pPr>
      <w:bookmarkStart w:id="113" w:name="_Toc124942506"/>
      <w:r w:rsidRPr="002405D3">
        <w:rPr>
          <w:caps w:val="0"/>
          <w:lang w:val="es-419"/>
        </w:rPr>
        <w:t>Conocimientos ecológicos tradicionales/conocimientos medioambientales tradicionales</w:t>
      </w:r>
      <w:bookmarkEnd w:id="113"/>
    </w:p>
    <w:p w:rsidR="0050487D" w:rsidRPr="002405D3" w:rsidRDefault="0050487D" w:rsidP="0050487D">
      <w:pPr>
        <w:spacing w:after="220"/>
        <w:rPr>
          <w:szCs w:val="22"/>
          <w:lang w:val="es-419"/>
        </w:rPr>
      </w:pPr>
      <w:r w:rsidRPr="002405D3">
        <w:rPr>
          <w:lang w:val="es-419"/>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2405D3">
        <w:rPr>
          <w:szCs w:val="22"/>
          <w:vertAlign w:val="superscript"/>
          <w:lang w:val="es-419"/>
        </w:rPr>
        <w:footnoteReference w:id="159"/>
      </w:r>
      <w:r w:rsidRPr="002405D3">
        <w:rPr>
          <w:lang w:val="es-419"/>
        </w:rPr>
        <w:t xml:space="preserve"> (Traducción oficiosa de la Oficina Internacional).</w:t>
      </w:r>
    </w:p>
    <w:p w:rsidR="0050487D" w:rsidRPr="002405D3" w:rsidRDefault="0050487D" w:rsidP="0050487D">
      <w:pPr>
        <w:spacing w:after="220"/>
        <w:rPr>
          <w:szCs w:val="22"/>
          <w:lang w:val="es-419"/>
        </w:rPr>
      </w:pPr>
      <w:r w:rsidRPr="002405D3">
        <w:rPr>
          <w:lang w:val="es-419"/>
        </w:rPr>
        <w:lastRenderedPageBreak/>
        <w:t>Los conocimientos ecológicos tradicionales también pueden definirse como “un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 (Traducción oficiosa de la Oficina Internacional).</w:t>
      </w:r>
      <w:r w:rsidRPr="002405D3">
        <w:rPr>
          <w:szCs w:val="22"/>
          <w:vertAlign w:val="superscript"/>
          <w:lang w:val="es-419"/>
        </w:rPr>
        <w:footnoteReference w:id="160"/>
      </w:r>
    </w:p>
    <w:p w:rsidR="0050487D" w:rsidRPr="002405D3" w:rsidRDefault="0050487D" w:rsidP="0050487D">
      <w:pPr>
        <w:pStyle w:val="Heading1"/>
        <w:spacing w:before="0" w:after="220"/>
        <w:rPr>
          <w:bCs w:val="0"/>
          <w:iCs/>
          <w:caps w:val="0"/>
          <w:lang w:val="es-419"/>
        </w:rPr>
      </w:pPr>
      <w:bookmarkStart w:id="114" w:name="_Toc124942507"/>
      <w:r w:rsidRPr="002405D3">
        <w:rPr>
          <w:caps w:val="0"/>
          <w:lang w:val="es-419"/>
        </w:rPr>
        <w:t>Conocimientos tradicionales</w:t>
      </w:r>
      <w:bookmarkEnd w:id="114"/>
    </w:p>
    <w:p w:rsidR="0050487D" w:rsidRPr="002405D3" w:rsidRDefault="0050487D" w:rsidP="0050487D">
      <w:pPr>
        <w:spacing w:after="220"/>
        <w:outlineLvl w:val="0"/>
        <w:rPr>
          <w:szCs w:val="22"/>
          <w:lang w:val="es-419"/>
        </w:rPr>
      </w:pPr>
      <w:bookmarkStart w:id="115" w:name="_Toc124942508"/>
      <w:r w:rsidRPr="002405D3">
        <w:rPr>
          <w:lang w:val="es-419"/>
        </w:rPr>
        <w:t>Hasta el momento no se ha aceptado una definición estándar de “conocimientos tradicionales” en el ámbito internacional.</w:t>
      </w:r>
      <w:bookmarkEnd w:id="115"/>
      <w:r w:rsidRPr="002405D3">
        <w:rPr>
          <w:lang w:val="es-419"/>
        </w:rPr>
        <w:t xml:space="preserve"> </w:t>
      </w:r>
    </w:p>
    <w:p w:rsidR="0050487D" w:rsidRPr="002405D3" w:rsidRDefault="0050487D" w:rsidP="0050487D">
      <w:pPr>
        <w:spacing w:after="220"/>
        <w:rPr>
          <w:szCs w:val="22"/>
          <w:lang w:val="es-419"/>
        </w:rPr>
      </w:pPr>
      <w:r w:rsidRPr="002405D3">
        <w:rPr>
          <w:lang w:val="es-419"/>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50487D" w:rsidRPr="002405D3" w:rsidRDefault="0050487D" w:rsidP="0050487D">
      <w:pPr>
        <w:keepLines/>
        <w:spacing w:after="220"/>
        <w:rPr>
          <w:szCs w:val="22"/>
          <w:lang w:val="es-419"/>
        </w:rPr>
      </w:pPr>
      <w:r w:rsidRPr="002405D3">
        <w:rPr>
          <w:lang w:val="es-419"/>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2405D3">
        <w:rPr>
          <w:szCs w:val="22"/>
          <w:vertAlign w:val="superscript"/>
          <w:lang w:val="es-419"/>
        </w:rPr>
        <w:footnoteReference w:id="161"/>
      </w:r>
      <w:r w:rsidRPr="002405D3">
        <w:rPr>
          <w:lang w:val="es-419"/>
        </w:rPr>
        <w:t xml:space="preserve"> </w:t>
      </w:r>
    </w:p>
    <w:p w:rsidR="0050487D" w:rsidRPr="002405D3" w:rsidRDefault="0050487D" w:rsidP="0050487D">
      <w:pPr>
        <w:pStyle w:val="Heading1"/>
        <w:spacing w:before="0" w:after="220"/>
        <w:rPr>
          <w:bCs w:val="0"/>
          <w:iCs/>
          <w:caps w:val="0"/>
          <w:lang w:val="es-419"/>
        </w:rPr>
      </w:pPr>
      <w:bookmarkStart w:id="116" w:name="_Toc124942509"/>
      <w:r w:rsidRPr="002405D3">
        <w:rPr>
          <w:caps w:val="0"/>
          <w:lang w:val="es-419"/>
        </w:rPr>
        <w:t>Biblioteca digital sobre Conocimientos Tradicionales</w:t>
      </w:r>
      <w:bookmarkEnd w:id="116"/>
    </w:p>
    <w:p w:rsidR="0050487D" w:rsidRPr="002405D3" w:rsidRDefault="0050487D" w:rsidP="0050487D">
      <w:pPr>
        <w:spacing w:after="220"/>
        <w:rPr>
          <w:szCs w:val="22"/>
          <w:lang w:val="es-419"/>
        </w:rPr>
      </w:pPr>
      <w:r w:rsidRPr="002405D3">
        <w:rPr>
          <w:lang w:val="es-419"/>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2405D3">
        <w:rPr>
          <w:szCs w:val="22"/>
          <w:vertAlign w:val="superscript"/>
          <w:lang w:val="es-419"/>
        </w:rPr>
        <w:footnoteReference w:id="162"/>
      </w:r>
    </w:p>
    <w:p w:rsidR="0050487D" w:rsidRPr="002405D3" w:rsidRDefault="0050487D" w:rsidP="0050487D">
      <w:pPr>
        <w:spacing w:after="220"/>
        <w:rPr>
          <w:szCs w:val="22"/>
          <w:lang w:val="es-419"/>
        </w:rPr>
      </w:pPr>
      <w:r w:rsidRPr="002405D3">
        <w:rPr>
          <w:lang w:val="es-419"/>
        </w:rPr>
        <w:t xml:space="preserve">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w:t>
      </w:r>
      <w:r w:rsidRPr="002405D3">
        <w:rPr>
          <w:lang w:val="es-419"/>
        </w:rPr>
        <w:lastRenderedPageBreak/>
        <w:t>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2405D3">
        <w:rPr>
          <w:rStyle w:val="FootnoteReference"/>
          <w:szCs w:val="22"/>
          <w:lang w:val="es-419"/>
        </w:rPr>
        <w:footnoteReference w:id="163"/>
      </w:r>
    </w:p>
    <w:p w:rsidR="0050487D" w:rsidRPr="002405D3" w:rsidRDefault="0050487D" w:rsidP="0050487D">
      <w:pPr>
        <w:pStyle w:val="Heading1"/>
        <w:spacing w:before="0" w:after="220"/>
        <w:rPr>
          <w:bCs w:val="0"/>
          <w:iCs/>
          <w:caps w:val="0"/>
          <w:lang w:val="es-419"/>
        </w:rPr>
      </w:pPr>
      <w:bookmarkStart w:id="117" w:name="_Toc124942510"/>
      <w:r w:rsidRPr="002405D3">
        <w:rPr>
          <w:caps w:val="0"/>
          <w:lang w:val="es-419"/>
        </w:rPr>
        <w:t>Clasificación de Recursos sobre Conocimientos Tradicionales</w:t>
      </w:r>
      <w:bookmarkEnd w:id="117"/>
    </w:p>
    <w:p w:rsidR="0050487D" w:rsidRPr="002405D3" w:rsidRDefault="0050487D" w:rsidP="0050487D">
      <w:pPr>
        <w:spacing w:after="220"/>
        <w:rPr>
          <w:szCs w:val="22"/>
          <w:lang w:val="es-419"/>
        </w:rPr>
      </w:pPr>
      <w:r w:rsidRPr="002405D3">
        <w:rPr>
          <w:lang w:val="es-419"/>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2405D3">
        <w:rPr>
          <w:rStyle w:val="FootnoteReference"/>
          <w:szCs w:val="22"/>
          <w:lang w:val="es-419"/>
        </w:rPr>
        <w:footnoteReference w:id="164"/>
      </w:r>
      <w:r w:rsidRPr="002405D3">
        <w:rPr>
          <w:lang w:val="es-419"/>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2405D3">
        <w:rPr>
          <w:szCs w:val="22"/>
          <w:vertAlign w:val="superscript"/>
          <w:lang w:val="es-419"/>
        </w:rPr>
        <w:footnoteReference w:id="165"/>
      </w:r>
      <w:r w:rsidRPr="002405D3">
        <w:rPr>
          <w:lang w:val="es-419"/>
        </w:rPr>
        <w:t xml:space="preserve"> </w:t>
      </w:r>
    </w:p>
    <w:p w:rsidR="0050487D" w:rsidRPr="002405D3" w:rsidRDefault="0050487D" w:rsidP="0050487D">
      <w:pPr>
        <w:pStyle w:val="Heading1"/>
        <w:spacing w:before="0" w:after="220"/>
        <w:rPr>
          <w:bCs w:val="0"/>
          <w:iCs/>
          <w:caps w:val="0"/>
          <w:lang w:val="es-419"/>
        </w:rPr>
      </w:pPr>
      <w:bookmarkStart w:id="118" w:name="_Toc124942511"/>
      <w:r w:rsidRPr="002405D3">
        <w:rPr>
          <w:caps w:val="0"/>
          <w:lang w:val="es-419"/>
        </w:rPr>
        <w:t>Medicina tradicional</w:t>
      </w:r>
      <w:bookmarkEnd w:id="118"/>
    </w:p>
    <w:p w:rsidR="0050487D" w:rsidRPr="002405D3" w:rsidRDefault="0050487D" w:rsidP="0050487D">
      <w:pPr>
        <w:spacing w:after="220"/>
        <w:rPr>
          <w:szCs w:val="22"/>
          <w:lang w:val="es-419"/>
        </w:rPr>
      </w:pPr>
      <w:r w:rsidRPr="002405D3">
        <w:rPr>
          <w:lang w:val="es-419"/>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2405D3">
        <w:rPr>
          <w:szCs w:val="22"/>
          <w:vertAlign w:val="superscript"/>
          <w:lang w:val="es-419"/>
        </w:rPr>
        <w:footnoteReference w:id="166"/>
      </w:r>
      <w:r w:rsidRPr="002405D3">
        <w:rPr>
          <w:lang w:val="es-419"/>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2405D3">
        <w:rPr>
          <w:szCs w:val="22"/>
          <w:vertAlign w:val="superscript"/>
          <w:lang w:val="es-419"/>
        </w:rPr>
        <w:footnoteReference w:id="167"/>
      </w:r>
    </w:p>
    <w:p w:rsidR="0050487D" w:rsidRPr="002405D3" w:rsidRDefault="0050487D" w:rsidP="0050487D">
      <w:pPr>
        <w:pStyle w:val="Heading1"/>
        <w:spacing w:before="0" w:after="220"/>
        <w:rPr>
          <w:bCs w:val="0"/>
          <w:iCs/>
          <w:caps w:val="0"/>
          <w:lang w:val="es-419"/>
        </w:rPr>
      </w:pPr>
      <w:bookmarkStart w:id="119" w:name="_Toc124942512"/>
      <w:r w:rsidRPr="002405D3">
        <w:rPr>
          <w:caps w:val="0"/>
          <w:lang w:val="es-419"/>
        </w:rPr>
        <w:t>Innovaciones y creaciones basadas en la tradición</w:t>
      </w:r>
      <w:bookmarkEnd w:id="119"/>
    </w:p>
    <w:p w:rsidR="0050487D" w:rsidRPr="002405D3" w:rsidRDefault="0050487D" w:rsidP="0050487D">
      <w:pPr>
        <w:spacing w:after="220"/>
        <w:rPr>
          <w:szCs w:val="22"/>
          <w:lang w:val="es-419"/>
        </w:rPr>
      </w:pPr>
      <w:r w:rsidRPr="002405D3">
        <w:rPr>
          <w:lang w:val="es-419"/>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2405D3">
        <w:rPr>
          <w:szCs w:val="22"/>
          <w:vertAlign w:val="superscript"/>
          <w:lang w:val="es-419"/>
        </w:rPr>
        <w:footnoteReference w:id="168"/>
      </w:r>
      <w:r w:rsidRPr="002405D3">
        <w:rPr>
          <w:lang w:val="es-419"/>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w:t>
      </w:r>
      <w:r w:rsidRPr="002405D3">
        <w:rPr>
          <w:lang w:val="es-419"/>
        </w:rPr>
        <w:lastRenderedPageBreak/>
        <w:t>evolucionan constantemente en respuesta a los cambios que se producen en su entorno.”</w:t>
      </w:r>
      <w:r w:rsidRPr="002405D3">
        <w:rPr>
          <w:rStyle w:val="FootnoteReference"/>
          <w:szCs w:val="22"/>
          <w:lang w:val="es-419"/>
        </w:rPr>
        <w:footnoteReference w:id="169"/>
      </w:r>
      <w:r w:rsidRPr="002405D3">
        <w:rPr>
          <w:vertAlign w:val="superscript"/>
          <w:lang w:val="es-419"/>
        </w:rPr>
        <w:t xml:space="preserve"> </w:t>
      </w:r>
      <w:r w:rsidRPr="002405D3">
        <w:rPr>
          <w:lang w:val="es-419"/>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2405D3">
        <w:rPr>
          <w:rStyle w:val="FootnoteReference"/>
          <w:szCs w:val="22"/>
          <w:lang w:val="es-419"/>
        </w:rPr>
        <w:footnoteReference w:id="170"/>
      </w:r>
      <w:r w:rsidRPr="002405D3">
        <w:rPr>
          <w:lang w:val="es-419"/>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2405D3">
        <w:rPr>
          <w:rStyle w:val="FootnoteReference"/>
          <w:szCs w:val="22"/>
          <w:lang w:val="es-419"/>
        </w:rPr>
        <w:footnoteReference w:id="171"/>
      </w:r>
    </w:p>
    <w:p w:rsidR="0050487D" w:rsidRPr="002405D3" w:rsidRDefault="0050487D" w:rsidP="0050487D">
      <w:pPr>
        <w:pStyle w:val="Heading1"/>
        <w:spacing w:before="0" w:after="220"/>
        <w:rPr>
          <w:bCs w:val="0"/>
          <w:iCs/>
          <w:caps w:val="0"/>
          <w:lang w:val="es-419"/>
        </w:rPr>
      </w:pPr>
      <w:bookmarkStart w:id="120" w:name="_Toc124942513"/>
      <w:r w:rsidRPr="002405D3">
        <w:rPr>
          <w:caps w:val="0"/>
          <w:lang w:val="es-419"/>
        </w:rPr>
        <w:t>Convención de la UNESCO sobre las medidas que deben adoptarse para prohibir e impedir la importación, la exportación y la transferencia de propiedad ilícitas de bienes culturales</w:t>
      </w:r>
      <w:bookmarkEnd w:id="120"/>
    </w:p>
    <w:p w:rsidR="0050487D" w:rsidRPr="002405D3" w:rsidRDefault="0050487D" w:rsidP="0050487D">
      <w:pPr>
        <w:spacing w:after="220"/>
        <w:rPr>
          <w:b/>
          <w:szCs w:val="22"/>
          <w:lang w:val="es-419"/>
        </w:rPr>
      </w:pPr>
      <w:r w:rsidRPr="002405D3">
        <w:rPr>
          <w:lang w:val="es-419"/>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50487D" w:rsidRPr="002405D3" w:rsidRDefault="0050487D" w:rsidP="0050487D">
      <w:pPr>
        <w:spacing w:after="220"/>
        <w:rPr>
          <w:szCs w:val="22"/>
          <w:lang w:val="es-419"/>
        </w:rPr>
      </w:pPr>
      <w:r w:rsidRPr="002405D3">
        <w:rPr>
          <w:lang w:val="es-419"/>
        </w:rPr>
        <w:t>“La Convención solicita a sus Estados Partes actuar esencialmente en los siguientes aspectos:</w:t>
      </w:r>
    </w:p>
    <w:p w:rsidR="0050487D" w:rsidRPr="002405D3" w:rsidRDefault="0050487D" w:rsidP="0050487D">
      <w:pPr>
        <w:spacing w:after="220"/>
        <w:ind w:left="567"/>
        <w:rPr>
          <w:szCs w:val="22"/>
          <w:lang w:val="es-419"/>
        </w:rPr>
      </w:pPr>
      <w:r w:rsidRPr="002405D3">
        <w:rPr>
          <w:lang w:val="es-419"/>
        </w:rPr>
        <w:t>1.</w:t>
      </w:r>
      <w:r w:rsidR="002405D3" w:rsidRPr="002405D3">
        <w:rPr>
          <w:lang w:val="es-419"/>
        </w:rPr>
        <w:tab/>
      </w:r>
      <w:r w:rsidRPr="002405D3">
        <w:rPr>
          <w:lang w:val="es-419"/>
        </w:rPr>
        <w:t>Medidas preventivas: inventarios, certificados de exportación, medidas de control y aprobación de los negociantes de bienes culturales, aplicación de sanciones penales o administrativas, campañas de información, etcétera.</w:t>
      </w:r>
    </w:p>
    <w:p w:rsidR="0050487D" w:rsidRPr="002405D3" w:rsidRDefault="0050487D" w:rsidP="0050487D">
      <w:pPr>
        <w:spacing w:after="220"/>
        <w:ind w:left="567"/>
        <w:rPr>
          <w:szCs w:val="22"/>
          <w:lang w:val="es-419"/>
        </w:rPr>
      </w:pPr>
      <w:r w:rsidRPr="002405D3">
        <w:rPr>
          <w:lang w:val="es-419"/>
        </w:rPr>
        <w:t>2.</w:t>
      </w:r>
      <w:r w:rsidR="002405D3" w:rsidRPr="002405D3">
        <w:rPr>
          <w:lang w:val="es-419"/>
        </w:rPr>
        <w:tab/>
      </w:r>
      <w:r w:rsidRPr="002405D3">
        <w:rPr>
          <w:lang w:val="es-419"/>
        </w:rPr>
        <w:t>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50487D" w:rsidRPr="002405D3" w:rsidRDefault="0050487D" w:rsidP="0050487D">
      <w:pPr>
        <w:spacing w:after="220"/>
        <w:ind w:left="567"/>
        <w:rPr>
          <w:szCs w:val="22"/>
          <w:lang w:val="es-419"/>
        </w:rPr>
      </w:pPr>
      <w:r w:rsidRPr="002405D3">
        <w:rPr>
          <w:lang w:val="es-419"/>
        </w:rPr>
        <w:t>3.</w:t>
      </w:r>
      <w:r w:rsidR="002405D3" w:rsidRPr="002405D3">
        <w:rPr>
          <w:lang w:val="es-419"/>
        </w:rPr>
        <w:tab/>
      </w:r>
      <w:r w:rsidRPr="002405D3">
        <w:rPr>
          <w:lang w:val="es-419"/>
        </w:rPr>
        <w:t>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50487D" w:rsidRPr="002405D3" w:rsidRDefault="0050487D" w:rsidP="0050487D">
      <w:pPr>
        <w:pStyle w:val="Heading1"/>
        <w:spacing w:before="0" w:after="220"/>
        <w:rPr>
          <w:bCs w:val="0"/>
          <w:iCs/>
          <w:caps w:val="0"/>
          <w:lang w:val="es-419"/>
        </w:rPr>
      </w:pPr>
      <w:bookmarkStart w:id="121" w:name="_Toc124942514"/>
      <w:r w:rsidRPr="002405D3">
        <w:rPr>
          <w:caps w:val="0"/>
          <w:lang w:val="es-419"/>
        </w:rPr>
        <w:t>Convención de la UNESCO sobre la protección y la promoción de la diversidad de las expresiones culturales</w:t>
      </w:r>
      <w:bookmarkEnd w:id="121"/>
    </w:p>
    <w:p w:rsidR="0050487D" w:rsidRPr="002405D3" w:rsidRDefault="0050487D" w:rsidP="0050487D">
      <w:pPr>
        <w:spacing w:after="220"/>
        <w:rPr>
          <w:szCs w:val="22"/>
          <w:lang w:val="es-419"/>
        </w:rPr>
      </w:pPr>
      <w:r w:rsidRPr="002405D3">
        <w:rPr>
          <w:lang w:val="es-419"/>
        </w:rPr>
        <w:t xml:space="preserve">La </w:t>
      </w:r>
      <w:r w:rsidRPr="002405D3">
        <w:rPr>
          <w:i/>
          <w:iCs/>
          <w:lang w:val="es-419"/>
        </w:rPr>
        <w:t>Convención sobre la protección y la promoción de la diversidad de las expresiones culturales</w:t>
      </w:r>
      <w:r w:rsidRPr="002405D3">
        <w:rPr>
          <w:lang w:val="es-419"/>
        </w:rPr>
        <w:t xml:space="preserve"> es una convención internacional que fue adoptada por la UNESCO en 2005. Entró en vigor el 18 de marzo de 2007. </w:t>
      </w:r>
    </w:p>
    <w:p w:rsidR="0050487D" w:rsidRPr="002405D3" w:rsidRDefault="0050487D" w:rsidP="0050487D">
      <w:pPr>
        <w:spacing w:after="220"/>
        <w:rPr>
          <w:spacing w:val="-4"/>
          <w:szCs w:val="22"/>
          <w:lang w:val="es-419"/>
        </w:rPr>
      </w:pPr>
      <w:r w:rsidRPr="002405D3">
        <w:rPr>
          <w:lang w:val="es-419"/>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w:t>
      </w:r>
      <w:r w:rsidRPr="002405D3">
        <w:rPr>
          <w:lang w:val="es-419"/>
        </w:rPr>
        <w:lastRenderedPageBreak/>
        <w:t>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50487D" w:rsidRPr="002405D3" w:rsidRDefault="0050487D" w:rsidP="0050487D">
      <w:pPr>
        <w:pStyle w:val="Heading1"/>
        <w:spacing w:before="0" w:after="220"/>
        <w:rPr>
          <w:bCs w:val="0"/>
          <w:iCs/>
          <w:caps w:val="0"/>
          <w:lang w:val="es-419"/>
        </w:rPr>
      </w:pPr>
      <w:bookmarkStart w:id="122" w:name="_Toc124942515"/>
      <w:r w:rsidRPr="002405D3">
        <w:rPr>
          <w:caps w:val="0"/>
          <w:lang w:val="es-419"/>
        </w:rPr>
        <w:t>Convención de la UNESCO para la salvaguardia del patrimonio cultural inmaterial</w:t>
      </w:r>
      <w:bookmarkEnd w:id="122"/>
    </w:p>
    <w:p w:rsidR="0050487D" w:rsidRPr="002405D3" w:rsidRDefault="0050487D" w:rsidP="0050487D">
      <w:pPr>
        <w:spacing w:after="220"/>
        <w:rPr>
          <w:szCs w:val="22"/>
          <w:lang w:val="es-419"/>
        </w:rPr>
      </w:pPr>
      <w:r w:rsidRPr="002405D3">
        <w:rPr>
          <w:lang w:val="es-419"/>
        </w:rPr>
        <w:t xml:space="preserve">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rsidR="0050487D" w:rsidRPr="002405D3" w:rsidRDefault="0050487D" w:rsidP="0050487D">
      <w:pPr>
        <w:pStyle w:val="Heading1"/>
        <w:spacing w:before="0" w:after="220"/>
        <w:rPr>
          <w:bCs w:val="0"/>
          <w:iCs/>
          <w:caps w:val="0"/>
          <w:lang w:val="es-419"/>
        </w:rPr>
      </w:pPr>
      <w:bookmarkStart w:id="123" w:name="_Toc124942516"/>
      <w:r w:rsidRPr="002405D3">
        <w:rPr>
          <w:caps w:val="0"/>
          <w:lang w:val="es-419"/>
        </w:rPr>
        <w:t>Competencia desleal</w:t>
      </w:r>
      <w:bookmarkEnd w:id="123"/>
    </w:p>
    <w:p w:rsidR="0050487D" w:rsidRPr="002405D3" w:rsidRDefault="0050487D" w:rsidP="0050487D">
      <w:pPr>
        <w:spacing w:after="220"/>
        <w:rPr>
          <w:szCs w:val="22"/>
          <w:lang w:val="es-419"/>
        </w:rPr>
      </w:pPr>
      <w:r w:rsidRPr="002405D3">
        <w:rPr>
          <w:lang w:val="es-419"/>
        </w:rPr>
        <w:t>En el Diccionario de Derecho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“unfair competition”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50487D" w:rsidRPr="002405D3" w:rsidRDefault="0050487D" w:rsidP="0050487D">
      <w:pPr>
        <w:spacing w:after="220"/>
        <w:rPr>
          <w:szCs w:val="22"/>
          <w:lang w:val="es-419"/>
        </w:rPr>
      </w:pPr>
      <w:r w:rsidRPr="002405D3">
        <w:rPr>
          <w:lang w:val="es-419"/>
        </w:rPr>
        <w:t>En el párrafo 2 del artículo 10</w:t>
      </w:r>
      <w:r w:rsidRPr="002405D3">
        <w:rPr>
          <w:i/>
          <w:lang w:val="es-419"/>
        </w:rPr>
        <w:t xml:space="preserve">bis </w:t>
      </w:r>
      <w:r w:rsidRPr="002405D3">
        <w:rPr>
          <w:lang w:val="es-419"/>
        </w:rPr>
        <w:t xml:space="preserve">del </w:t>
      </w:r>
      <w:r w:rsidRPr="002405D3">
        <w:rPr>
          <w:i/>
          <w:lang w:val="es-419"/>
        </w:rPr>
        <w:t>Convenio de París para la Protección de la Propiedad Industrial</w:t>
      </w:r>
      <w:r w:rsidRPr="002405D3">
        <w:rPr>
          <w:lang w:val="es-419"/>
        </w:rPr>
        <w:t xml:space="preserve"> (1883) se estipula que “[c]onstituye acto de competencia desleal todo acto de competencia contrario a los usos honestos en materia industrial o comercial”. En el párrafo 3 del artículo 10bis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rsidR="0050487D" w:rsidRPr="002405D3" w:rsidRDefault="0050487D" w:rsidP="0050487D">
      <w:pPr>
        <w:pStyle w:val="Heading1"/>
        <w:spacing w:before="0" w:after="220"/>
        <w:rPr>
          <w:bCs w:val="0"/>
          <w:iCs/>
          <w:caps w:val="0"/>
          <w:lang w:val="es-419"/>
        </w:rPr>
      </w:pPr>
      <w:bookmarkStart w:id="124" w:name="_Toc124942517"/>
      <w:r w:rsidRPr="002405D3">
        <w:rPr>
          <w:caps w:val="0"/>
          <w:lang w:val="es-419"/>
        </w:rPr>
        <w:t>Declaración de las Naciones Unidas sobre los Derechos de los Pueblos Indígenas</w:t>
      </w:r>
      <w:bookmarkEnd w:id="124"/>
    </w:p>
    <w:p w:rsidR="0050487D" w:rsidRPr="002405D3" w:rsidRDefault="0050487D" w:rsidP="0050487D">
      <w:pPr>
        <w:spacing w:after="220"/>
        <w:rPr>
          <w:szCs w:val="22"/>
          <w:lang w:val="es-419"/>
        </w:rPr>
      </w:pPr>
      <w:r w:rsidRPr="002405D3">
        <w:rPr>
          <w:lang w:val="es-419"/>
        </w:rPr>
        <w:t xml:space="preserve">La Asamblea General de las Naciones Unidas adoptó en 2007 la </w:t>
      </w:r>
      <w:r w:rsidRPr="002405D3">
        <w:rPr>
          <w:i/>
          <w:lang w:val="es-419"/>
        </w:rPr>
        <w:t>Declaración de las Naciones Unidas sobre los Derechos de los Pueblos Indígenas</w:t>
      </w:r>
      <w:r w:rsidRPr="002405D3">
        <w:rPr>
          <w:lang w:val="es-419"/>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rsidR="0050487D" w:rsidRPr="002405D3" w:rsidRDefault="0050487D" w:rsidP="0050487D">
      <w:pPr>
        <w:spacing w:after="220"/>
        <w:rPr>
          <w:szCs w:val="22"/>
          <w:lang w:val="es-419"/>
        </w:rPr>
      </w:pPr>
      <w:r w:rsidRPr="002405D3">
        <w:rPr>
          <w:lang w:val="es-419"/>
        </w:rPr>
        <w:lastRenderedPageBreak/>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50487D" w:rsidRPr="002405D3" w:rsidRDefault="0050487D" w:rsidP="0050487D">
      <w:pPr>
        <w:pStyle w:val="Heading1"/>
        <w:spacing w:before="0" w:after="220"/>
        <w:rPr>
          <w:bCs w:val="0"/>
          <w:iCs/>
          <w:caps w:val="0"/>
          <w:lang w:val="es-419"/>
        </w:rPr>
      </w:pPr>
      <w:bookmarkStart w:id="125" w:name="_Toc124942518"/>
      <w:r w:rsidRPr="002405D3">
        <w:rPr>
          <w:caps w:val="0"/>
          <w:lang w:val="es-419"/>
        </w:rPr>
        <w:t>Declaración Universal de Derechos Humanos</w:t>
      </w:r>
      <w:bookmarkEnd w:id="125"/>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La Declaración Universal de Derechos Humanos es un documento que marca un hito en la historia de los derechos humanos. </w:t>
      </w:r>
      <w:r w:rsidRPr="002405D3">
        <w:rPr>
          <w:color w:val="333333"/>
          <w:lang w:val="es-419"/>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2405D3">
        <w:rPr>
          <w:rStyle w:val="FootnoteReference"/>
          <w:color w:val="333333"/>
          <w:szCs w:val="22"/>
          <w:lang w:val="es-419"/>
        </w:rPr>
        <w:footnoteReference w:id="172"/>
      </w:r>
    </w:p>
    <w:p w:rsidR="0050487D" w:rsidRPr="002405D3" w:rsidRDefault="0050487D" w:rsidP="0050487D">
      <w:pPr>
        <w:pStyle w:val="Heading1"/>
        <w:spacing w:before="0" w:after="220"/>
        <w:rPr>
          <w:bCs w:val="0"/>
          <w:iCs/>
          <w:caps w:val="0"/>
          <w:lang w:val="es-419"/>
        </w:rPr>
      </w:pPr>
      <w:bookmarkStart w:id="126" w:name="_Toc124942519"/>
      <w:r w:rsidRPr="002405D3">
        <w:rPr>
          <w:caps w:val="0"/>
          <w:lang w:val="es-419"/>
        </w:rPr>
        <w:t>Uso de las expresiones culturales tradicionales</w:t>
      </w:r>
      <w:bookmarkEnd w:id="126"/>
    </w:p>
    <w:p w:rsidR="0050487D" w:rsidRPr="002405D3" w:rsidRDefault="0050487D" w:rsidP="0050487D">
      <w:pPr>
        <w:spacing w:after="220"/>
        <w:rPr>
          <w:szCs w:val="22"/>
          <w:lang w:val="es-419"/>
        </w:rPr>
      </w:pPr>
      <w:r w:rsidRPr="002405D3">
        <w:rPr>
          <w:lang w:val="es-419"/>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50487D" w:rsidRPr="002405D3" w:rsidRDefault="0050487D" w:rsidP="0050487D">
      <w:pPr>
        <w:spacing w:after="220"/>
        <w:outlineLvl w:val="0"/>
        <w:rPr>
          <w:i/>
          <w:szCs w:val="22"/>
          <w:u w:val="single"/>
          <w:lang w:val="es-419"/>
        </w:rPr>
      </w:pPr>
      <w:bookmarkStart w:id="127" w:name="_Toc110498830"/>
      <w:bookmarkStart w:id="128" w:name="_Toc124942520"/>
      <w:r w:rsidRPr="002405D3">
        <w:rPr>
          <w:i/>
          <w:u w:val="single"/>
          <w:lang w:val="es-419"/>
        </w:rPr>
        <w:t>Uso comercial</w:t>
      </w:r>
      <w:bookmarkEnd w:id="127"/>
      <w:bookmarkEnd w:id="128"/>
    </w:p>
    <w:p w:rsidR="0050487D" w:rsidRPr="002405D3" w:rsidRDefault="0050487D" w:rsidP="0050487D">
      <w:pPr>
        <w:spacing w:after="220"/>
        <w:rPr>
          <w:szCs w:val="22"/>
          <w:lang w:val="es-419"/>
        </w:rPr>
      </w:pPr>
      <w:r w:rsidRPr="002405D3">
        <w:rPr>
          <w:lang w:val="es-419"/>
        </w:rPr>
        <w:t>Se entiende por “uso comercial” todo uso con fines de comercio. En el Diccionario Enciclopédico de Derecho Usual de Guillermo Cabanellas se define “comercio” como “negociación que busca la obtención de ganancia o lucro en la venta, permuta o compra de mercaderías”. Para la referencia del término en inglés se utilizó el diccionario jurídico de Black, en el que “commercial use” se define como todo uso relacionado con una actividad permanente con fines de lucro o que promueve dicha actividad; por otra parte, “non-commercial use” se define como todo uso con fines privados o de negocios que no implica la generación de ingresos o el derecho a un reconocimiento u otro tipo de compensación.</w:t>
      </w:r>
    </w:p>
    <w:p w:rsidR="0050487D" w:rsidRPr="002405D3" w:rsidRDefault="0050487D" w:rsidP="0050487D">
      <w:pPr>
        <w:spacing w:after="220"/>
        <w:outlineLvl w:val="0"/>
        <w:rPr>
          <w:i/>
          <w:szCs w:val="22"/>
          <w:u w:val="single"/>
          <w:lang w:val="es-419"/>
        </w:rPr>
      </w:pPr>
      <w:bookmarkStart w:id="129" w:name="_Toc110498831"/>
      <w:bookmarkStart w:id="130" w:name="_Toc124942521"/>
      <w:r w:rsidRPr="002405D3">
        <w:rPr>
          <w:i/>
          <w:u w:val="single"/>
          <w:lang w:val="es-419"/>
        </w:rPr>
        <w:t>Uso consuetudinario</w:t>
      </w:r>
      <w:bookmarkEnd w:id="129"/>
      <w:bookmarkEnd w:id="130"/>
    </w:p>
    <w:p w:rsidR="0050487D" w:rsidRPr="002405D3" w:rsidRDefault="0050487D" w:rsidP="0050487D">
      <w:pPr>
        <w:spacing w:after="220"/>
        <w:rPr>
          <w:szCs w:val="22"/>
          <w:lang w:val="es-419"/>
        </w:rPr>
      </w:pPr>
      <w:r w:rsidRPr="002405D3">
        <w:rPr>
          <w:lang w:val="es-419"/>
        </w:rPr>
        <w:t xml:space="preserve">En el </w:t>
      </w:r>
      <w:r w:rsidRPr="002405D3">
        <w:rPr>
          <w:i/>
          <w:lang w:val="es-419"/>
        </w:rPr>
        <w:t>Marco Regional del Pacífico</w:t>
      </w:r>
      <w:r w:rsidRPr="002405D3">
        <w:rPr>
          <w:lang w:val="es-419"/>
        </w:rPr>
        <w:t xml:space="preserve"> se define el uso consuetudinario como “el uso de los conocimientos tradicionales o expresiones culturales de conformidad con las leyes y prácticas consuetudinarias de los propietarios tradicionales.” (Traducción oficiosa de la Oficina Internacional). </w:t>
      </w:r>
    </w:p>
    <w:p w:rsidR="0050487D" w:rsidRPr="002405D3" w:rsidRDefault="0050487D" w:rsidP="0050487D">
      <w:pPr>
        <w:spacing w:after="220"/>
        <w:rPr>
          <w:szCs w:val="22"/>
          <w:lang w:val="es-419"/>
        </w:rPr>
      </w:pPr>
      <w:r w:rsidRPr="002405D3">
        <w:rPr>
          <w:lang w:val="es-419"/>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50487D" w:rsidRPr="002405D3" w:rsidRDefault="0050487D" w:rsidP="0050487D">
      <w:pPr>
        <w:spacing w:after="220"/>
        <w:outlineLvl w:val="0"/>
        <w:rPr>
          <w:i/>
          <w:szCs w:val="22"/>
          <w:u w:val="single"/>
          <w:lang w:val="es-419"/>
        </w:rPr>
      </w:pPr>
      <w:bookmarkStart w:id="131" w:name="_Toc110498832"/>
      <w:bookmarkStart w:id="132" w:name="_Toc124942522"/>
      <w:r w:rsidRPr="002405D3">
        <w:rPr>
          <w:i/>
          <w:u w:val="single"/>
          <w:lang w:val="es-419"/>
        </w:rPr>
        <w:lastRenderedPageBreak/>
        <w:t>Uso leal</w:t>
      </w:r>
      <w:bookmarkEnd w:id="131"/>
      <w:bookmarkEnd w:id="132"/>
    </w:p>
    <w:p w:rsidR="0050487D" w:rsidRPr="002405D3" w:rsidRDefault="0050487D" w:rsidP="0050487D">
      <w:pPr>
        <w:spacing w:after="220"/>
        <w:rPr>
          <w:szCs w:val="22"/>
          <w:lang w:val="es-419"/>
        </w:rPr>
      </w:pPr>
      <w:r w:rsidRPr="002405D3">
        <w:rPr>
          <w:lang w:val="es-419"/>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“fair use”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50487D" w:rsidRPr="002405D3" w:rsidRDefault="0050487D" w:rsidP="0050487D">
      <w:pPr>
        <w:spacing w:after="220"/>
        <w:outlineLvl w:val="0"/>
        <w:rPr>
          <w:i/>
          <w:szCs w:val="22"/>
          <w:u w:val="single"/>
          <w:lang w:val="es-419"/>
        </w:rPr>
      </w:pPr>
      <w:bookmarkStart w:id="133" w:name="_Toc110498833"/>
      <w:bookmarkStart w:id="134" w:name="_Toc124942523"/>
      <w:r w:rsidRPr="002405D3">
        <w:rPr>
          <w:i/>
          <w:u w:val="single"/>
          <w:lang w:val="es-419"/>
        </w:rPr>
        <w:t>Uso doméstico / uso con fines de salud pública</w:t>
      </w:r>
      <w:bookmarkEnd w:id="133"/>
      <w:bookmarkEnd w:id="134"/>
    </w:p>
    <w:p w:rsidR="0050487D" w:rsidRPr="002405D3" w:rsidRDefault="0050487D" w:rsidP="0050487D">
      <w:pPr>
        <w:spacing w:after="220"/>
        <w:outlineLvl w:val="0"/>
        <w:rPr>
          <w:szCs w:val="22"/>
          <w:lang w:val="es-419"/>
        </w:rPr>
      </w:pPr>
      <w:bookmarkStart w:id="135" w:name="_Toc110498834"/>
      <w:bookmarkStart w:id="136" w:name="_Toc124942524"/>
      <w:r w:rsidRPr="002405D3">
        <w:rPr>
          <w:lang w:val="es-419"/>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bookmarkEnd w:id="135"/>
      <w:bookmarkEnd w:id="136"/>
      <w:r w:rsidRPr="002405D3">
        <w:rPr>
          <w:lang w:val="es-419"/>
        </w:rPr>
        <w:t xml:space="preserve"> </w:t>
      </w:r>
    </w:p>
    <w:p w:rsidR="0050487D" w:rsidRPr="002405D3" w:rsidRDefault="0050487D" w:rsidP="0050487D">
      <w:pPr>
        <w:spacing w:after="220"/>
        <w:rPr>
          <w:szCs w:val="22"/>
          <w:lang w:val="es-419"/>
        </w:rPr>
      </w:pPr>
      <w:r w:rsidRPr="002405D3">
        <w:rPr>
          <w:lang w:val="es-419"/>
        </w:rPr>
        <w:t>En cuanto al término “uso con fines de salud pública”, en el párrafo 1 de la Declaración de Doha relativa al Acuerdo sobre los ADPIC y la salud pública se reconoce “la gravedad de los problemas de salud pública que afligen a muchos países en desarrollo y menos adelantados, especialmente los resultantes del VIH/SIDA, la tuberculosis, el paludismo y otras epidemias”. En el párrafo 5.c) se estipula además que “[c]ada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50487D" w:rsidRPr="002405D3" w:rsidRDefault="0050487D" w:rsidP="0050487D">
      <w:pPr>
        <w:spacing w:after="220"/>
        <w:outlineLvl w:val="0"/>
        <w:rPr>
          <w:i/>
          <w:szCs w:val="22"/>
          <w:u w:val="single"/>
          <w:lang w:val="es-419"/>
        </w:rPr>
      </w:pPr>
      <w:bookmarkStart w:id="137" w:name="_Toc110498835"/>
      <w:bookmarkStart w:id="138" w:name="_Toc124942525"/>
      <w:r w:rsidRPr="002405D3">
        <w:rPr>
          <w:i/>
          <w:u w:val="single"/>
          <w:lang w:val="es-419"/>
        </w:rPr>
        <w:t>Uso con fines de investigación / uso educativo</w:t>
      </w:r>
      <w:bookmarkEnd w:id="137"/>
      <w:bookmarkEnd w:id="138"/>
    </w:p>
    <w:p w:rsidR="0050487D" w:rsidRPr="002405D3" w:rsidRDefault="0050487D" w:rsidP="0050487D">
      <w:pPr>
        <w:spacing w:after="220"/>
        <w:rPr>
          <w:szCs w:val="22"/>
          <w:lang w:val="es-419"/>
        </w:rPr>
      </w:pPr>
      <w:r w:rsidRPr="002405D3">
        <w:rPr>
          <w:lang w:val="es-419"/>
        </w:rPr>
        <w:t>En el Diccionario de la lengua española de la Real Academia Española se define “investigación” como “[a]cción y efecto de investigar”; a su vez “investigar” como “[r]ealizar actividades intelectuales y experimentales de modo sistemático con el propósito de aumentar los conocimientos sobre una determinada materia” y “experimentar” como “[p]robar y examinar prácticamente la virtud y propiedades de algo”. Para la referencia del término en inglés se utilizó el diccionario jurídico de Black, en el que la expresión “experimental-use defense”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50487D" w:rsidRPr="002405D3" w:rsidRDefault="0050487D" w:rsidP="0050487D">
      <w:pPr>
        <w:spacing w:after="220"/>
        <w:rPr>
          <w:szCs w:val="22"/>
          <w:lang w:val="es-419"/>
        </w:rPr>
      </w:pPr>
      <w:r w:rsidRPr="002405D3">
        <w:rPr>
          <w:lang w:val="es-419"/>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50487D" w:rsidRPr="002405D3" w:rsidRDefault="0050487D" w:rsidP="0050487D">
      <w:pPr>
        <w:ind w:left="567"/>
        <w:rPr>
          <w:szCs w:val="22"/>
          <w:lang w:val="es-419"/>
        </w:rPr>
      </w:pPr>
      <w:r w:rsidRPr="002405D3">
        <w:rPr>
          <w:lang w:val="es-419"/>
        </w:rPr>
        <w:t>a) actos efectuados con fines privados o no comerciales;</w:t>
      </w:r>
    </w:p>
    <w:p w:rsidR="0050487D" w:rsidRPr="002405D3" w:rsidRDefault="0050487D" w:rsidP="0050487D">
      <w:pPr>
        <w:spacing w:after="220"/>
        <w:ind w:left="567"/>
        <w:rPr>
          <w:szCs w:val="22"/>
          <w:lang w:val="es-419"/>
        </w:rPr>
      </w:pPr>
      <w:r w:rsidRPr="002405D3">
        <w:rPr>
          <w:lang w:val="es-419"/>
        </w:rPr>
        <w:t>b) actos efectuados con fines experimentales o de investigación.</w:t>
      </w:r>
    </w:p>
    <w:p w:rsidR="0050487D" w:rsidRPr="002405D3" w:rsidRDefault="0050487D" w:rsidP="0050487D">
      <w:pPr>
        <w:pStyle w:val="Heading1"/>
        <w:spacing w:before="0" w:after="220"/>
        <w:rPr>
          <w:bCs w:val="0"/>
          <w:iCs/>
          <w:caps w:val="0"/>
          <w:lang w:val="es-419"/>
        </w:rPr>
      </w:pPr>
      <w:bookmarkStart w:id="139" w:name="_Toc124942526"/>
      <w:r w:rsidRPr="002405D3">
        <w:rPr>
          <w:caps w:val="0"/>
          <w:lang w:val="es-419"/>
        </w:rPr>
        <w:lastRenderedPageBreak/>
        <w:t>Utilización</w:t>
      </w:r>
      <w:bookmarkEnd w:id="139"/>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En el artículo 2.c) del </w:t>
      </w:r>
      <w:r w:rsidRPr="002405D3">
        <w:rPr>
          <w:i/>
          <w:lang w:val="es-419"/>
        </w:rPr>
        <w:t>Protocolo de Nagoya sobre Acceso a los Recursos Genéticos y Participación Justa y Equitativa de los Beneficios que se Deriven de su Utilización al Convenio sobre la Diversidad Biológica</w:t>
      </w:r>
      <w:r w:rsidRPr="002405D3">
        <w:rPr>
          <w:lang w:val="es-419"/>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 </w:t>
      </w:r>
    </w:p>
    <w:p w:rsidR="0050487D" w:rsidRPr="002405D3" w:rsidRDefault="0050487D" w:rsidP="0050487D">
      <w:pPr>
        <w:pStyle w:val="Heading1"/>
        <w:spacing w:before="0" w:after="220"/>
        <w:rPr>
          <w:bCs w:val="0"/>
          <w:iCs/>
          <w:caps w:val="0"/>
          <w:lang w:val="es-419"/>
        </w:rPr>
      </w:pPr>
      <w:bookmarkStart w:id="140" w:name="_Toc124942527"/>
      <w:r w:rsidRPr="002405D3">
        <w:rPr>
          <w:caps w:val="0"/>
          <w:lang w:val="es-419"/>
        </w:rPr>
        <w:t>Guía de la OMPI para la catalogación de conocimientos tradicionales (Guía de catalogación de los conocimientos tradicionales)</w:t>
      </w:r>
      <w:bookmarkEnd w:id="140"/>
    </w:p>
    <w:p w:rsidR="0050487D" w:rsidRPr="002405D3" w:rsidRDefault="0050487D" w:rsidP="0050487D">
      <w:pPr>
        <w:spacing w:after="220"/>
        <w:rPr>
          <w:szCs w:val="22"/>
          <w:lang w:val="es-419"/>
        </w:rPr>
      </w:pPr>
      <w:r w:rsidRPr="002405D3">
        <w:rPr>
          <w:lang w:val="es-419"/>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2405D3">
        <w:rPr>
          <w:szCs w:val="22"/>
          <w:vertAlign w:val="superscript"/>
          <w:lang w:val="es-419"/>
        </w:rPr>
        <w:footnoteReference w:id="173"/>
      </w:r>
    </w:p>
    <w:p w:rsidR="0050487D" w:rsidRPr="002405D3" w:rsidRDefault="0050487D" w:rsidP="0050487D">
      <w:pPr>
        <w:spacing w:after="220"/>
        <w:rPr>
          <w:szCs w:val="22"/>
          <w:lang w:val="es-419"/>
        </w:rPr>
      </w:pPr>
      <w:r w:rsidRPr="002405D3">
        <w:rPr>
          <w:lang w:val="es-419"/>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50487D" w:rsidRPr="002405D3" w:rsidRDefault="0050487D" w:rsidP="0050487D">
      <w:pPr>
        <w:spacing w:after="220"/>
        <w:rPr>
          <w:szCs w:val="22"/>
          <w:lang w:val="es-419"/>
        </w:rPr>
      </w:pPr>
      <w:r w:rsidRPr="002405D3">
        <w:rPr>
          <w:lang w:val="es-419"/>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50487D" w:rsidRPr="002405D3" w:rsidRDefault="0050487D" w:rsidP="0050487D">
      <w:pPr>
        <w:pStyle w:val="Heading1"/>
        <w:spacing w:before="0" w:after="220"/>
        <w:rPr>
          <w:bCs w:val="0"/>
          <w:iCs/>
          <w:caps w:val="0"/>
          <w:lang w:val="es-419"/>
        </w:rPr>
      </w:pPr>
      <w:bookmarkStart w:id="141" w:name="_Toc124942528"/>
      <w:r w:rsidRPr="002405D3">
        <w:rPr>
          <w:caps w:val="0"/>
          <w:lang w:val="es-419"/>
        </w:rPr>
        <w:t>Disposiciones Tipo OMPI-UNESCO para leyes nacionales sobre la protección de las expresiones del folclore contra la explotación ilícita y otras acciones lesivas</w:t>
      </w:r>
      <w:bookmarkEnd w:id="141"/>
    </w:p>
    <w:p w:rsidR="0050487D" w:rsidRPr="002405D3" w:rsidRDefault="0050487D" w:rsidP="0050487D">
      <w:pPr>
        <w:spacing w:after="220"/>
        <w:rPr>
          <w:snapToGrid w:val="0"/>
          <w:szCs w:val="22"/>
          <w:lang w:val="es-419"/>
        </w:rPr>
      </w:pPr>
      <w:r w:rsidRPr="002405D3">
        <w:rPr>
          <w:snapToGrid w:val="0"/>
          <w:lang w:val="es-419"/>
        </w:rPr>
        <w:t xml:space="preserve">Las </w:t>
      </w:r>
      <w:r w:rsidRPr="002405D3">
        <w:rPr>
          <w:i/>
          <w:iCs/>
          <w:snapToGrid w:val="0"/>
          <w:lang w:val="es-419"/>
        </w:rPr>
        <w:t>Disposiciones Tipo</w:t>
      </w:r>
      <w:r w:rsidRPr="002405D3">
        <w:rPr>
          <w:snapToGrid w:val="0"/>
          <w:lang w:val="es-419"/>
        </w:rPr>
        <w:t xml:space="preserve"> fueron aprobadas en 1982 por un Comité de Expertos Gubernamentales nombrado por la OMPI y la UNESCO. 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rsidR="0050487D" w:rsidRPr="002405D3" w:rsidRDefault="0050487D" w:rsidP="0050487D">
      <w:pPr>
        <w:spacing w:after="220"/>
        <w:rPr>
          <w:snapToGrid w:val="0"/>
          <w:szCs w:val="22"/>
          <w:lang w:val="es-419"/>
        </w:rPr>
      </w:pPr>
      <w:r w:rsidRPr="002405D3">
        <w:rPr>
          <w:snapToGrid w:val="0"/>
          <w:lang w:val="es-419"/>
        </w:rPr>
        <w:t xml:space="preserve">Con las </w:t>
      </w:r>
      <w:r w:rsidRPr="002405D3">
        <w:rPr>
          <w:i/>
          <w:snapToGrid w:val="0"/>
          <w:lang w:val="es-419"/>
        </w:rPr>
        <w:t>Disposiciones Tipo</w:t>
      </w:r>
      <w:r w:rsidRPr="002405D3">
        <w:rPr>
          <w:snapToGrid w:val="0"/>
          <w:lang w:val="es-419"/>
        </w:rPr>
        <w:t xml:space="preserve"> se pretende mantener el equilibrio adecuado entre la protección contra los abusos del folclore, por un lado, y la libertad que permita fomentar y divulgar más el folclore, por el otro. </w:t>
      </w:r>
      <w:r w:rsidRPr="002405D3">
        <w:rPr>
          <w:lang w:val="es-419"/>
        </w:rPr>
        <w:t>Se da por supuesto que las expresiones del folclore constituyen un elemento vivo de la cultura de la humanidad y que una protección excesiva podría asfixiarlas.</w:t>
      </w:r>
      <w:r w:rsidRPr="002405D3">
        <w:rPr>
          <w:snapToGrid w:val="0"/>
          <w:lang w:val="es-419"/>
        </w:rPr>
        <w:t xml:space="preserve"> </w:t>
      </w:r>
    </w:p>
    <w:p w:rsidR="0050487D" w:rsidRPr="002405D3" w:rsidRDefault="0050487D" w:rsidP="0050487D">
      <w:pPr>
        <w:spacing w:after="220"/>
        <w:rPr>
          <w:szCs w:val="22"/>
          <w:lang w:val="es-419"/>
        </w:rPr>
      </w:pPr>
      <w:r w:rsidRPr="002405D3">
        <w:rPr>
          <w:snapToGrid w:val="0"/>
          <w:lang w:val="es-419"/>
        </w:rPr>
        <w:t xml:space="preserve">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w:t>
      </w:r>
      <w:r w:rsidRPr="002405D3">
        <w:rPr>
          <w:snapToGrid w:val="0"/>
          <w:lang w:val="es-419"/>
        </w:rPr>
        <w:lastRenderedPageBreak/>
        <w:t>aplicación de las Disposiciones Tipo. El informe correspondiente se recoge en el documento WIPO/GRTKF/IC/3/10.</w:t>
      </w:r>
    </w:p>
    <w:p w:rsidR="0050487D" w:rsidRPr="002405D3" w:rsidRDefault="0050487D" w:rsidP="0050487D">
      <w:pPr>
        <w:pStyle w:val="Endofdocument"/>
        <w:spacing w:before="600" w:after="220" w:line="240" w:lineRule="auto"/>
        <w:ind w:left="5530"/>
        <w:contextualSpacing w:val="0"/>
        <w:rPr>
          <w:lang w:val="es-419"/>
        </w:rPr>
      </w:pPr>
      <w:r w:rsidRPr="002405D3">
        <w:rPr>
          <w:sz w:val="22"/>
          <w:lang w:val="es-419"/>
        </w:rPr>
        <w:t>[Fin del Anexo y del documento]</w:t>
      </w:r>
    </w:p>
    <w:p w:rsidR="00152CEA" w:rsidRPr="002405D3" w:rsidRDefault="00152CEA" w:rsidP="00EB0D93">
      <w:pPr>
        <w:spacing w:after="220"/>
        <w:rPr>
          <w:lang w:val="es-419"/>
        </w:rPr>
      </w:pPr>
    </w:p>
    <w:sectPr w:rsidR="00152CEA" w:rsidRPr="002405D3" w:rsidSect="0050487D">
      <w:headerReference w:type="default" r:id="rId12"/>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7D" w:rsidRDefault="0050487D">
      <w:r>
        <w:separator/>
      </w:r>
    </w:p>
  </w:endnote>
  <w:endnote w:type="continuationSeparator" w:id="0">
    <w:p w:rsidR="0050487D" w:rsidRPr="009D30E6" w:rsidRDefault="0050487D" w:rsidP="007E663E">
      <w:pPr>
        <w:rPr>
          <w:sz w:val="17"/>
          <w:szCs w:val="17"/>
        </w:rPr>
      </w:pPr>
      <w:r w:rsidRPr="009D30E6">
        <w:rPr>
          <w:sz w:val="17"/>
          <w:szCs w:val="17"/>
        </w:rPr>
        <w:separator/>
      </w:r>
    </w:p>
    <w:p w:rsidR="0050487D" w:rsidRPr="007E663E" w:rsidRDefault="0050487D" w:rsidP="007E663E">
      <w:pPr>
        <w:spacing w:after="60"/>
        <w:rPr>
          <w:sz w:val="17"/>
          <w:szCs w:val="17"/>
        </w:rPr>
      </w:pPr>
      <w:r>
        <w:rPr>
          <w:sz w:val="17"/>
        </w:rPr>
        <w:t>[Continuación de la nota de la página anterior]</w:t>
      </w:r>
    </w:p>
  </w:endnote>
  <w:endnote w:type="continuationNotice" w:id="1">
    <w:p w:rsidR="0050487D" w:rsidRPr="007E663E" w:rsidRDefault="0050487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altName w:val="Leelawadee UI"/>
    <w:panose1 w:val="02020603050405020304"/>
    <w:charset w:val="00"/>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7D" w:rsidRDefault="0050487D">
      <w:r>
        <w:separator/>
      </w:r>
    </w:p>
  </w:footnote>
  <w:footnote w:type="continuationSeparator" w:id="0">
    <w:p w:rsidR="0050487D" w:rsidRPr="009D30E6" w:rsidRDefault="0050487D" w:rsidP="007E663E">
      <w:pPr>
        <w:rPr>
          <w:sz w:val="17"/>
          <w:szCs w:val="17"/>
        </w:rPr>
      </w:pPr>
      <w:r w:rsidRPr="009D30E6">
        <w:rPr>
          <w:sz w:val="17"/>
          <w:szCs w:val="17"/>
        </w:rPr>
        <w:separator/>
      </w:r>
    </w:p>
    <w:p w:rsidR="0050487D" w:rsidRPr="007E663E" w:rsidRDefault="0050487D" w:rsidP="007E663E">
      <w:pPr>
        <w:spacing w:after="60"/>
        <w:rPr>
          <w:sz w:val="17"/>
          <w:szCs w:val="17"/>
        </w:rPr>
      </w:pPr>
      <w:r>
        <w:rPr>
          <w:sz w:val="17"/>
        </w:rPr>
        <w:t>[Continuación de la nota de la página anterior]</w:t>
      </w:r>
    </w:p>
  </w:footnote>
  <w:footnote w:type="continuationNotice" w:id="1">
    <w:p w:rsidR="0050487D" w:rsidRPr="007E663E" w:rsidRDefault="0050487D" w:rsidP="007E663E">
      <w:pPr>
        <w:spacing w:before="60"/>
        <w:jc w:val="right"/>
        <w:rPr>
          <w:sz w:val="17"/>
          <w:szCs w:val="17"/>
        </w:rPr>
      </w:pPr>
      <w:r w:rsidRPr="007E663E">
        <w:rPr>
          <w:sz w:val="17"/>
          <w:szCs w:val="17"/>
        </w:rPr>
        <w:t>[Sigue la nota en la página siguiente]</w:t>
      </w:r>
    </w:p>
  </w:footnote>
  <w:footnote w:id="2">
    <w:p w:rsidR="0050487D" w:rsidRPr="002405D3" w:rsidRDefault="0050487D" w:rsidP="0050487D">
      <w:pPr>
        <w:pStyle w:val="FootnoteText"/>
        <w:rPr>
          <w:rStyle w:val="FooterChar"/>
          <w:sz w:val="18"/>
          <w:szCs w:val="18"/>
          <w:lang w:val="es-419"/>
        </w:rPr>
      </w:pPr>
      <w:r w:rsidRPr="002405D3">
        <w:rPr>
          <w:rStyle w:val="FootnoteReference"/>
          <w:szCs w:val="18"/>
          <w:lang w:val="es-419"/>
        </w:rPr>
        <w:footnoteRef/>
      </w:r>
      <w:r w:rsidRPr="002405D3">
        <w:rPr>
          <w:szCs w:val="18"/>
          <w:lang w:val="es-419"/>
        </w:rPr>
        <w:t xml:space="preserve"> </w:t>
      </w:r>
      <w:r w:rsidRPr="002405D3">
        <w:rPr>
          <w:rStyle w:val="FooterChar"/>
          <w:sz w:val="18"/>
          <w:szCs w:val="18"/>
          <w:lang w:val="es-419"/>
        </w:rPr>
        <w:t xml:space="preserve">Informe de la decimosexta sesión del Comité (WIPO/GRTKF/IC/16/8) y de la decimoséptima sesión del Comité (WIPO/GRTKF/IC/17/12). </w:t>
      </w:r>
    </w:p>
  </w:footnote>
  <w:footnote w:id="3">
    <w:p w:rsidR="0050487D" w:rsidRPr="002405D3" w:rsidRDefault="0050487D" w:rsidP="0050487D">
      <w:pPr>
        <w:pStyle w:val="FootnoteText"/>
        <w:rPr>
          <w:szCs w:val="18"/>
          <w:lang w:val="es-419"/>
        </w:rPr>
      </w:pPr>
      <w:r w:rsidRPr="002405D3">
        <w:rPr>
          <w:rStyle w:val="FootnoteReference"/>
          <w:szCs w:val="18"/>
          <w:lang w:val="es-419"/>
        </w:rPr>
        <w:footnoteRef/>
      </w:r>
      <w:r w:rsidRPr="002405D3">
        <w:rPr>
          <w:szCs w:val="18"/>
          <w:lang w:val="es-419"/>
        </w:rPr>
        <w:t xml:space="preserve"> </w:t>
      </w:r>
      <w:r w:rsidRPr="002405D3">
        <w:rPr>
          <w:rStyle w:val="FooterChar"/>
          <w:sz w:val="18"/>
          <w:szCs w:val="18"/>
          <w:lang w:val="es-419"/>
        </w:rPr>
        <w:t>Informe</w:t>
      </w:r>
      <w:r w:rsidRPr="002405D3">
        <w:rPr>
          <w:szCs w:val="18"/>
          <w:lang w:val="es-419"/>
        </w:rPr>
        <w:t xml:space="preserve"> de la decimonovena sesión del Comité (WIPO/GRTKF/IC/19/12).</w:t>
      </w:r>
    </w:p>
  </w:footnote>
  <w:footnote w:id="4">
    <w:p w:rsidR="0050487D" w:rsidRPr="002405D3" w:rsidRDefault="0050487D" w:rsidP="0050487D">
      <w:pPr>
        <w:pStyle w:val="FootnoteText"/>
        <w:rPr>
          <w:szCs w:val="18"/>
          <w:lang w:val="es-419"/>
        </w:rPr>
      </w:pPr>
      <w:r w:rsidRPr="002405D3">
        <w:rPr>
          <w:rStyle w:val="FootnoteReference"/>
          <w:szCs w:val="18"/>
          <w:lang w:val="es-419"/>
        </w:rPr>
        <w:sym w:font="Symbol" w:char="F02A"/>
      </w:r>
      <w:r w:rsidRPr="002405D3">
        <w:rPr>
          <w:szCs w:val="18"/>
          <w:lang w:val="es-419"/>
        </w:rPr>
        <w:t xml:space="preserve"> Los términos aparecen en el orden alfabético de la versión en inglés.</w:t>
      </w:r>
    </w:p>
  </w:footnote>
  <w:footnote w:id="5">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Protocolo de Nagoya sobre Acceso a los Recursos Genéticos y Participación Justa y Equitativa en los Beneficios que se Deriven de su Utilización al Convenio sobre la Diversidad Biológica, art. 5.4.</w:t>
      </w:r>
    </w:p>
  </w:footnote>
  <w:footnote w:id="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iCs/>
          <w:szCs w:val="18"/>
          <w:lang w:val="es-419"/>
        </w:rPr>
        <w:t>Directrices de Bonn sobre Acceso a los Recursos Genéticos y Distribución Justa y Equitativa de los Beneficios Provenientes de su Utilización</w:t>
      </w:r>
      <w:r w:rsidRPr="002405D3">
        <w:rPr>
          <w:szCs w:val="18"/>
          <w:lang w:val="es-419"/>
        </w:rPr>
        <w:t xml:space="preserve">, párr. 23. </w:t>
      </w:r>
    </w:p>
  </w:footnote>
  <w:footnote w:id="7">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szCs w:val="18"/>
          <w:lang w:val="es-419"/>
        </w:rPr>
        <w:t xml:space="preserve"> Guía sobre los tratados de derecho de autor y derechos conexos administrados por la OMPI y Glosario de términos y expresiones sobre derecho de autor y derechos conexos, pág. 273, OMPI.</w:t>
      </w:r>
    </w:p>
  </w:footnote>
  <w:footnote w:id="8">
    <w:p w:rsidR="0050487D" w:rsidRPr="002405D3" w:rsidRDefault="0050487D" w:rsidP="0050487D">
      <w:pPr>
        <w:pStyle w:val="FootnoteText"/>
        <w:tabs>
          <w:tab w:val="left" w:pos="500"/>
        </w:tabs>
        <w:ind w:hanging="10"/>
        <w:rPr>
          <w:szCs w:val="18"/>
          <w:lang w:val="es-419"/>
        </w:rPr>
      </w:pPr>
      <w:r w:rsidRPr="002405D3">
        <w:rPr>
          <w:rStyle w:val="FootnoteReference"/>
          <w:szCs w:val="18"/>
          <w:lang w:val="es-419"/>
        </w:rPr>
        <w:footnoteRef/>
      </w:r>
      <w:r w:rsidRPr="002405D3">
        <w:rPr>
          <w:szCs w:val="18"/>
          <w:lang w:val="es-419"/>
        </w:rPr>
        <w:t xml:space="preserve"> La edición consultada del</w:t>
      </w:r>
      <w:r w:rsidRPr="002405D3">
        <w:rPr>
          <w:i/>
          <w:iCs/>
          <w:szCs w:val="18"/>
          <w:lang w:val="es-419"/>
        </w:rPr>
        <w:t xml:space="preserve"> Black’s Law Dictionary</w:t>
      </w:r>
      <w:r w:rsidRPr="002405D3">
        <w:rPr>
          <w:szCs w:val="18"/>
          <w:lang w:val="es-419"/>
        </w:rPr>
        <w:t xml:space="preserve"> es la 8ª, a cargo de Bryan A. Garner.</w:t>
      </w:r>
    </w:p>
  </w:footnote>
  <w:footnote w:id="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2405D3">
          <w:rPr>
            <w:rStyle w:val="Hyperlink"/>
            <w:szCs w:val="18"/>
            <w:lang w:val="es-419"/>
          </w:rPr>
          <w:t>http://www.wipo.int/publications/es/details.jsp?id=3877</w:t>
        </w:r>
      </w:hyperlink>
      <w:r w:rsidRPr="002405D3">
        <w:rPr>
          <w:szCs w:val="18"/>
          <w:lang w:val="es-419"/>
        </w:rPr>
        <w:t xml:space="preserve">. </w:t>
      </w:r>
    </w:p>
  </w:footnote>
  <w:footnote w:id="10">
    <w:p w:rsidR="0050487D" w:rsidRPr="002405D3" w:rsidRDefault="0050487D" w:rsidP="0050487D">
      <w:pPr>
        <w:pStyle w:val="FootnoteText"/>
        <w:tabs>
          <w:tab w:val="left" w:pos="500"/>
        </w:tabs>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iCs/>
          <w:szCs w:val="18"/>
          <w:lang w:val="es-419"/>
        </w:rPr>
        <w:t>Recommendations for African Negotiators from the 2nd Preparatory Meeting of African Indigenous Peoples and Local Communities</w:t>
      </w:r>
      <w:r w:rsidRPr="002405D3">
        <w:rPr>
          <w:szCs w:val="18"/>
          <w:lang w:val="es-419"/>
        </w:rPr>
        <w:t xml:space="preserve"> (UNEP/CBD/COP/10/INF/37), 14 de octubre de 2010.</w:t>
      </w:r>
      <w:r w:rsidRPr="002405D3">
        <w:rPr>
          <w:rStyle w:val="FootnoteTextChar"/>
          <w:szCs w:val="18"/>
          <w:lang w:val="es-419"/>
        </w:rPr>
        <w:t xml:space="preserve"> </w:t>
      </w:r>
    </w:p>
  </w:footnote>
  <w:footnote w:id="11">
    <w:p w:rsidR="0050487D" w:rsidRPr="002405D3" w:rsidRDefault="0050487D" w:rsidP="0050487D">
      <w:pPr>
        <w:pStyle w:val="FootnoteText"/>
        <w:tabs>
          <w:tab w:val="left" w:pos="500"/>
        </w:tabs>
        <w:ind w:hanging="10"/>
        <w:rPr>
          <w:szCs w:val="18"/>
          <w:lang w:val="es-419"/>
        </w:rPr>
      </w:pPr>
      <w:r w:rsidRPr="002405D3">
        <w:rPr>
          <w:rStyle w:val="FootnoteReference"/>
          <w:szCs w:val="18"/>
          <w:lang w:val="es-419"/>
        </w:rPr>
        <w:footnoteRef/>
      </w:r>
      <w:r w:rsidRPr="002405D3">
        <w:rPr>
          <w:szCs w:val="18"/>
          <w:lang w:val="es-419"/>
        </w:rPr>
        <w:t xml:space="preserve"> “Informe de la decimoséptima sesión del Comité” (WIPO/GRTKF/IC/17/12).</w:t>
      </w:r>
    </w:p>
  </w:footnote>
  <w:footnote w:id="12">
    <w:p w:rsidR="0050487D" w:rsidRPr="002405D3" w:rsidRDefault="0050487D" w:rsidP="0050487D">
      <w:pPr>
        <w:pStyle w:val="FootnoteText"/>
        <w:tabs>
          <w:tab w:val="left" w:pos="0"/>
        </w:tabs>
        <w:ind w:hanging="10"/>
        <w:rPr>
          <w:szCs w:val="18"/>
          <w:lang w:val="es-419"/>
        </w:rPr>
      </w:pPr>
      <w:r w:rsidRPr="002405D3">
        <w:rPr>
          <w:rStyle w:val="FootnoteReference"/>
          <w:szCs w:val="18"/>
          <w:lang w:val="es-419"/>
        </w:rPr>
        <w:footnoteRef/>
      </w:r>
      <w:r w:rsidRPr="002405D3">
        <w:rPr>
          <w:szCs w:val="18"/>
          <w:lang w:val="es-419"/>
        </w:rPr>
        <w:t xml:space="preserve"> Directiva 98/44/CE del Parlamento Europeo y del Consejo de 6 de julio de 1998 relativa a la protección jurídica de las invenciones biotecnológicas, art. 3.1.</w:t>
      </w:r>
    </w:p>
  </w:footnote>
  <w:footnote w:id="13">
    <w:p w:rsidR="0050487D" w:rsidRPr="002405D3" w:rsidRDefault="0050487D" w:rsidP="0050487D">
      <w:pPr>
        <w:pStyle w:val="FootnoteText"/>
        <w:tabs>
          <w:tab w:val="left" w:pos="550"/>
        </w:tabs>
        <w:ind w:hanging="10"/>
        <w:rPr>
          <w:szCs w:val="18"/>
          <w:lang w:val="es-419"/>
        </w:rPr>
      </w:pPr>
      <w:r w:rsidRPr="002405D3">
        <w:rPr>
          <w:rStyle w:val="FootnoteReference"/>
          <w:szCs w:val="18"/>
          <w:lang w:val="es-419"/>
        </w:rPr>
        <w:footnoteRef/>
      </w:r>
      <w:r w:rsidRPr="002405D3">
        <w:rPr>
          <w:szCs w:val="18"/>
          <w:lang w:val="es-419"/>
        </w:rPr>
        <w:t xml:space="preserve"> Véase el documento WIPO/GRTKF/IC/1/3, párr. 16.</w:t>
      </w:r>
    </w:p>
  </w:footnote>
  <w:footnote w:id="14">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Declaración de la FAO sobre biotecnología, disponible en:</w:t>
      </w:r>
      <w:r w:rsidRPr="002405D3">
        <w:rPr>
          <w:color w:val="000000" w:themeColor="text1"/>
          <w:szCs w:val="18"/>
          <w:lang w:val="es-419"/>
        </w:rPr>
        <w:t xml:space="preserve"> </w:t>
      </w:r>
      <w:hyperlink r:id="rId2" w:history="1">
        <w:r w:rsidRPr="002405D3">
          <w:rPr>
            <w:rStyle w:val="Hyperlink"/>
            <w:color w:val="000000" w:themeColor="text1"/>
            <w:szCs w:val="18"/>
            <w:lang w:val="es-419"/>
          </w:rPr>
          <w:t>http://www.fao.org/biotech/fao-statement-on-biotechnology/es/</w:t>
        </w:r>
      </w:hyperlink>
      <w:r w:rsidRPr="002405D3">
        <w:rPr>
          <w:color w:val="000000" w:themeColor="text1"/>
          <w:szCs w:val="18"/>
          <w:lang w:val="es-419"/>
        </w:rPr>
        <w:t xml:space="preserve"> </w:t>
      </w:r>
    </w:p>
  </w:footnote>
  <w:footnote w:id="15">
    <w:p w:rsidR="0050487D" w:rsidRPr="002405D3" w:rsidRDefault="0050487D" w:rsidP="0050487D">
      <w:pPr>
        <w:pStyle w:val="FootnoteText"/>
        <w:tabs>
          <w:tab w:val="left" w:pos="600"/>
        </w:tabs>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Véase la definición y la definición basada en la lista completa en:</w:t>
      </w:r>
      <w:r w:rsidRPr="002405D3">
        <w:rPr>
          <w:color w:val="000000" w:themeColor="text1"/>
          <w:szCs w:val="18"/>
          <w:lang w:val="es-419"/>
        </w:rPr>
        <w:t xml:space="preserve"> </w:t>
      </w:r>
      <w:hyperlink r:id="rId3" w:history="1">
        <w:r w:rsidRPr="002405D3">
          <w:rPr>
            <w:rStyle w:val="Hyperlink"/>
            <w:szCs w:val="18"/>
            <w:lang w:val="es-419"/>
          </w:rPr>
          <w:t>http://www.oecd.org/sti/biotechnologypolicies/statisticaldefinitionofbiotechnology.htm</w:t>
        </w:r>
      </w:hyperlink>
      <w:r w:rsidRPr="002405D3">
        <w:rPr>
          <w:szCs w:val="18"/>
          <w:lang w:val="es-419"/>
        </w:rPr>
        <w:t xml:space="preserve">. </w:t>
      </w:r>
    </w:p>
  </w:footnote>
  <w:footnote w:id="16">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i/>
          <w:iCs/>
          <w:szCs w:val="18"/>
          <w:lang w:val="es-419"/>
        </w:rPr>
        <w:t>Directrices de Bonn</w:t>
      </w:r>
      <w:r w:rsidRPr="002405D3">
        <w:rPr>
          <w:szCs w:val="18"/>
          <w:lang w:val="es-419"/>
        </w:rPr>
        <w:t>, art. 1, 7.a) y 17 a 21.</w:t>
      </w:r>
    </w:p>
  </w:footnote>
  <w:footnote w:id="17">
    <w:p w:rsidR="0050487D" w:rsidRPr="002405D3" w:rsidRDefault="0050487D" w:rsidP="0050487D">
      <w:pPr>
        <w:pStyle w:val="FootnoteText"/>
        <w:tabs>
          <w:tab w:val="left" w:pos="600"/>
        </w:tabs>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i/>
          <w:iCs/>
          <w:szCs w:val="18"/>
          <w:lang w:val="es-419"/>
        </w:rPr>
        <w:t>Directrices de Bonn</w:t>
      </w:r>
      <w:r w:rsidRPr="002405D3">
        <w:rPr>
          <w:szCs w:val="18"/>
          <w:lang w:val="es-419"/>
        </w:rPr>
        <w:t>, art. 24 a 50, Apéndice II.</w:t>
      </w:r>
    </w:p>
  </w:footnote>
  <w:footnote w:id="18">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Véase la página 22 del </w:t>
      </w:r>
      <w:hyperlink r:id="rId4" w:history="1">
        <w:r w:rsidRPr="002405D3">
          <w:rPr>
            <w:rStyle w:val="Hyperlink"/>
            <w:i/>
            <w:iCs/>
            <w:color w:val="000000" w:themeColor="text1"/>
            <w:szCs w:val="18"/>
            <w:lang w:val="es-419"/>
          </w:rPr>
          <w:t>Glossary of Terms for Negotiators of Multilateral Environmental Agreements</w:t>
        </w:r>
      </w:hyperlink>
      <w:r w:rsidRPr="002405D3">
        <w:rPr>
          <w:color w:val="000000" w:themeColor="text1"/>
          <w:szCs w:val="18"/>
          <w:lang w:val="es-419"/>
        </w:rPr>
        <w:t xml:space="preserve">, del PNUMA, que puede consultarse en </w:t>
      </w:r>
      <w:hyperlink r:id="rId5" w:history="1">
        <w:r w:rsidRPr="002405D3">
          <w:rPr>
            <w:rStyle w:val="Hyperlink"/>
            <w:color w:val="000000" w:themeColor="text1"/>
            <w:szCs w:val="18"/>
            <w:lang w:val="es-419"/>
          </w:rPr>
          <w:t>https://www.unenvironment.org/resources/report/glossary-terms-negotiators-multilateral-environmental-agreements</w:t>
        </w:r>
      </w:hyperlink>
      <w:r w:rsidRPr="002405D3">
        <w:rPr>
          <w:szCs w:val="18"/>
          <w:lang w:val="es-419"/>
        </w:rPr>
        <w:t>.</w:t>
      </w:r>
      <w:r w:rsidRPr="002405D3">
        <w:rPr>
          <w:color w:val="000000" w:themeColor="text1"/>
          <w:szCs w:val="18"/>
          <w:lang w:val="es-419"/>
        </w:rPr>
        <w:t xml:space="preserve"> </w:t>
      </w:r>
    </w:p>
  </w:footnote>
  <w:footnote w:id="1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“Lista y breve descripción técnica de las diferentes formas que pueden presentar los conocimientos tradicionales” (WIPO/GRTKF/IC/17/INF/9), párr. 16 del Anexo. </w:t>
      </w:r>
    </w:p>
  </w:footnote>
  <w:footnote w:id="2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La medicina Ayurveda es un sistema codificado de medicina tradicional que se legó por escrito en el período védico, cuando los arios compilaron los cuatro Vedas (1500-1800 A.C.) y cuyas referencias máximas se hallan en el </w:t>
      </w:r>
      <w:r w:rsidRPr="002405D3">
        <w:rPr>
          <w:i/>
          <w:szCs w:val="18"/>
          <w:lang w:val="es-419"/>
        </w:rPr>
        <w:t>Rigveda</w:t>
      </w:r>
      <w:r w:rsidRPr="002405D3">
        <w:rPr>
          <w:szCs w:val="18"/>
          <w:lang w:val="es-419"/>
        </w:rPr>
        <w:t xml:space="preserve"> y el </w:t>
      </w:r>
      <w:r w:rsidRPr="002405D3">
        <w:rPr>
          <w:i/>
          <w:szCs w:val="18"/>
          <w:lang w:val="es-419"/>
        </w:rPr>
        <w:t>Atharvaveda.</w:t>
      </w:r>
    </w:p>
  </w:footnote>
  <w:footnote w:id="2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La medicina tradicional china fue codificada y se divulgó inicialmente por escrito en el </w:t>
      </w:r>
      <w:r w:rsidRPr="002405D3">
        <w:rPr>
          <w:i/>
          <w:szCs w:val="18"/>
          <w:lang w:val="es-419"/>
        </w:rPr>
        <w:t>Canon de Medicina Interna del Emperador Amarillo</w:t>
      </w:r>
      <w:r w:rsidRPr="002405D3">
        <w:rPr>
          <w:szCs w:val="18"/>
          <w:lang w:val="es-419"/>
        </w:rPr>
        <w:t>, primer clásico monumental que estableció la medicina tradicional china. El Canon se compiló durante varios cientos de años y apareció entre los años 300 y 100 A.C.</w:t>
      </w:r>
    </w:p>
  </w:footnote>
  <w:footnote w:id="2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8. Véase también, Karin Timmermans y Togi Hutadjulu: “The TRIPs Agreement and Pharmaceuticals: Report of an ASEAN Workshop on the TRIPs Agreement and its Impact on Pharmaceuticals”, pág. 45.</w:t>
      </w:r>
    </w:p>
  </w:footnote>
  <w:footnote w:id="2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Intervención de la Delegación del Canadá. Véase el informe de la segunda sesión (OMPI/GRTKF/IC/2/16), párr. 131. </w:t>
      </w:r>
    </w:p>
  </w:footnote>
  <w:footnote w:id="2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Terri Janke, Pathways &amp; Protocols – </w:t>
      </w:r>
      <w:r w:rsidRPr="002405D3">
        <w:rPr>
          <w:i/>
          <w:iCs/>
          <w:szCs w:val="18"/>
          <w:lang w:val="es-419"/>
        </w:rPr>
        <w:t>A Filmaker’s guide to Working with Indigenous People, Culture and Concepts</w:t>
      </w:r>
      <w:r w:rsidRPr="002405D3">
        <w:rPr>
          <w:szCs w:val="18"/>
          <w:lang w:val="es-419"/>
        </w:rPr>
        <w:t>, pág. 51.</w:t>
      </w:r>
    </w:p>
  </w:footnote>
  <w:footnote w:id="25">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Proyecto de glosario encargado por la Comisión Nacional de los Países Bajos ante la UNESCO a un grupo de expertos de dicho país (TER/CH/2002/WD/4) 2002. (Traducción oficiosa de la Oficina Internacional).</w:t>
      </w:r>
    </w:p>
  </w:footnote>
  <w:footnote w:id="2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Convención de la UNESCO sobre la protección y la promoción de la diversidad de las expresiones culturales, 2005, art. 4.1.</w:t>
      </w:r>
    </w:p>
  </w:footnote>
  <w:footnote w:id="2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Convención de la UNESCO sobre la protección y la promoción de la diversidad de las expresiones culturales, 2005, art. 4.3).</w:t>
      </w:r>
    </w:p>
  </w:footnote>
  <w:footnote w:id="28">
    <w:p w:rsidR="0050487D" w:rsidRPr="002405D3" w:rsidRDefault="0050487D" w:rsidP="0050487D">
      <w:pPr>
        <w:pStyle w:val="FootnoteText"/>
        <w:ind w:hanging="10"/>
        <w:rPr>
          <w:szCs w:val="18"/>
          <w:lang w:val="es-419"/>
        </w:rPr>
      </w:pPr>
      <w:r w:rsidRPr="002405D3">
        <w:rPr>
          <w:szCs w:val="18"/>
          <w:lang w:val="es-419"/>
        </w:rPr>
        <w:footnoteRef/>
      </w:r>
      <w:r w:rsidRPr="002405D3">
        <w:rPr>
          <w:szCs w:val="18"/>
          <w:lang w:val="es-419"/>
        </w:rPr>
        <w:t xml:space="preserve"> Tesauro de la UNESCO, </w:t>
      </w:r>
      <w:hyperlink r:id="rId6" w:history="1">
        <w:r w:rsidRPr="002405D3">
          <w:rPr>
            <w:szCs w:val="18"/>
            <w:lang w:val="es-419"/>
          </w:rPr>
          <w:t>http://www.vocabularyserver.com/unesco/en/index.php?tema=2526&amp;/cultural-identity</w:t>
        </w:r>
      </w:hyperlink>
      <w:r w:rsidRPr="002405D3">
        <w:rPr>
          <w:szCs w:val="18"/>
          <w:lang w:val="es-419"/>
        </w:rPr>
        <w:t xml:space="preserve">. (Traducción oficiosa de la Oficina Internacional). </w:t>
      </w:r>
    </w:p>
  </w:footnote>
  <w:footnote w:id="2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Convenio N.º 169 de la OIT sobre pueblos indígenas y tribales en países independientes, 1989, art. 2.2)b).</w:t>
      </w:r>
    </w:p>
  </w:footnote>
  <w:footnote w:id="30">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rStyle w:val="FootnoteTextChar"/>
          <w:szCs w:val="18"/>
          <w:lang w:val="es-419"/>
        </w:rPr>
        <w:t xml:space="preserve">Disposiciones Tipo para leyes nacionales sobre la protección de las expresiones del folclore contra la explotación ilícita y otras acciones lesivas (1982), Parte III, párr. 42. </w:t>
      </w:r>
    </w:p>
  </w:footnote>
  <w:footnote w:id="3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Proteger los derechos de la comunidad sobre los conocimientos tradicionales: repercusiones de las leyes y prácticas consuetudinarias. Seminario de planificación de la investigación, Cuzco (Perú), 20 a 25 de mayo de 2005.</w:t>
      </w:r>
    </w:p>
  </w:footnote>
  <w:footnote w:id="32">
    <w:p w:rsidR="0050487D" w:rsidRPr="002405D3" w:rsidRDefault="0050487D" w:rsidP="0050487D">
      <w:pPr>
        <w:pStyle w:val="FootnoteText"/>
        <w:tabs>
          <w:tab w:val="left" w:pos="500"/>
        </w:tabs>
        <w:ind w:hanging="10"/>
        <w:rPr>
          <w:rStyle w:val="FootnoteReference"/>
          <w:szCs w:val="18"/>
          <w:lang w:val="es-419"/>
        </w:rPr>
      </w:pPr>
      <w:r w:rsidRPr="002405D3">
        <w:rPr>
          <w:rStyle w:val="FootnoteReference"/>
          <w:szCs w:val="18"/>
          <w:lang w:val="es-419"/>
        </w:rPr>
        <w:footnoteRef/>
      </w:r>
      <w:r w:rsidRPr="002405D3">
        <w:rPr>
          <w:szCs w:val="18"/>
          <w:lang w:val="es-419"/>
        </w:rPr>
        <w:t xml:space="preserve"> </w:t>
      </w:r>
      <w:r w:rsidRPr="002405D3">
        <w:rPr>
          <w:i/>
          <w:szCs w:val="18"/>
          <w:lang w:val="es-419"/>
        </w:rPr>
        <w:t>Customary Law, Traditional Knowledge and Intellectual Property:</w:t>
      </w:r>
      <w:r w:rsidRPr="002405D3">
        <w:rPr>
          <w:szCs w:val="18"/>
          <w:lang w:val="es-419"/>
        </w:rPr>
        <w:t xml:space="preserve"> </w:t>
      </w:r>
      <w:r w:rsidRPr="002405D3">
        <w:rPr>
          <w:i/>
          <w:iCs/>
          <w:szCs w:val="18"/>
          <w:lang w:val="es-419"/>
        </w:rPr>
        <w:t>An Outline of the Issues</w:t>
      </w:r>
      <w:r w:rsidRPr="002405D3">
        <w:rPr>
          <w:szCs w:val="18"/>
          <w:lang w:val="es-419"/>
        </w:rPr>
        <w:t xml:space="preserve"> (2013): </w:t>
      </w:r>
      <w:hyperlink r:id="rId7" w:history="1">
        <w:r w:rsidRPr="002405D3">
          <w:rPr>
            <w:rStyle w:val="Hyperlink"/>
            <w:szCs w:val="18"/>
            <w:lang w:val="es-419"/>
          </w:rPr>
          <w:t>http://www.wipo.int/export/sites/www/tk/en/resources/pdf/overview_customary_law.pdf</w:t>
        </w:r>
      </w:hyperlink>
      <w:r w:rsidRPr="002405D3">
        <w:rPr>
          <w:szCs w:val="18"/>
          <w:lang w:val="es-419"/>
        </w:rPr>
        <w:t xml:space="preserve">. </w:t>
      </w:r>
    </w:p>
  </w:footnote>
  <w:footnote w:id="33">
    <w:p w:rsidR="0050487D" w:rsidRPr="002405D3" w:rsidRDefault="0050487D" w:rsidP="0050487D">
      <w:pPr>
        <w:pStyle w:val="FootnoteText"/>
        <w:tabs>
          <w:tab w:val="left" w:pos="500"/>
        </w:tabs>
        <w:ind w:hanging="10"/>
        <w:rPr>
          <w:rStyle w:val="FootnoteReference"/>
          <w:szCs w:val="18"/>
          <w:lang w:val="es-419"/>
        </w:rPr>
      </w:pPr>
      <w:r w:rsidRPr="002405D3">
        <w:rPr>
          <w:rStyle w:val="FootnoteReference"/>
          <w:szCs w:val="18"/>
          <w:lang w:val="es-419"/>
        </w:rPr>
        <w:footnoteRef/>
      </w:r>
      <w:r w:rsidRPr="002405D3">
        <w:rPr>
          <w:szCs w:val="18"/>
          <w:lang w:val="es-419"/>
        </w:rPr>
        <w:t xml:space="preserve"> Paul Kuruk, “El derecho consuetudinario en África y la protección del folclore”, en </w:t>
      </w:r>
      <w:r w:rsidRPr="002405D3">
        <w:rPr>
          <w:i/>
          <w:iCs/>
          <w:szCs w:val="18"/>
          <w:lang w:val="es-419"/>
        </w:rPr>
        <w:t>Boletín de Derecho de Autor</w:t>
      </w:r>
      <w:r w:rsidRPr="002405D3">
        <w:rPr>
          <w:szCs w:val="18"/>
          <w:lang w:val="es-419"/>
        </w:rPr>
        <w:t xml:space="preserve">, XXXVI, No.2, 2002, pág. 6 (http://unesdoc.unesco.org/images/0012/001277/127784s.pdf), extraído en parte, París, 15 de junio de 1982, </w:t>
      </w:r>
      <w:r w:rsidRPr="002405D3">
        <w:rPr>
          <w:i/>
          <w:iCs/>
          <w:szCs w:val="18"/>
          <w:lang w:val="es-419"/>
        </w:rPr>
        <w:t>Gazette du Palais</w:t>
      </w:r>
      <w:r w:rsidRPr="002405D3">
        <w:rPr>
          <w:szCs w:val="18"/>
          <w:lang w:val="es-419"/>
        </w:rPr>
        <w:t xml:space="preserve">, 1982.2, Resumen, pág. 378, o París, 25 de abril de 1978, </w:t>
      </w:r>
      <w:r w:rsidRPr="002405D3">
        <w:rPr>
          <w:i/>
          <w:iCs/>
          <w:szCs w:val="18"/>
          <w:lang w:val="es-419"/>
        </w:rPr>
        <w:t>Gazette du Palais</w:t>
      </w:r>
      <w:r w:rsidRPr="002405D3">
        <w:rPr>
          <w:szCs w:val="18"/>
          <w:lang w:val="es-419"/>
        </w:rPr>
        <w:t>, 1978,2, pág. 448.</w:t>
      </w:r>
    </w:p>
  </w:footnote>
  <w:footnote w:id="34">
    <w:p w:rsidR="0050487D" w:rsidRPr="002405D3" w:rsidRDefault="0050487D" w:rsidP="0050487D">
      <w:pPr>
        <w:pStyle w:val="FootnoteText"/>
        <w:tabs>
          <w:tab w:val="left" w:pos="500"/>
        </w:tabs>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szCs w:val="18"/>
          <w:lang w:val="es-419"/>
        </w:rPr>
        <w:t>Customary Law, Traditional Knowledge and Intellectual Property:</w:t>
      </w:r>
      <w:r w:rsidRPr="002405D3">
        <w:rPr>
          <w:szCs w:val="18"/>
          <w:lang w:val="es-419"/>
        </w:rPr>
        <w:t xml:space="preserve"> </w:t>
      </w:r>
      <w:r w:rsidRPr="002405D3">
        <w:rPr>
          <w:i/>
          <w:iCs/>
          <w:szCs w:val="18"/>
          <w:lang w:val="es-419"/>
        </w:rPr>
        <w:t>An Outline of the Issues</w:t>
      </w:r>
      <w:r w:rsidRPr="002405D3">
        <w:rPr>
          <w:szCs w:val="18"/>
          <w:lang w:val="es-419"/>
        </w:rPr>
        <w:t xml:space="preserve"> (2013): </w:t>
      </w:r>
      <w:hyperlink r:id="rId8" w:history="1">
        <w:r w:rsidRPr="002405D3">
          <w:rPr>
            <w:rStyle w:val="Hyperlink"/>
            <w:szCs w:val="18"/>
            <w:lang w:val="es-419"/>
          </w:rPr>
          <w:t>http://www.wipo.int/export/sites/www/tk/en/resources/pdf/overview_customary_law.pdf</w:t>
        </w:r>
      </w:hyperlink>
      <w:r w:rsidRPr="002405D3">
        <w:rPr>
          <w:szCs w:val="18"/>
          <w:lang w:val="es-419"/>
        </w:rPr>
        <w:t xml:space="preserve">. </w:t>
      </w:r>
    </w:p>
  </w:footnote>
  <w:footnote w:id="35">
    <w:p w:rsidR="0050487D" w:rsidRPr="002405D3" w:rsidRDefault="0050487D" w:rsidP="0050487D">
      <w:pPr>
        <w:pStyle w:val="FootnoteText"/>
        <w:tabs>
          <w:tab w:val="left" w:pos="500"/>
        </w:tabs>
        <w:ind w:hanging="10"/>
        <w:rPr>
          <w:szCs w:val="18"/>
          <w:lang w:val="es-419"/>
        </w:rPr>
      </w:pPr>
      <w:r w:rsidRPr="002405D3">
        <w:rPr>
          <w:rStyle w:val="FootnoteReference"/>
          <w:szCs w:val="18"/>
          <w:lang w:val="es-419"/>
        </w:rPr>
        <w:footnoteRef/>
      </w:r>
      <w:r w:rsidRPr="002405D3">
        <w:rPr>
          <w:szCs w:val="18"/>
          <w:lang w:val="es-419"/>
        </w:rPr>
        <w:t xml:space="preserve"> Véase el documento WIPO/GRTKF/IC/2/3, párr. 2; la base de datos de Internet está disponible en: </w:t>
      </w:r>
      <w:hyperlink r:id="rId9" w:history="1">
        <w:r w:rsidRPr="002405D3">
          <w:rPr>
            <w:rStyle w:val="Hyperlink"/>
            <w:szCs w:val="18"/>
            <w:lang w:val="es-419"/>
          </w:rPr>
          <w:t>https://www.wipo.int/tk/es/databases/contracts/index.html</w:t>
        </w:r>
      </w:hyperlink>
      <w:r w:rsidRPr="002405D3">
        <w:rPr>
          <w:szCs w:val="18"/>
          <w:lang w:val="es-419"/>
        </w:rPr>
        <w:t xml:space="preserve"> </w:t>
      </w:r>
    </w:p>
  </w:footnote>
  <w:footnote w:id="36">
    <w:p w:rsidR="0050487D" w:rsidRPr="002405D3" w:rsidRDefault="0050487D" w:rsidP="0050487D">
      <w:pPr>
        <w:pStyle w:val="FootnoteText"/>
        <w:tabs>
          <w:tab w:val="left" w:pos="550"/>
        </w:tabs>
        <w:ind w:hanging="10"/>
        <w:rPr>
          <w:szCs w:val="18"/>
          <w:lang w:val="es-419"/>
        </w:rPr>
      </w:pPr>
      <w:r w:rsidRPr="002405D3">
        <w:rPr>
          <w:rStyle w:val="FootnoteReference"/>
          <w:szCs w:val="18"/>
          <w:lang w:val="es-419"/>
        </w:rPr>
        <w:footnoteRef/>
      </w:r>
      <w:r w:rsidRPr="002405D3">
        <w:rPr>
          <w:szCs w:val="18"/>
          <w:lang w:val="es-419"/>
        </w:rPr>
        <w:t xml:space="preserve"> Véase el documento WIPO/GRTKF/IC/17/INF/11.</w:t>
      </w:r>
    </w:p>
  </w:footnote>
  <w:footnote w:id="3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rsidR="0050487D" w:rsidRPr="002405D3" w:rsidRDefault="0050487D" w:rsidP="0050487D">
      <w:pPr>
        <w:pStyle w:val="FootnoteText"/>
        <w:ind w:hanging="10"/>
        <w:rPr>
          <w:szCs w:val="18"/>
          <w:lang w:val="es-419"/>
        </w:rPr>
      </w:pPr>
      <w:r w:rsidRPr="002405D3">
        <w:rPr>
          <w:szCs w:val="18"/>
          <w:lang w:val="es-419"/>
        </w:rPr>
        <w:footnoteRef/>
      </w:r>
      <w:r w:rsidRPr="002405D3">
        <w:rPr>
          <w:szCs w:val="18"/>
          <w:lang w:val="es-419"/>
        </w:rPr>
        <w:t xml:space="preserve"> Guía de la OMPI sobre los tratados de derecho de autor y derechos conexos administrados por la OMPI (Capítulo 7: “Glosario de términos y expresiones sobre derecho de autor y derechos conexos”), OMPI.</w:t>
      </w:r>
    </w:p>
  </w:footnote>
  <w:footnote w:id="39">
    <w:p w:rsidR="0050487D" w:rsidRPr="002405D3" w:rsidRDefault="0050487D" w:rsidP="0050487D">
      <w:pPr>
        <w:pStyle w:val="FootnoteText"/>
        <w:ind w:hanging="10"/>
        <w:rPr>
          <w:szCs w:val="18"/>
          <w:lang w:val="es-419"/>
        </w:rPr>
      </w:pPr>
      <w:r w:rsidRPr="002405D3">
        <w:rPr>
          <w:szCs w:val="18"/>
          <w:lang w:val="es-419"/>
        </w:rPr>
        <w:footnoteRef/>
      </w:r>
      <w:r w:rsidRPr="002405D3">
        <w:rPr>
          <w:szCs w:val="18"/>
          <w:lang w:val="es-419"/>
        </w:rPr>
        <w:t xml:space="preserve"> Convenio de Berna, art. 2.5), Acuerdo sobre los ADPIC, art. 10.2) y Tratado de la OMPI sobre Derecho de Autor, art. 6</w:t>
      </w:r>
    </w:p>
  </w:footnote>
  <w:footnote w:id="40">
    <w:p w:rsidR="0050487D" w:rsidRPr="002405D3" w:rsidRDefault="0050487D" w:rsidP="0050487D">
      <w:pPr>
        <w:pStyle w:val="FootnoteText"/>
        <w:ind w:hanging="10"/>
        <w:rPr>
          <w:szCs w:val="18"/>
          <w:lang w:val="es-419"/>
        </w:rPr>
      </w:pPr>
      <w:r w:rsidRPr="002405D3">
        <w:rPr>
          <w:szCs w:val="18"/>
          <w:lang w:val="es-419"/>
        </w:rPr>
        <w:footnoteRef/>
      </w:r>
      <w:r w:rsidRPr="002405D3">
        <w:rPr>
          <w:szCs w:val="18"/>
          <w:lang w:val="es-419"/>
        </w:rPr>
        <w:t xml:space="preserve"> Sam Ricketson y Jane C. Ginsburg, </w:t>
      </w:r>
      <w:r w:rsidRPr="002405D3">
        <w:rPr>
          <w:i/>
          <w:iCs/>
          <w:szCs w:val="18"/>
          <w:lang w:val="es-419"/>
        </w:rPr>
        <w:t>International Copyright and Neighboring Rights—The Berne Convention and Beyond</w:t>
      </w:r>
      <w:r w:rsidRPr="002405D3">
        <w:rPr>
          <w:szCs w:val="18"/>
          <w:lang w:val="es-419"/>
        </w:rPr>
        <w:t>, Oxford, Vol. I., pág. 485.</w:t>
      </w:r>
    </w:p>
  </w:footnote>
  <w:footnote w:id="41">
    <w:p w:rsidR="0050487D" w:rsidRPr="002405D3" w:rsidRDefault="0050487D" w:rsidP="0050487D">
      <w:pPr>
        <w:pStyle w:val="FootnoteText"/>
        <w:tabs>
          <w:tab w:val="left" w:pos="880"/>
        </w:tabs>
        <w:ind w:hanging="10"/>
        <w:rPr>
          <w:szCs w:val="18"/>
          <w:lang w:val="es-419"/>
        </w:rPr>
      </w:pPr>
      <w:r w:rsidRPr="002405D3">
        <w:rPr>
          <w:szCs w:val="18"/>
          <w:lang w:val="es-419"/>
        </w:rPr>
        <w:footnoteRef/>
      </w:r>
      <w:r w:rsidRPr="002405D3">
        <w:rPr>
          <w:szCs w:val="18"/>
          <w:lang w:val="es-419"/>
        </w:rPr>
        <w:t xml:space="preserve"> Marco Regional para el Pacífico relativo a la protección de los conocimientos tradicionales y las expresiones de la cultura (2002), Parte I, art. 4. (Traducción oficiosa de la Oficina Internacional).</w:t>
      </w:r>
    </w:p>
  </w:footnote>
  <w:footnote w:id="42">
    <w:p w:rsidR="0050487D" w:rsidRPr="002405D3" w:rsidRDefault="0050487D" w:rsidP="0050487D">
      <w:pPr>
        <w:pStyle w:val="FootnoteText"/>
        <w:tabs>
          <w:tab w:val="left" w:pos="990"/>
        </w:tabs>
        <w:ind w:hanging="10"/>
        <w:rPr>
          <w:rStyle w:val="FootnoteReference"/>
          <w:szCs w:val="18"/>
          <w:lang w:val="es-419"/>
        </w:rPr>
      </w:pPr>
      <w:r w:rsidRPr="002405D3">
        <w:rPr>
          <w:szCs w:val="18"/>
          <w:lang w:val="es-419"/>
        </w:rPr>
        <w:footnoteRef/>
      </w:r>
      <w:r w:rsidRPr="002405D3">
        <w:rPr>
          <w:szCs w:val="18"/>
          <w:lang w:val="es-419"/>
        </w:rPr>
        <w:t xml:space="preserve"> Sam Ricketson y Jane C. Ginsburg, </w:t>
      </w:r>
      <w:r w:rsidRPr="002405D3">
        <w:rPr>
          <w:i/>
          <w:iCs/>
          <w:szCs w:val="18"/>
          <w:lang w:val="es-419"/>
        </w:rPr>
        <w:t>op. cit</w:t>
      </w:r>
      <w:r w:rsidRPr="002405D3">
        <w:rPr>
          <w:szCs w:val="18"/>
          <w:lang w:val="es-419"/>
        </w:rPr>
        <w:t>. en la nota 46, pág. 603.</w:t>
      </w:r>
    </w:p>
  </w:footnote>
  <w:footnote w:id="43">
    <w:p w:rsidR="0050487D" w:rsidRPr="002405D3" w:rsidRDefault="0050487D" w:rsidP="0050487D">
      <w:pPr>
        <w:pStyle w:val="FootnoteText"/>
        <w:tabs>
          <w:tab w:val="left" w:pos="990"/>
        </w:tabs>
        <w:ind w:hanging="10"/>
        <w:rPr>
          <w:szCs w:val="18"/>
          <w:lang w:val="es-419"/>
        </w:rPr>
      </w:pPr>
      <w:r w:rsidRPr="002405D3">
        <w:rPr>
          <w:rStyle w:val="FootnoteReference"/>
          <w:szCs w:val="18"/>
          <w:lang w:val="es-419"/>
        </w:rPr>
        <w:footnoteRef/>
      </w:r>
      <w:r w:rsidRPr="002405D3">
        <w:rPr>
          <w:szCs w:val="18"/>
          <w:lang w:val="es-419"/>
        </w:rPr>
        <w:t xml:space="preserve"> “Lista y breve descripción técnica de las diferentes formas que pueden presentar los conocimientos tradicionales” (WIPO/GRTKF/IC/17/INF/9), párr. 4 del Anexo. </w:t>
      </w:r>
    </w:p>
  </w:footnote>
  <w:footnote w:id="4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Guía de la OMPI sobre los tratados de derecho de autor..., </w:t>
      </w:r>
      <w:r w:rsidRPr="002405D3">
        <w:rPr>
          <w:i/>
          <w:iCs/>
          <w:szCs w:val="18"/>
          <w:lang w:val="es-419"/>
        </w:rPr>
        <w:t>op. cit</w:t>
      </w:r>
      <w:r w:rsidRPr="002405D3">
        <w:rPr>
          <w:szCs w:val="18"/>
          <w:lang w:val="es-419"/>
        </w:rPr>
        <w:t>. en la nota 44, pág. 291.</w:t>
      </w:r>
    </w:p>
  </w:footnote>
  <w:footnote w:id="45">
    <w:p w:rsidR="0050487D" w:rsidRPr="002405D3" w:rsidRDefault="0050487D" w:rsidP="0050487D">
      <w:pPr>
        <w:pStyle w:val="FootnoteText"/>
        <w:ind w:hanging="10"/>
        <w:rPr>
          <w:i/>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i/>
          <w:szCs w:val="18"/>
          <w:lang w:val="es-419"/>
        </w:rPr>
        <w:t>Art. 10bis y 11. Véase asimismo Sam Ricketson y Jane C. Ginsburg, op. cit. en la nota 46, pág. 614.</w:t>
      </w:r>
    </w:p>
  </w:footnote>
  <w:footnote w:id="4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WO/GA/32/8, párr. 75 del Anexo.</w:t>
      </w:r>
    </w:p>
  </w:footnote>
  <w:footnote w:id="4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Para más información, véanse las págs. 7 a 11 del Anexo I del documento WIPO/GRTKF/IC/16/6. </w:t>
      </w:r>
    </w:p>
  </w:footnote>
  <w:footnote w:id="4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Publicación N.º 786 de la OMPI, </w:t>
      </w:r>
      <w:r w:rsidRPr="002405D3">
        <w:rPr>
          <w:i/>
          <w:iCs/>
          <w:szCs w:val="18"/>
          <w:lang w:val="es-419"/>
        </w:rPr>
        <w:t>WIPO Technical Study on Patent Disclosure Requirements related to Genetic Resources and Traditional Knowledge</w:t>
      </w:r>
      <w:r w:rsidRPr="002405D3">
        <w:rPr>
          <w:szCs w:val="18"/>
          <w:lang w:val="es-419"/>
        </w:rPr>
        <w:t xml:space="preserve">, pág. 65. 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Pr="002405D3">
          <w:rPr>
            <w:rStyle w:val="Hyperlink"/>
            <w:szCs w:val="18"/>
            <w:lang w:val="es-419"/>
          </w:rPr>
          <w:t>http://wwws.wipo.int/publications/es/details.jsp?id=4194</w:t>
        </w:r>
      </w:hyperlink>
      <w:r w:rsidRPr="002405D3">
        <w:rPr>
          <w:szCs w:val="18"/>
          <w:lang w:val="es-419"/>
        </w:rPr>
        <w:t xml:space="preserve"> </w:t>
      </w:r>
    </w:p>
  </w:footnote>
  <w:footnote w:id="4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WIPO/GRTKF/IC/9/13 (propuesta alternativa).</w:t>
      </w:r>
    </w:p>
  </w:footnote>
  <w:footnote w:id="50">
    <w:p w:rsidR="0050487D" w:rsidRPr="002405D3" w:rsidRDefault="0050487D" w:rsidP="0050487D">
      <w:pPr>
        <w:pStyle w:val="FootnoteText"/>
        <w:ind w:hanging="10"/>
        <w:rPr>
          <w:i/>
          <w:iCs/>
          <w:szCs w:val="18"/>
          <w:lang w:val="es-419"/>
        </w:rPr>
      </w:pPr>
      <w:r w:rsidRPr="002405D3">
        <w:rPr>
          <w:rStyle w:val="FootnoteReference"/>
          <w:szCs w:val="18"/>
          <w:lang w:val="es-419"/>
        </w:rPr>
        <w:footnoteRef/>
      </w:r>
      <w:r w:rsidRPr="002405D3">
        <w:rPr>
          <w:szCs w:val="18"/>
          <w:lang w:val="es-419"/>
        </w:rPr>
        <w:t xml:space="preserve"> Véase el documento TN/C/W/52.</w:t>
      </w:r>
    </w:p>
  </w:footnote>
  <w:footnote w:id="5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“Informe sobre la Guía para la gestión de la propiedad intelectual en la catalogación de conocimientos tradicionales y recursos genéticos” (WIPO/GRTKF/IC/5/5), pág. 4 del Anexo.</w:t>
      </w:r>
    </w:p>
  </w:footnote>
  <w:footnote w:id="5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Guía de la OMPI sobre los tratados de derecho de autor..., </w:t>
      </w:r>
      <w:r w:rsidRPr="002405D3">
        <w:rPr>
          <w:i/>
          <w:iCs/>
          <w:szCs w:val="18"/>
          <w:lang w:val="es-419"/>
        </w:rPr>
        <w:t>op. cit</w:t>
      </w:r>
      <w:r w:rsidRPr="002405D3">
        <w:rPr>
          <w:szCs w:val="18"/>
          <w:lang w:val="es-419"/>
        </w:rPr>
        <w:t xml:space="preserve">. en la nota 44. </w:t>
      </w:r>
    </w:p>
  </w:footnote>
  <w:footnote w:id="53">
    <w:p w:rsidR="0050487D" w:rsidRPr="002405D3" w:rsidRDefault="0050487D" w:rsidP="0050487D">
      <w:pPr>
        <w:pStyle w:val="FootnoteText"/>
        <w:ind w:hanging="10"/>
        <w:jc w:val="both"/>
        <w:rPr>
          <w:szCs w:val="18"/>
          <w:lang w:val="es-419"/>
        </w:rPr>
      </w:pPr>
      <w:r w:rsidRPr="002405D3">
        <w:rPr>
          <w:rStyle w:val="FootnoteReference"/>
          <w:bCs/>
          <w:szCs w:val="18"/>
          <w:lang w:val="es-419"/>
        </w:rPr>
        <w:footnoteRef/>
      </w:r>
      <w:r w:rsidRPr="002405D3">
        <w:rPr>
          <w:rStyle w:val="FootnoteReference"/>
          <w:szCs w:val="18"/>
          <w:lang w:val="es-419"/>
        </w:rPr>
        <w:t xml:space="preserve"> </w:t>
      </w:r>
      <w:r w:rsidRPr="002405D3">
        <w:rPr>
          <w:szCs w:val="18"/>
          <w:lang w:val="es-419"/>
        </w:rPr>
        <w:t xml:space="preserve">Excepciones y limitaciones al derecho de autor y los derechos conexos, estudio preparado por Pierre Sirinelli </w:t>
      </w:r>
    </w:p>
    <w:p w:rsidR="0050487D" w:rsidRPr="002405D3" w:rsidRDefault="0050487D" w:rsidP="0050487D">
      <w:pPr>
        <w:pStyle w:val="FootnoteText"/>
        <w:ind w:hanging="10"/>
        <w:jc w:val="both"/>
        <w:rPr>
          <w:szCs w:val="18"/>
          <w:lang w:val="es-419"/>
        </w:rPr>
      </w:pPr>
      <w:r w:rsidRPr="002405D3">
        <w:rPr>
          <w:szCs w:val="18"/>
          <w:lang w:val="es-419"/>
        </w:rPr>
        <w:t xml:space="preserve">(WCT-WPPT/IMP/1), 1999, pág. 2. </w:t>
      </w:r>
    </w:p>
  </w:footnote>
  <w:footnote w:id="54">
    <w:p w:rsidR="0050487D" w:rsidRPr="002405D3" w:rsidRDefault="0050487D" w:rsidP="0050487D">
      <w:pPr>
        <w:pStyle w:val="FootnoteText"/>
        <w:ind w:hanging="10"/>
        <w:jc w:val="both"/>
        <w:rPr>
          <w:szCs w:val="18"/>
          <w:lang w:val="es-419"/>
        </w:rPr>
      </w:pPr>
      <w:r w:rsidRPr="002405D3">
        <w:rPr>
          <w:rStyle w:val="FootnoteReference"/>
          <w:bCs/>
          <w:szCs w:val="18"/>
          <w:lang w:val="es-419"/>
        </w:rPr>
        <w:footnoteRef/>
      </w:r>
      <w:r w:rsidRPr="002405D3">
        <w:rPr>
          <w:rStyle w:val="FootnoteReference"/>
          <w:szCs w:val="18"/>
          <w:lang w:val="es-419"/>
        </w:rPr>
        <w:t xml:space="preserve"> </w:t>
      </w:r>
      <w:r w:rsidRPr="002405D3">
        <w:rPr>
          <w:szCs w:val="18"/>
          <w:lang w:val="es-419"/>
        </w:rPr>
        <w:t>Art. 9.2.</w:t>
      </w:r>
    </w:p>
  </w:footnote>
  <w:footnote w:id="55">
    <w:p w:rsidR="0050487D" w:rsidRPr="002405D3" w:rsidRDefault="0050487D" w:rsidP="0050487D">
      <w:pPr>
        <w:pStyle w:val="FootnoteText"/>
        <w:ind w:hanging="10"/>
        <w:jc w:val="both"/>
        <w:rPr>
          <w:rStyle w:val="FootnoteReference"/>
          <w:bCs/>
          <w:szCs w:val="18"/>
          <w:lang w:val="es-419"/>
        </w:rPr>
      </w:pPr>
      <w:r w:rsidRPr="002405D3">
        <w:rPr>
          <w:rStyle w:val="FootnoteReference"/>
          <w:bCs/>
          <w:szCs w:val="18"/>
          <w:lang w:val="es-419"/>
        </w:rPr>
        <w:footnoteRef/>
      </w:r>
      <w:r w:rsidRPr="002405D3">
        <w:rPr>
          <w:rStyle w:val="FootnoteReference"/>
          <w:szCs w:val="18"/>
          <w:lang w:val="es-419"/>
        </w:rPr>
        <w:t xml:space="preserve"> </w:t>
      </w:r>
      <w:r w:rsidRPr="002405D3">
        <w:rPr>
          <w:szCs w:val="18"/>
          <w:lang w:val="es-419"/>
        </w:rPr>
        <w:t xml:space="preserve">Disposiciones Tipo para leyes nacionales sobre la protección… (1982), </w:t>
      </w:r>
      <w:r w:rsidRPr="002405D3">
        <w:rPr>
          <w:i/>
          <w:iCs/>
          <w:szCs w:val="18"/>
          <w:lang w:val="es-419"/>
        </w:rPr>
        <w:t>op. cit</w:t>
      </w:r>
      <w:r w:rsidRPr="002405D3">
        <w:rPr>
          <w:szCs w:val="18"/>
          <w:lang w:val="es-419"/>
        </w:rPr>
        <w:t>. en la nota 36, párr. 37.</w:t>
      </w:r>
    </w:p>
  </w:footnote>
  <w:footnote w:id="56">
    <w:p w:rsidR="0050487D" w:rsidRPr="002405D3" w:rsidRDefault="0050487D" w:rsidP="0050487D">
      <w:pPr>
        <w:pStyle w:val="FootnoteText"/>
        <w:ind w:hanging="10"/>
        <w:jc w:val="both"/>
        <w:rPr>
          <w:szCs w:val="18"/>
          <w:lang w:val="es-419"/>
        </w:rPr>
      </w:pPr>
      <w:r w:rsidRPr="002405D3">
        <w:rPr>
          <w:rStyle w:val="FootnoteReference"/>
          <w:bCs/>
          <w:szCs w:val="18"/>
          <w:lang w:val="es-419"/>
        </w:rPr>
        <w:footnoteRef/>
      </w:r>
      <w:r w:rsidRPr="002405D3">
        <w:rPr>
          <w:rStyle w:val="FootnoteReference"/>
          <w:szCs w:val="18"/>
          <w:lang w:val="es-419"/>
        </w:rPr>
        <w:t xml:space="preserve"> </w:t>
      </w:r>
      <w:r w:rsidRPr="002405D3">
        <w:rPr>
          <w:i/>
          <w:iCs/>
          <w:szCs w:val="18"/>
          <w:lang w:val="es-419"/>
        </w:rPr>
        <w:t>Idem</w:t>
      </w:r>
      <w:r w:rsidRPr="002405D3">
        <w:rPr>
          <w:szCs w:val="18"/>
          <w:lang w:val="es-419"/>
        </w:rPr>
        <w:t>. 37.</w:t>
      </w:r>
    </w:p>
  </w:footnote>
  <w:footnote w:id="57">
    <w:p w:rsidR="0050487D" w:rsidRPr="002405D3" w:rsidRDefault="0050487D" w:rsidP="0050487D">
      <w:pPr>
        <w:pStyle w:val="FootnoteText"/>
        <w:ind w:hanging="10"/>
        <w:jc w:val="both"/>
        <w:rPr>
          <w:szCs w:val="18"/>
          <w:lang w:val="es-419"/>
        </w:rPr>
      </w:pPr>
      <w:r w:rsidRPr="002405D3">
        <w:rPr>
          <w:rStyle w:val="FootnoteReference"/>
          <w:bCs/>
          <w:szCs w:val="18"/>
          <w:lang w:val="es-419"/>
        </w:rPr>
        <w:footnoteRef/>
      </w:r>
      <w:r w:rsidRPr="002405D3">
        <w:rPr>
          <w:rStyle w:val="FootnoteReference"/>
          <w:szCs w:val="18"/>
          <w:lang w:val="es-419"/>
        </w:rPr>
        <w:t xml:space="preserve"> </w:t>
      </w:r>
      <w:r w:rsidRPr="002405D3">
        <w:rPr>
          <w:szCs w:val="18"/>
          <w:lang w:val="es-419"/>
        </w:rPr>
        <w:t xml:space="preserve">Disposiciones Tipo para leyes nacionales sobre la protección… (1982), </w:t>
      </w:r>
      <w:r w:rsidRPr="002405D3">
        <w:rPr>
          <w:i/>
          <w:iCs/>
          <w:szCs w:val="18"/>
          <w:lang w:val="es-419"/>
        </w:rPr>
        <w:t>op. cit.</w:t>
      </w:r>
      <w:r w:rsidRPr="002405D3">
        <w:rPr>
          <w:szCs w:val="18"/>
          <w:lang w:val="es-419"/>
        </w:rPr>
        <w:t xml:space="preserve"> en la nota 36, art. 2.</w:t>
      </w:r>
    </w:p>
  </w:footnote>
  <w:footnote w:id="58">
    <w:p w:rsidR="0050487D" w:rsidRPr="002405D3" w:rsidRDefault="0050487D" w:rsidP="0050487D">
      <w:pPr>
        <w:pStyle w:val="FootnoteText"/>
        <w:ind w:hanging="10"/>
        <w:jc w:val="both"/>
        <w:rPr>
          <w:szCs w:val="18"/>
          <w:lang w:val="es-419"/>
        </w:rPr>
      </w:pPr>
      <w:r w:rsidRPr="002405D3">
        <w:rPr>
          <w:rStyle w:val="FootnoteReference"/>
          <w:bCs/>
          <w:szCs w:val="18"/>
          <w:lang w:val="es-419"/>
        </w:rPr>
        <w:footnoteRef/>
      </w:r>
      <w:r w:rsidRPr="002405D3">
        <w:rPr>
          <w:rStyle w:val="FootnoteReference"/>
          <w:szCs w:val="18"/>
          <w:lang w:val="es-419"/>
        </w:rPr>
        <w:t xml:space="preserve"> </w:t>
      </w:r>
      <w:r w:rsidRPr="002405D3">
        <w:rPr>
          <w:szCs w:val="18"/>
          <w:lang w:val="es-419"/>
        </w:rPr>
        <w:t xml:space="preserve">Guía de la OMPI sobre los tratados de derecho de autor..., </w:t>
      </w:r>
      <w:r w:rsidRPr="002405D3">
        <w:rPr>
          <w:i/>
          <w:iCs/>
          <w:szCs w:val="18"/>
          <w:lang w:val="es-419"/>
        </w:rPr>
        <w:t>op. cit</w:t>
      </w:r>
      <w:r w:rsidRPr="002405D3">
        <w:rPr>
          <w:szCs w:val="18"/>
          <w:lang w:val="es-419"/>
        </w:rPr>
        <w:t>. en la nota 44, pág. 289.</w:t>
      </w:r>
    </w:p>
  </w:footnote>
  <w:footnote w:id="5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Guía de la OMPI sobre los tratados de derecho de autor..., </w:t>
      </w:r>
      <w:r w:rsidRPr="002405D3">
        <w:rPr>
          <w:i/>
          <w:iCs/>
          <w:szCs w:val="18"/>
          <w:lang w:val="es-419"/>
        </w:rPr>
        <w:t>op. cit</w:t>
      </w:r>
      <w:r w:rsidRPr="002405D3">
        <w:rPr>
          <w:szCs w:val="18"/>
          <w:lang w:val="es-419"/>
        </w:rPr>
        <w:t>. en la nota 44, pág. 294.</w:t>
      </w:r>
    </w:p>
  </w:footnote>
  <w:footnote w:id="6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Art. 2.2) del Convenio de Berna. </w:t>
      </w:r>
    </w:p>
  </w:footnote>
  <w:footnote w:id="61">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Terri Janke, “</w:t>
      </w:r>
      <w:r w:rsidRPr="002405D3">
        <w:rPr>
          <w:i/>
          <w:szCs w:val="18"/>
          <w:lang w:val="es-419"/>
        </w:rPr>
        <w:t>Unauthorized Reproduction of Rock Art</w:t>
      </w:r>
      <w:r w:rsidRPr="002405D3">
        <w:rPr>
          <w:szCs w:val="18"/>
          <w:lang w:val="es-419"/>
        </w:rPr>
        <w:t xml:space="preserve">”, en </w:t>
      </w:r>
      <w:r w:rsidRPr="002405D3">
        <w:rPr>
          <w:i/>
          <w:szCs w:val="18"/>
          <w:lang w:val="es-419"/>
        </w:rPr>
        <w:t>Minding Culture:</w:t>
      </w:r>
      <w:r w:rsidRPr="002405D3">
        <w:rPr>
          <w:szCs w:val="18"/>
          <w:lang w:val="es-419"/>
        </w:rPr>
        <w:t xml:space="preserve"> </w:t>
      </w:r>
      <w:r w:rsidRPr="002405D3">
        <w:rPr>
          <w:i/>
          <w:szCs w:val="18"/>
          <w:lang w:val="es-419"/>
        </w:rPr>
        <w:t>Case Studies on Intellectual Property and Traditional Cultural Expressions</w:t>
      </w:r>
      <w:r w:rsidRPr="002405D3">
        <w:rPr>
          <w:szCs w:val="18"/>
          <w:lang w:val="es-419"/>
        </w:rPr>
        <w:t>, OMPI, 2003.</w:t>
      </w:r>
    </w:p>
  </w:footnote>
  <w:footnote w:id="6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“Informe de la decimoséptima sesión del Comité” (WIPO/GRTKF/IC/17/12), párr. 50.</w:t>
      </w:r>
    </w:p>
  </w:footnote>
  <w:footnote w:id="63">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Disposiciones Tipo para leyes nacionales sobre la protección...” (1982), </w:t>
      </w:r>
      <w:r w:rsidRPr="002405D3">
        <w:rPr>
          <w:i/>
          <w:iCs/>
          <w:szCs w:val="18"/>
          <w:lang w:val="es-419"/>
        </w:rPr>
        <w:t>op. cit.</w:t>
      </w:r>
      <w:r w:rsidRPr="002405D3">
        <w:rPr>
          <w:szCs w:val="18"/>
          <w:lang w:val="es-419"/>
        </w:rPr>
        <w:t xml:space="preserve"> en la nota 36, Parte I, párrafos 5, 6 y 7. </w:t>
      </w:r>
    </w:p>
  </w:footnote>
  <w:footnote w:id="6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Guía de la OMPI sobre los tratados de derecho de autor..., </w:t>
      </w:r>
      <w:r w:rsidRPr="002405D3">
        <w:rPr>
          <w:i/>
          <w:iCs/>
          <w:szCs w:val="18"/>
          <w:lang w:val="es-419"/>
        </w:rPr>
        <w:t>op. cit</w:t>
      </w:r>
      <w:r w:rsidRPr="002405D3">
        <w:rPr>
          <w:szCs w:val="18"/>
          <w:lang w:val="es-419"/>
        </w:rPr>
        <w:t>. en la nota 44, pág. 295.</w:t>
      </w:r>
    </w:p>
  </w:footnote>
  <w:footnote w:id="65">
    <w:p w:rsidR="0050487D" w:rsidRPr="002405D3" w:rsidRDefault="0050487D" w:rsidP="0050487D">
      <w:pPr>
        <w:pStyle w:val="FootnoteText"/>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UNEP/CBD/WG-ABS/9/INF/1, “El concepto de “recursos genéticos” en el Convenio sobre la Diversidad Biológica y cómo se relaciona con un régimen internacional de acceso y participación en los beneficios, párr. 2.1.</w:t>
      </w:r>
    </w:p>
  </w:footnote>
  <w:footnote w:id="6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“Informe de la OMPI relativo a las misiones exploratorias sobre propiedad intelectual y conocimientos tradicionales (1998 1999): Conocimientos tradicionales: Necesidades y expectativas en materia de propiedad intelectual”, pág. 27.</w:t>
      </w:r>
    </w:p>
  </w:footnote>
  <w:footnote w:id="6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Lista y breve descripción técnica de las diversas formas que pueden presentar los conocimientos tradicionales” (WIPO/GRTKF/IC/17/INF/9), párrafos 43 y 44 del Anexo.</w:t>
      </w:r>
    </w:p>
  </w:footnote>
  <w:footnote w:id="7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t>
      </w:r>
      <w:r w:rsidRPr="002405D3">
        <w:rPr>
          <w:i/>
          <w:szCs w:val="18"/>
          <w:lang w:val="es-419"/>
        </w:rPr>
        <w:t>Development of Elements of Sui Generis Systems for the Protection of Traditional Knowledge, Innovations and Practices</w:t>
      </w:r>
      <w:r w:rsidRPr="002405D3">
        <w:rPr>
          <w:szCs w:val="18"/>
          <w:lang w:val="es-419"/>
        </w:rPr>
        <w:t xml:space="preserve"> (documento UNEP/CBD/WG8J/4/INF/18), pág. 5 (Traducción oficiosa de la Oficina Internacional).</w:t>
      </w:r>
    </w:p>
  </w:footnote>
  <w:footnote w:id="72">
    <w:p w:rsidR="0050487D" w:rsidRPr="002405D3" w:rsidRDefault="0050487D" w:rsidP="0050487D">
      <w:pPr>
        <w:pStyle w:val="FootnoteText"/>
        <w:tabs>
          <w:tab w:val="left" w:pos="540"/>
        </w:tabs>
        <w:ind w:hanging="10"/>
        <w:rPr>
          <w:szCs w:val="18"/>
          <w:lang w:val="es-419"/>
        </w:rPr>
      </w:pPr>
      <w:r w:rsidRPr="002405D3">
        <w:rPr>
          <w:rStyle w:val="FootnoteReference"/>
          <w:szCs w:val="18"/>
          <w:lang w:val="es-419"/>
        </w:rPr>
        <w:footnoteRef/>
      </w:r>
      <w:r w:rsidRPr="002405D3">
        <w:rPr>
          <w:szCs w:val="18"/>
          <w:lang w:val="es-419"/>
        </w:rPr>
        <w:t xml:space="preserve"> “Informe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Artículo 1 del Convenio N.º 169 de la OIT sobre pueblos indígenas y tribales en países independientes. </w:t>
      </w:r>
    </w:p>
  </w:footnote>
  <w:footnote w:id="74">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Glosario del PNUMA de términos para negociadores de acuerdos ambientales multilaterales, disponible en: </w:t>
      </w:r>
      <w:hyperlink r:id="rId11" w:history="1">
        <w:r w:rsidRPr="002405D3">
          <w:rPr>
            <w:rStyle w:val="Hyperlink"/>
            <w:color w:val="000000" w:themeColor="text1"/>
            <w:szCs w:val="18"/>
            <w:lang w:val="es-419"/>
          </w:rPr>
          <w:t>http://wedocs.unep.org/handle/20.500.11822/7569</w:t>
        </w:r>
      </w:hyperlink>
      <w:r w:rsidRPr="002405D3">
        <w:rPr>
          <w:color w:val="000000" w:themeColor="text1"/>
          <w:szCs w:val="18"/>
          <w:lang w:val="es-419"/>
        </w:rPr>
        <w:t xml:space="preserve"> </w:t>
      </w:r>
    </w:p>
  </w:footnote>
  <w:footnote w:id="75">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color w:val="000000" w:themeColor="text1"/>
          <w:szCs w:val="18"/>
          <w:lang w:val="es-419"/>
        </w:rPr>
        <w:t xml:space="preserve">Véase la Política Operacional 4.10, sobre pueblos indígenas, del Banco Mundial (2005); John Henriksen, </w:t>
      </w:r>
      <w:r w:rsidRPr="002405D3">
        <w:rPr>
          <w:i/>
          <w:iCs/>
          <w:color w:val="000000" w:themeColor="text1"/>
          <w:szCs w:val="18"/>
          <w:lang w:val="es-419"/>
        </w:rPr>
        <w:t>Key Principles in Implementing ILO Convention N.º 169</w:t>
      </w:r>
      <w:r w:rsidRPr="002405D3">
        <w:rPr>
          <w:color w:val="000000" w:themeColor="text1"/>
          <w:szCs w:val="18"/>
          <w:lang w:val="es-419"/>
        </w:rPr>
        <w:t xml:space="preserve">, 2008. </w:t>
      </w:r>
    </w:p>
  </w:footnote>
  <w:footnote w:id="7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[Esta nota de pie de página forma parte de la definición] Convenio N.º169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Pr="002405D3">
        <w:rPr>
          <w:color w:val="000000" w:themeColor="text1"/>
          <w:szCs w:val="18"/>
          <w:lang w:val="es-419"/>
        </w:rPr>
        <w:t xml:space="preserve"> </w:t>
      </w:r>
      <w:r w:rsidRPr="002405D3">
        <w:rPr>
          <w:szCs w:val="18"/>
          <w:lang w:val="es-419"/>
        </w:rPr>
        <w:t xml:space="preserve">La FAO aplica los mismos criterios en su política sobre pueblos indígenas y tribales (disponible en </w:t>
      </w:r>
      <w:hyperlink r:id="rId12" w:tooltip="http://www.fao.org/docrep/013/i1857e/i1857e00.pdf" w:history="1">
        <w:r w:rsidRPr="002405D3">
          <w:rPr>
            <w:szCs w:val="18"/>
            <w:lang w:val="es-419"/>
          </w:rPr>
          <w:t>http://www.fao.org/docrep/013/i1857e00.pdf</w:t>
        </w:r>
      </w:hyperlink>
      <w:r w:rsidRPr="002405D3">
        <w:rPr>
          <w:szCs w:val="18"/>
          <w:lang w:val="es-419"/>
        </w:rPr>
        <w:t>).</w:t>
      </w:r>
    </w:p>
  </w:footnote>
  <w:footnote w:id="77">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Disponible en </w:t>
      </w:r>
      <w:hyperlink r:id="rId13" w:history="1">
        <w:r w:rsidRPr="002405D3">
          <w:rPr>
            <w:rStyle w:val="Hyperlink"/>
            <w:color w:val="000000" w:themeColor="text1"/>
            <w:szCs w:val="18"/>
            <w:lang w:val="es-419"/>
          </w:rPr>
          <w:t>http://www.ifad.org./english/indigenous/documents/ip_policy_s.pdf</w:t>
        </w:r>
      </w:hyperlink>
      <w:r w:rsidRPr="002405D3">
        <w:rPr>
          <w:szCs w:val="18"/>
          <w:lang w:val="es-419"/>
        </w:rPr>
        <w:t>.</w:t>
      </w:r>
      <w:r w:rsidRPr="002405D3">
        <w:rPr>
          <w:color w:val="000000" w:themeColor="text1"/>
          <w:szCs w:val="18"/>
          <w:lang w:val="es-419"/>
        </w:rPr>
        <w:t xml:space="preserve"> </w:t>
      </w:r>
    </w:p>
  </w:footnote>
  <w:footnote w:id="78">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szCs w:val="18"/>
          <w:lang w:val="es-419"/>
        </w:rPr>
        <w:t xml:space="preserve"> Disponible en: </w:t>
      </w:r>
      <w:hyperlink r:id="rId14" w:history="1">
        <w:r w:rsidRPr="002405D3">
          <w:rPr>
            <w:rStyle w:val="Hyperlink"/>
            <w:color w:val="000000" w:themeColor="text1"/>
            <w:szCs w:val="18"/>
            <w:lang w:val="es-419"/>
          </w:rPr>
          <w:t>http://www.undp.org/content/undp/en/home/librarypage/environment-energy/local_development/undp-and-indigenous-peoples-a-policy-of-engagement.html</w:t>
        </w:r>
      </w:hyperlink>
      <w:r w:rsidRPr="002405D3">
        <w:rPr>
          <w:szCs w:val="18"/>
          <w:lang w:val="es-419"/>
        </w:rPr>
        <w:t>.</w:t>
      </w:r>
      <w:r w:rsidRPr="002405D3">
        <w:rPr>
          <w:rStyle w:val="Hyperlink"/>
          <w:szCs w:val="18"/>
          <w:lang w:val="es-419"/>
        </w:rPr>
        <w:t xml:space="preserve"> </w:t>
      </w:r>
    </w:p>
  </w:footnote>
  <w:footnote w:id="7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Subcomisión de las Naciones Unidas de Prevención de Discriminaciones y Protección a las Minorías: “Estudio del problema de la discriminación contra las poblaciones indígenas" (documento E/CN.4/Sub.2/1986/7/Add.4.), párr. 379 (1986).</w:t>
      </w:r>
    </w:p>
  </w:footnote>
  <w:footnote w:id="8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Guía de la OMPI sobre los tratados de derecho de autor..., </w:t>
      </w:r>
      <w:r w:rsidRPr="002405D3">
        <w:rPr>
          <w:i/>
          <w:iCs/>
          <w:szCs w:val="18"/>
          <w:lang w:val="es-419"/>
        </w:rPr>
        <w:t>op. cit</w:t>
      </w:r>
      <w:r w:rsidRPr="002405D3">
        <w:rPr>
          <w:szCs w:val="18"/>
          <w:lang w:val="es-419"/>
        </w:rPr>
        <w:t>. en la nota 44, pág. 293.</w:t>
      </w:r>
    </w:p>
  </w:footnote>
  <w:footnote w:id="8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Ricketson y Ginsburg,</w:t>
      </w:r>
      <w:r w:rsidRPr="002405D3">
        <w:rPr>
          <w:i/>
          <w:iCs/>
          <w:szCs w:val="18"/>
          <w:lang w:val="es-419"/>
        </w:rPr>
        <w:t xml:space="preserve"> International Copyright and Neighboring Rights-The Berne Convention and Beyond</w:t>
      </w:r>
      <w:r w:rsidRPr="002405D3">
        <w:rPr>
          <w:szCs w:val="18"/>
          <w:lang w:val="es-419"/>
        </w:rPr>
        <w:t>, Oxford, Vol. I, p. 602.</w:t>
      </w:r>
    </w:p>
  </w:footnote>
  <w:footnote w:id="8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WIPO/GRTKF/IC/2/3, párr. 133. </w:t>
      </w:r>
    </w:p>
  </w:footnote>
  <w:footnote w:id="8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Véase el documento WIPO/GRTKF/IC/7/9 “Los recursos genéticos: Proyecto de directrices de propiedad intelectual para el acceso a los recursos genéticos y la participación equitativa en los beneficios”.</w:t>
      </w:r>
    </w:p>
  </w:footnote>
  <w:footnote w:id="8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Véanse los principios operativos en la sección V.B del documento WIPO/GRTKF/IC/2/3.</w:t>
      </w:r>
    </w:p>
  </w:footnote>
  <w:footnote w:id="85">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Véase el documento WIPO/GRTKF/IC/17/INF/12, “Recursos genéticos: Proyecto de directrices de propiedad intelectual para el acceso a los recursos genéticos y la participación equitativa en los beneficios: versión actualizada”.</w:t>
      </w:r>
    </w:p>
  </w:footnote>
  <w:footnote w:id="86">
    <w:p w:rsidR="0050487D" w:rsidRPr="002405D3" w:rsidRDefault="0050487D" w:rsidP="0050487D">
      <w:pPr>
        <w:pStyle w:val="FootnoteText"/>
        <w:ind w:hanging="10"/>
        <w:rPr>
          <w:szCs w:val="18"/>
          <w:lang w:val="es-419"/>
        </w:rPr>
      </w:pPr>
      <w:r w:rsidRPr="002405D3">
        <w:rPr>
          <w:szCs w:val="18"/>
          <w:vertAlign w:val="superscript"/>
          <w:lang w:val="es-419"/>
        </w:rPr>
        <w:footnoteRef/>
      </w:r>
      <w:r w:rsidRPr="002405D3">
        <w:rPr>
          <w:szCs w:val="18"/>
          <w:lang w:val="es-419"/>
        </w:rPr>
        <w:t xml:space="preserve"> </w:t>
      </w:r>
      <w:r w:rsidRPr="002405D3">
        <w:rPr>
          <w:i/>
          <w:iCs/>
          <w:szCs w:val="18"/>
          <w:lang w:val="es-419"/>
        </w:rPr>
        <w:t>Idem</w:t>
      </w:r>
      <w:r w:rsidRPr="002405D3">
        <w:rPr>
          <w:szCs w:val="18"/>
          <w:lang w:val="es-419"/>
        </w:rPr>
        <w:t>.</w:t>
      </w:r>
    </w:p>
  </w:footnote>
  <w:footnote w:id="8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i/>
          <w:szCs w:val="18"/>
          <w:lang w:val="es-419"/>
        </w:rPr>
        <w:t xml:space="preserve"> </w:t>
      </w:r>
      <w:r w:rsidRPr="002405D3">
        <w:rPr>
          <w:i/>
          <w:iCs/>
          <w:szCs w:val="18"/>
          <w:lang w:val="es-419"/>
        </w:rPr>
        <w:t>Idem</w:t>
      </w:r>
      <w:r w:rsidRPr="002405D3">
        <w:rPr>
          <w:szCs w:val="18"/>
          <w:lang w:val="es-419"/>
        </w:rPr>
        <w:t>., pág. 4 del Anexo.</w:t>
      </w:r>
    </w:p>
  </w:footnote>
  <w:footnote w:id="8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WIPO/GRTKF/IC/17/INF/12.</w:t>
      </w:r>
    </w:p>
  </w:footnote>
  <w:footnote w:id="8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Glosario PATENTSCOPE de la OMPI.</w:t>
      </w:r>
    </w:p>
  </w:footnote>
  <w:footnote w:id="9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Artículo 1 del ITPGRFA. </w:t>
      </w:r>
    </w:p>
  </w:footnote>
  <w:footnote w:id="9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la Publicación N.º 489 (E) de la OMPI, </w:t>
      </w:r>
      <w:r w:rsidRPr="002405D3">
        <w:rPr>
          <w:i/>
          <w:iCs/>
          <w:szCs w:val="18"/>
          <w:lang w:val="es-419"/>
        </w:rPr>
        <w:t>WIPO Intellectual Property Handbook</w:t>
      </w:r>
      <w:r w:rsidRPr="002405D3">
        <w:rPr>
          <w:szCs w:val="18"/>
          <w:lang w:val="es-419"/>
        </w:rPr>
        <w:t>, 2008, pág. 20.</w:t>
      </w:r>
    </w:p>
  </w:footnote>
  <w:footnote w:id="9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Artículo 103 del Título 35 del Código de los Estados Unidos de América, disponible: </w:t>
      </w:r>
      <w:hyperlink r:id="rId15" w:history="1">
        <w:r w:rsidRPr="002405D3">
          <w:rPr>
            <w:rStyle w:val="Hyperlink"/>
            <w:szCs w:val="18"/>
            <w:lang w:val="es-419"/>
          </w:rPr>
          <w:t>https://www.uspto.gov/web/offices/pac/mpep/s2158.html</w:t>
        </w:r>
      </w:hyperlink>
      <w:r w:rsidRPr="002405D3">
        <w:rPr>
          <w:szCs w:val="18"/>
          <w:lang w:val="es-419"/>
        </w:rPr>
        <w:t xml:space="preserve"> </w:t>
      </w:r>
    </w:p>
  </w:footnote>
  <w:footnote w:id="9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WIPO/GRTKF/IC/17/INF/12.</w:t>
      </w:r>
    </w:p>
  </w:footnote>
  <w:footnote w:id="9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Excepciones y limitaciones al derecho de autor y los derechos conexos, estudio preparado por Pierre Sirinelli (WCT-WPPT/IMP/1), 1999, pág. 2. </w:t>
      </w:r>
    </w:p>
  </w:footnote>
  <w:footnote w:id="95">
    <w:p w:rsidR="0050487D" w:rsidRPr="002405D3" w:rsidRDefault="0050487D" w:rsidP="0050487D">
      <w:pPr>
        <w:pStyle w:val="FootnoteText"/>
        <w:ind w:hanging="10"/>
        <w:rPr>
          <w:rStyle w:val="FootnoteReference"/>
          <w:color w:val="000000" w:themeColor="text1"/>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Sección del sitio Web de la OMPI sobre Derecho de Autor y Derechos Conexos (</w:t>
      </w:r>
      <w:hyperlink r:id="rId16" w:history="1">
        <w:r w:rsidRPr="002405D3">
          <w:rPr>
            <w:szCs w:val="18"/>
            <w:lang w:val="es-419"/>
          </w:rPr>
          <w:t>http://www.wipo.int/copyright/es/limitations/index.html</w:t>
        </w:r>
      </w:hyperlink>
      <w:r w:rsidRPr="002405D3">
        <w:rPr>
          <w:szCs w:val="18"/>
          <w:lang w:val="es-419"/>
        </w:rPr>
        <w:t xml:space="preserve">). </w:t>
      </w:r>
    </w:p>
  </w:footnote>
  <w:footnote w:id="96">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rStyle w:val="FootnoteReference"/>
          <w:color w:val="000000" w:themeColor="text1"/>
          <w:szCs w:val="18"/>
          <w:lang w:val="es-419"/>
        </w:rPr>
        <w:t xml:space="preserve"> </w:t>
      </w:r>
      <w:r w:rsidRPr="002405D3">
        <w:rPr>
          <w:szCs w:val="18"/>
          <w:lang w:val="es-419"/>
        </w:rPr>
        <w:t>Art. 10.1.</w:t>
      </w:r>
    </w:p>
  </w:footnote>
  <w:footnote w:id="97">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rStyle w:val="FootnoteReference"/>
          <w:color w:val="000000" w:themeColor="text1"/>
          <w:szCs w:val="18"/>
          <w:lang w:val="es-419"/>
        </w:rPr>
        <w:t xml:space="preserve"> </w:t>
      </w:r>
      <w:r w:rsidRPr="002405D3">
        <w:rPr>
          <w:szCs w:val="18"/>
          <w:lang w:val="es-419"/>
        </w:rPr>
        <w:t>Art. 9.2.</w:t>
      </w:r>
    </w:p>
  </w:footnote>
  <w:footnote w:id="98">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rStyle w:val="FootnoteReference"/>
          <w:color w:val="000000" w:themeColor="text1"/>
          <w:szCs w:val="18"/>
          <w:lang w:val="es-419"/>
        </w:rPr>
        <w:t xml:space="preserve"> </w:t>
      </w:r>
      <w:r w:rsidRPr="002405D3">
        <w:rPr>
          <w:szCs w:val="18"/>
          <w:lang w:val="es-419"/>
        </w:rPr>
        <w:t xml:space="preserve">Guía de la OMPI sobre los tratados de derecho de autor..., </w:t>
      </w:r>
      <w:r w:rsidRPr="002405D3">
        <w:rPr>
          <w:i/>
          <w:iCs/>
          <w:szCs w:val="18"/>
          <w:lang w:val="es-419"/>
        </w:rPr>
        <w:t>op. cit</w:t>
      </w:r>
      <w:r w:rsidRPr="002405D3">
        <w:rPr>
          <w:szCs w:val="18"/>
          <w:lang w:val="es-419"/>
        </w:rPr>
        <w:t>. en la nota 48, pág. 316.</w:t>
      </w:r>
    </w:p>
  </w:footnote>
  <w:footnote w:id="99">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Véase el documento WIPO/GRTKF/IC/17/INF/12.</w:t>
      </w:r>
    </w:p>
  </w:footnote>
  <w:footnote w:id="100">
    <w:p w:rsidR="0050487D" w:rsidRPr="002405D3" w:rsidRDefault="0050487D" w:rsidP="0050487D">
      <w:pPr>
        <w:ind w:hanging="10"/>
        <w:rPr>
          <w:color w:val="000000" w:themeColor="text1"/>
          <w:sz w:val="18"/>
          <w:szCs w:val="18"/>
          <w:lang w:val="es-419"/>
        </w:rPr>
      </w:pPr>
      <w:r w:rsidRPr="002405D3">
        <w:rPr>
          <w:rStyle w:val="FootnoteReference"/>
          <w:color w:val="000000" w:themeColor="text1"/>
          <w:sz w:val="18"/>
          <w:szCs w:val="18"/>
          <w:lang w:val="es-419"/>
        </w:rPr>
        <w:footnoteRef/>
      </w:r>
      <w:r w:rsidRPr="002405D3">
        <w:rPr>
          <w:color w:val="000000" w:themeColor="text1"/>
          <w:sz w:val="18"/>
          <w:szCs w:val="18"/>
          <w:lang w:val="es-419"/>
        </w:rPr>
        <w:t xml:space="preserve"> </w:t>
      </w:r>
      <w:r w:rsidRPr="002405D3">
        <w:rPr>
          <w:sz w:val="18"/>
          <w:szCs w:val="18"/>
          <w:lang w:val="es-419"/>
        </w:rPr>
        <w:t>Disponible en:</w:t>
      </w:r>
      <w:r w:rsidRPr="002405D3">
        <w:rPr>
          <w:color w:val="000000" w:themeColor="text1"/>
          <w:sz w:val="18"/>
          <w:szCs w:val="18"/>
          <w:lang w:val="es-419"/>
        </w:rPr>
        <w:t xml:space="preserve"> </w:t>
      </w:r>
      <w:hyperlink r:id="rId17" w:history="1">
        <w:r w:rsidRPr="002405D3">
          <w:rPr>
            <w:rStyle w:val="Hyperlink"/>
            <w:sz w:val="18"/>
            <w:szCs w:val="18"/>
            <w:lang w:val="es-419"/>
          </w:rPr>
          <w:t>https://www.wipo.int/tk/es/databases/contracts/index.html</w:t>
        </w:r>
      </w:hyperlink>
      <w:r w:rsidRPr="002405D3">
        <w:rPr>
          <w:rStyle w:val="Hyperlink"/>
          <w:color w:val="000000" w:themeColor="text1"/>
          <w:sz w:val="18"/>
          <w:szCs w:val="18"/>
          <w:lang w:val="es-419"/>
        </w:rPr>
        <w:t xml:space="preserve"> </w:t>
      </w:r>
    </w:p>
  </w:footnote>
  <w:footnote w:id="101">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Disponible en:</w:t>
      </w:r>
      <w:r w:rsidRPr="002405D3">
        <w:rPr>
          <w:color w:val="000000" w:themeColor="text1"/>
          <w:szCs w:val="18"/>
          <w:lang w:val="es-419"/>
        </w:rPr>
        <w:t xml:space="preserve"> </w:t>
      </w:r>
      <w:hyperlink r:id="rId18" w:history="1">
        <w:r w:rsidRPr="002405D3">
          <w:rPr>
            <w:rStyle w:val="Hyperlink"/>
            <w:color w:val="000000" w:themeColor="text1"/>
            <w:szCs w:val="18"/>
            <w:lang w:val="es-419"/>
          </w:rPr>
          <w:t>http://www.fao.org/3/a-be623e.pdf</w:t>
        </w:r>
      </w:hyperlink>
      <w:r w:rsidRPr="002405D3">
        <w:rPr>
          <w:color w:val="000000" w:themeColor="text1"/>
          <w:szCs w:val="18"/>
          <w:lang w:val="es-419"/>
        </w:rPr>
        <w:t xml:space="preserve"> </w:t>
      </w:r>
    </w:p>
  </w:footnote>
  <w:footnote w:id="102">
    <w:p w:rsidR="0050487D" w:rsidRPr="002405D3" w:rsidRDefault="0050487D" w:rsidP="0050487D">
      <w:pPr>
        <w:pStyle w:val="FootnoteText"/>
        <w:tabs>
          <w:tab w:val="left" w:pos="1000"/>
        </w:tabs>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Disponible en:</w:t>
      </w:r>
      <w:r w:rsidRPr="002405D3">
        <w:rPr>
          <w:color w:val="000000" w:themeColor="text1"/>
          <w:szCs w:val="18"/>
          <w:lang w:val="es-419"/>
        </w:rPr>
        <w:t xml:space="preserve"> </w:t>
      </w:r>
      <w:hyperlink r:id="rId19" w:anchor=" " w:history="1">
        <w:r w:rsidRPr="002405D3">
          <w:rPr>
            <w:rStyle w:val="Hyperlink"/>
            <w:szCs w:val="18"/>
            <w:lang w:val="es-419"/>
          </w:rPr>
          <w:t>https://www.wipo.int/pct/es/texts/glossary.html#M</w:t>
        </w:r>
      </w:hyperlink>
      <w:r w:rsidRPr="002405D3">
        <w:rPr>
          <w:rStyle w:val="Hyperlink"/>
          <w:szCs w:val="18"/>
          <w:lang w:val="es-419"/>
        </w:rPr>
        <w:t xml:space="preserve"> </w:t>
      </w:r>
    </w:p>
  </w:footnote>
  <w:footnote w:id="103">
    <w:p w:rsidR="0050487D" w:rsidRPr="002405D3" w:rsidRDefault="0050487D" w:rsidP="0050487D">
      <w:pPr>
        <w:pStyle w:val="FootnoteText"/>
        <w:tabs>
          <w:tab w:val="left" w:pos="1000"/>
        </w:tabs>
        <w:ind w:hanging="10"/>
        <w:rPr>
          <w:szCs w:val="18"/>
          <w:lang w:val="es-419"/>
        </w:rPr>
      </w:pPr>
      <w:r w:rsidRPr="002405D3">
        <w:rPr>
          <w:rStyle w:val="FootnoteReference"/>
          <w:szCs w:val="18"/>
          <w:lang w:val="es-419"/>
        </w:rPr>
        <w:footnoteRef/>
      </w:r>
      <w:r w:rsidRPr="002405D3">
        <w:rPr>
          <w:szCs w:val="18"/>
          <w:lang w:val="es-419"/>
        </w:rPr>
        <w:t>Directrices de búsqueda internacional del PCT (en vigor desde el 18 de septiembre de 1998), párr. IX-2.1.</w:t>
      </w:r>
    </w:p>
  </w:footnote>
  <w:footnote w:id="104">
    <w:p w:rsidR="0050487D" w:rsidRPr="002405D3" w:rsidRDefault="0050487D" w:rsidP="0050487D">
      <w:pPr>
        <w:pStyle w:val="FootnoteText"/>
        <w:tabs>
          <w:tab w:val="left" w:pos="500"/>
        </w:tabs>
        <w:ind w:hanging="10"/>
        <w:rPr>
          <w:szCs w:val="18"/>
          <w:lang w:val="es-419"/>
        </w:rPr>
      </w:pPr>
      <w:r w:rsidRPr="002405D3">
        <w:rPr>
          <w:rStyle w:val="FootnoteReference"/>
          <w:szCs w:val="18"/>
          <w:lang w:val="es-419"/>
        </w:rPr>
        <w:footnoteRef/>
      </w:r>
      <w:r w:rsidRPr="002405D3">
        <w:rPr>
          <w:szCs w:val="18"/>
          <w:lang w:val="es-419"/>
        </w:rPr>
        <w:t xml:space="preserve"> Documentación mínima del PCT, PCT/MIA/9/4.</w:t>
      </w:r>
    </w:p>
  </w:footnote>
  <w:footnote w:id="105">
    <w:p w:rsidR="0050487D" w:rsidRPr="002405D3" w:rsidRDefault="0050487D" w:rsidP="0050487D">
      <w:pPr>
        <w:pStyle w:val="FootnoteText"/>
        <w:tabs>
          <w:tab w:val="left" w:pos="500"/>
        </w:tabs>
        <w:ind w:hanging="10"/>
        <w:rPr>
          <w:color w:val="000000" w:themeColor="text1"/>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color w:val="000000" w:themeColor="text1"/>
          <w:szCs w:val="18"/>
          <w:lang w:val="es-419"/>
        </w:rPr>
        <w:t xml:space="preserve">Francesco Capotorti, antiguo Relator Especial de las Naciones Unidas (1979), citado por Dieter Kugelmann en </w:t>
      </w:r>
      <w:r w:rsidRPr="002405D3">
        <w:rPr>
          <w:i/>
          <w:iCs/>
          <w:color w:val="000000" w:themeColor="text1"/>
          <w:szCs w:val="18"/>
          <w:lang w:val="es-419"/>
        </w:rPr>
        <w:t>The Protection of Minorities and Indigenous Peoples Respective Cultural Diversity</w:t>
      </w:r>
      <w:r w:rsidRPr="002405D3">
        <w:rPr>
          <w:color w:val="000000" w:themeColor="text1"/>
          <w:szCs w:val="18"/>
          <w:lang w:val="es-419"/>
        </w:rPr>
        <w:t>, A. Von Bogdandy y R. Wolffrum (eds),</w:t>
      </w:r>
      <w:r w:rsidRPr="002405D3">
        <w:rPr>
          <w:i/>
          <w:iCs/>
          <w:color w:val="000000" w:themeColor="text1"/>
          <w:szCs w:val="18"/>
          <w:lang w:val="es-419"/>
        </w:rPr>
        <w:t xml:space="preserve"> Max Planck Yearbook of United Nations Law</w:t>
      </w:r>
      <w:r w:rsidRPr="002405D3">
        <w:rPr>
          <w:color w:val="000000" w:themeColor="text1"/>
          <w:szCs w:val="18"/>
          <w:lang w:val="es-419"/>
        </w:rPr>
        <w:t>, Vol. 11, 2007, pág. 237.</w:t>
      </w:r>
    </w:p>
  </w:footnote>
  <w:footnote w:id="106">
    <w:p w:rsidR="0050487D" w:rsidRPr="002405D3" w:rsidRDefault="0050487D" w:rsidP="0050487D">
      <w:pPr>
        <w:pStyle w:val="FootnoteText"/>
        <w:tabs>
          <w:tab w:val="left" w:pos="540"/>
        </w:tabs>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Art. 2.1) de la Declaración sobre los derechos de las personas pertenecientes a minorías nacionales o étnicas, religiosas y lingüísticas, aprobada por la Asamblea General en su resolución 47/135 del 18 de diciembre de 1992.</w:t>
      </w:r>
    </w:p>
  </w:footnote>
  <w:footnote w:id="107">
    <w:p w:rsidR="0050487D" w:rsidRPr="002405D3" w:rsidRDefault="0050487D" w:rsidP="0050487D">
      <w:pPr>
        <w:pStyle w:val="FootnoteText"/>
        <w:tabs>
          <w:tab w:val="left" w:pos="500"/>
        </w:tabs>
        <w:ind w:hanging="10"/>
        <w:rPr>
          <w:rStyle w:val="FootnoteReference"/>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i/>
          <w:iCs/>
          <w:color w:val="000000" w:themeColor="text1"/>
          <w:szCs w:val="18"/>
          <w:lang w:val="es-419"/>
        </w:rPr>
        <w:t>Ibid</w:t>
      </w:r>
      <w:r w:rsidRPr="002405D3">
        <w:rPr>
          <w:color w:val="000000" w:themeColor="text1"/>
          <w:szCs w:val="18"/>
          <w:lang w:val="es-419"/>
        </w:rPr>
        <w:t>. art. 1.1).</w:t>
      </w:r>
    </w:p>
  </w:footnote>
  <w:footnote w:id="108">
    <w:p w:rsidR="0050487D" w:rsidRPr="002405D3" w:rsidRDefault="0050487D" w:rsidP="0050487D">
      <w:pPr>
        <w:pStyle w:val="FootnoteText"/>
        <w:tabs>
          <w:tab w:val="left" w:pos="500"/>
        </w:tabs>
        <w:ind w:hanging="10"/>
        <w:rPr>
          <w:color w:val="000000" w:themeColor="text1"/>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color w:val="000000" w:themeColor="text1"/>
          <w:szCs w:val="18"/>
          <w:lang w:val="es-419"/>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“Marco jurídico de protección de los conocimientos tradicionales en Sri Lanka”, versión en documento de trabajo, 1 de enero de 2009. </w:t>
      </w:r>
    </w:p>
  </w:footnote>
  <w:footnote w:id="11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UNEP/CBD/COP/4/22, párr. 32. </w:t>
      </w:r>
    </w:p>
  </w:footnote>
  <w:footnote w:id="112">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Daniel Gervais, </w:t>
      </w:r>
      <w:r w:rsidRPr="002405D3">
        <w:rPr>
          <w:i/>
          <w:iCs/>
          <w:szCs w:val="18"/>
          <w:lang w:val="es-419"/>
        </w:rPr>
        <w:t>The TRIPS Agreement. Drafting and Analysis</w:t>
      </w:r>
      <w:r w:rsidRPr="002405D3">
        <w:rPr>
          <w:szCs w:val="18"/>
          <w:lang w:val="es-419"/>
        </w:rPr>
        <w:t>, 3ª ed., Sweet &amp; Maxwell.</w:t>
      </w:r>
    </w:p>
  </w:footnote>
  <w:footnote w:id="11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Dieter Kugelmann, </w:t>
      </w:r>
      <w:r w:rsidRPr="002405D3">
        <w:rPr>
          <w:i/>
          <w:iCs/>
          <w:szCs w:val="18"/>
          <w:lang w:val="es-419"/>
        </w:rPr>
        <w:t>The Protection of Minorities and Indigenous Peoples Respective Cultural Diversity</w:t>
      </w:r>
      <w:r w:rsidRPr="002405D3">
        <w:rPr>
          <w:szCs w:val="18"/>
          <w:lang w:val="es-419"/>
        </w:rPr>
        <w:t>, A. Von Bogdandy y R. Wolffrum (eds), Max Planck Yearbook of United Nations Law, Vol. 11, 2007, pág. 235.</w:t>
      </w:r>
    </w:p>
  </w:footnote>
  <w:footnote w:id="114">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Véase el </w:t>
      </w:r>
      <w:r w:rsidRPr="002405D3">
        <w:rPr>
          <w:i/>
          <w:iCs/>
          <w:color w:val="000000" w:themeColor="text1"/>
          <w:szCs w:val="18"/>
          <w:lang w:val="es-419"/>
        </w:rPr>
        <w:t>Glossary on Intangible Cultural Heritage</w:t>
      </w:r>
      <w:r w:rsidRPr="002405D3">
        <w:rPr>
          <w:color w:val="000000" w:themeColor="text1"/>
          <w:szCs w:val="18"/>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 xml:space="preserve">Publicación N.º 489 de la OMPI, </w:t>
      </w:r>
      <w:r w:rsidRPr="002405D3">
        <w:rPr>
          <w:i/>
          <w:iCs/>
          <w:szCs w:val="18"/>
          <w:lang w:val="es-419"/>
        </w:rPr>
        <w:t>WIPO Intellectual Property Handbook</w:t>
      </w:r>
      <w:r w:rsidRPr="002405D3">
        <w:rPr>
          <w:szCs w:val="18"/>
          <w:lang w:val="es-419"/>
        </w:rPr>
        <w:t xml:space="preserve"> (2008), pág. 19.</w:t>
      </w:r>
    </w:p>
  </w:footnote>
  <w:footnote w:id="116">
    <w:p w:rsidR="0050487D" w:rsidRPr="002405D3" w:rsidRDefault="0050487D" w:rsidP="0050487D">
      <w:pPr>
        <w:pStyle w:val="FootnoteText"/>
        <w:ind w:hanging="10"/>
        <w:rPr>
          <w:rFonts w:eastAsia="Times New Roman"/>
          <w:szCs w:val="18"/>
          <w:lang w:val="es-419"/>
        </w:rPr>
      </w:pPr>
      <w:r w:rsidRPr="002405D3">
        <w:rPr>
          <w:rStyle w:val="FootnoteReference"/>
          <w:color w:val="000000" w:themeColor="text1"/>
          <w:szCs w:val="18"/>
          <w:lang w:val="es-419"/>
        </w:rPr>
        <w:footnoteRef/>
      </w:r>
      <w:r w:rsidRPr="002405D3">
        <w:rPr>
          <w:szCs w:val="18"/>
          <w:lang w:val="es-419"/>
        </w:rPr>
        <w:t xml:space="preserve">Véase el artículo </w:t>
      </w:r>
      <w:r w:rsidRPr="002405D3">
        <w:rPr>
          <w:color w:val="000000" w:themeColor="text1"/>
          <w:szCs w:val="18"/>
          <w:lang w:val="es-419"/>
        </w:rPr>
        <w:t xml:space="preserve">102 del título 35 del Código de los Estados Unidos de América, disponible en: </w:t>
      </w:r>
      <w:hyperlink r:id="rId20" w:anchor="al_d1fbe1_19797_b0" w:history="1">
        <w:r w:rsidRPr="002405D3">
          <w:rPr>
            <w:rStyle w:val="Hyperlink"/>
            <w:color w:val="000000" w:themeColor="text1"/>
            <w:szCs w:val="18"/>
            <w:lang w:val="es-419"/>
          </w:rPr>
          <w:t>https://www.uspto.gov/web/offices/pac/mpep/mpep-9015-appx-l.html#al_d1fbe1_19797_b0</w:t>
        </w:r>
      </w:hyperlink>
      <w:r w:rsidRPr="002405D3">
        <w:rPr>
          <w:color w:val="000000" w:themeColor="text1"/>
          <w:szCs w:val="18"/>
          <w:lang w:val="es-419"/>
        </w:rPr>
        <w:t xml:space="preserve">. </w:t>
      </w:r>
      <w:r w:rsidRPr="002405D3">
        <w:rPr>
          <w:szCs w:val="18"/>
          <w:lang w:val="es-419"/>
        </w:rPr>
        <w:t xml:space="preserve">Se hace referencia al artículo 151 del título 35 del Código de los Estados Unidos de América – Concesión de una patente, disponible en: </w:t>
      </w:r>
      <w:hyperlink r:id="rId21" w:history="1">
        <w:r w:rsidRPr="002405D3">
          <w:rPr>
            <w:rStyle w:val="Hyperlink"/>
            <w:szCs w:val="18"/>
            <w:lang w:val="es-419"/>
          </w:rPr>
          <w:t>https://www.gpo.gov/fdsys/pkg/USCODE-2011-title35/pdf/USCODE-2011-title35-partII-chap14-sec151.pdf</w:t>
        </w:r>
      </w:hyperlink>
      <w:r w:rsidRPr="002405D3">
        <w:rPr>
          <w:szCs w:val="18"/>
          <w:lang w:val="es-419"/>
        </w:rPr>
        <w:t xml:space="preserve"> y al artículo 122(b) del título mencionado – Carácter confidencial de las solicitudes; publicación de solicitudes de patente, disponible en: </w:t>
      </w:r>
      <w:hyperlink r:id="rId22" w:history="1">
        <w:r w:rsidRPr="002405D3">
          <w:rPr>
            <w:rStyle w:val="Hyperlink"/>
            <w:szCs w:val="18"/>
            <w:lang w:val="es-419"/>
          </w:rPr>
          <w:t>https://www.gpo.gov/fdsys/pkg/USCODE-2011-title35/pdf/USCODE-2011-title35-partII-chap11-sec122.pdf</w:t>
        </w:r>
      </w:hyperlink>
      <w:r w:rsidRPr="002405D3">
        <w:rPr>
          <w:szCs w:val="18"/>
          <w:lang w:val="es-419"/>
        </w:rPr>
        <w:t xml:space="preserve">. </w:t>
      </w:r>
    </w:p>
  </w:footnote>
  <w:footnote w:id="11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Glosario PATENTSCOPE de la OMPI.</w:t>
      </w:r>
    </w:p>
  </w:footnote>
  <w:footnote w:id="11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“Reseña de las actividades y resultados del Comité Intergubernamental” (WIPO/GRTKF/IC/5/12), </w:t>
      </w:r>
    </w:p>
    <w:p w:rsidR="0050487D" w:rsidRPr="002405D3" w:rsidRDefault="0050487D" w:rsidP="0050487D">
      <w:pPr>
        <w:pStyle w:val="FootnoteText"/>
        <w:ind w:hanging="10"/>
        <w:rPr>
          <w:szCs w:val="18"/>
          <w:lang w:val="es-419"/>
        </w:rPr>
      </w:pPr>
      <w:r w:rsidRPr="002405D3">
        <w:rPr>
          <w:szCs w:val="18"/>
          <w:lang w:val="es-419"/>
        </w:rPr>
        <w:t>párr. 37.</w:t>
      </w:r>
    </w:p>
  </w:footnote>
  <w:footnote w:id="119">
    <w:p w:rsidR="0050487D" w:rsidRPr="002405D3" w:rsidRDefault="0050487D" w:rsidP="0050487D">
      <w:pPr>
        <w:pStyle w:val="FootnoteText"/>
        <w:ind w:hanging="10"/>
        <w:rPr>
          <w:rFonts w:eastAsia="Times New Roman"/>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“La protección de los conocimientos tradicionales: Proyecto de análisis de las carencias: Revisión” (documento WIPO/GRTKF/IC/13/5(b) Rev. Anexo I), página 7, párr. 13.</w:t>
      </w:r>
    </w:p>
  </w:footnote>
  <w:footnote w:id="120">
    <w:p w:rsidR="0050487D" w:rsidRPr="002405D3" w:rsidRDefault="0050487D" w:rsidP="0050487D">
      <w:pPr>
        <w:pStyle w:val="FootnoteText"/>
        <w:ind w:hanging="10"/>
        <w:rPr>
          <w:rFonts w:eastAsia="Times New Roman"/>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rsidR="0050487D" w:rsidRPr="002405D3" w:rsidRDefault="0050487D" w:rsidP="0050487D">
      <w:pPr>
        <w:pStyle w:val="FootnoteText"/>
        <w:ind w:hanging="10"/>
        <w:rPr>
          <w:rFonts w:eastAsia="Times New Roman"/>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Stephen Allen y Alexandra Xanthaki, </w:t>
      </w:r>
      <w:r w:rsidRPr="002405D3">
        <w:rPr>
          <w:i/>
          <w:iCs/>
          <w:szCs w:val="18"/>
          <w:lang w:val="es-419"/>
        </w:rPr>
        <w:t>Reflections on the UN Declaration on the Rights of Indigenous Peoples</w:t>
      </w:r>
      <w:r w:rsidRPr="002405D3">
        <w:rPr>
          <w:szCs w:val="18"/>
          <w:lang w:val="es-419"/>
        </w:rPr>
        <w:t>,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Publicación N.º 489 de la OMPI, WIPO Intellectual Property Handbook (2008), pág. 19.</w:t>
      </w:r>
    </w:p>
  </w:footnote>
  <w:footnote w:id="123">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szCs w:val="18"/>
          <w:lang w:val="es-419"/>
        </w:rPr>
        <w:t xml:space="preserve">Véase el artículo </w:t>
      </w:r>
      <w:r w:rsidRPr="002405D3">
        <w:rPr>
          <w:color w:val="000000" w:themeColor="text1"/>
          <w:szCs w:val="18"/>
          <w:lang w:val="es-419"/>
        </w:rPr>
        <w:t xml:space="preserve">102 del título 35 del Código de los Estados Unidos de América, disponible en: </w:t>
      </w:r>
      <w:hyperlink r:id="rId23" w:anchor="al_d1fbe1_19797_b0" w:history="1">
        <w:r w:rsidRPr="002405D3">
          <w:rPr>
            <w:rStyle w:val="Hyperlink"/>
            <w:szCs w:val="18"/>
            <w:lang w:val="es-419"/>
          </w:rPr>
          <w:t>https://www.uspto.gov/web/offices/pac/mpep/mpep-9015-appx-l.html#al_d1fbe1_19797_b0</w:t>
        </w:r>
      </w:hyperlink>
      <w:r w:rsidRPr="002405D3">
        <w:rPr>
          <w:szCs w:val="18"/>
          <w:lang w:val="es-419"/>
        </w:rPr>
        <w:t xml:space="preserve">. Véase el artículo 151 del título 35 del Código de los Estados Unidos de América – Concesión de una patente, disponible en: </w:t>
      </w:r>
      <w:hyperlink r:id="rId24" w:history="1">
        <w:r w:rsidRPr="002405D3">
          <w:rPr>
            <w:rStyle w:val="Hyperlink"/>
            <w:szCs w:val="18"/>
            <w:lang w:val="es-419"/>
          </w:rPr>
          <w:t>https://www.gpo.gov/fdsys/pkg/USCODE-2011-title35/pdf/USCODE-2011-title35-partII-chap14-sec151.pdf</w:t>
        </w:r>
      </w:hyperlink>
      <w:r w:rsidRPr="002405D3">
        <w:rPr>
          <w:szCs w:val="18"/>
          <w:lang w:val="es-419"/>
        </w:rPr>
        <w:t xml:space="preserve"> y al artículo 122.b) del título mencionado – Carácter confidencial de las solicitudes; publicación de solicitudes de patente, disponible en: </w:t>
      </w:r>
      <w:hyperlink r:id="rId25" w:history="1">
        <w:r w:rsidRPr="002405D3">
          <w:rPr>
            <w:rStyle w:val="Hyperlink"/>
            <w:szCs w:val="18"/>
            <w:lang w:val="es-419"/>
          </w:rPr>
          <w:t>https://www.gpo.gov/fdsys/pkg/USCODE-2011-title35/pdf/USCODE-2011-title35-partII-chap11-sec122.pdf</w:t>
        </w:r>
      </w:hyperlink>
      <w:r w:rsidRPr="002405D3">
        <w:rPr>
          <w:szCs w:val="18"/>
          <w:lang w:val="es-419"/>
        </w:rPr>
        <w:t xml:space="preserve">. </w:t>
      </w:r>
    </w:p>
  </w:footnote>
  <w:footnote w:id="12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la Ley de Patentes del Japón, disponible en: </w:t>
      </w:r>
      <w:hyperlink r:id="rId26" w:history="1">
        <w:r w:rsidRPr="002405D3">
          <w:rPr>
            <w:rStyle w:val="Hyperlink"/>
            <w:szCs w:val="18"/>
            <w:lang w:val="es-419"/>
          </w:rPr>
          <w:t>http://www.wipo.int/wipolex/es/details.jsp?id=16061</w:t>
        </w:r>
      </w:hyperlink>
      <w:r w:rsidRPr="002405D3">
        <w:rPr>
          <w:szCs w:val="18"/>
          <w:lang w:val="es-419"/>
        </w:rPr>
        <w:t xml:space="preserve">. </w:t>
      </w:r>
    </w:p>
  </w:footnote>
  <w:footnote w:id="125">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“Reseña de actividades y resultados del Comité Intergubernamental” (WIPO/GRTKF/IC/5/12), </w:t>
      </w:r>
    </w:p>
    <w:p w:rsidR="0050487D" w:rsidRPr="002405D3" w:rsidRDefault="0050487D" w:rsidP="0050487D">
      <w:pPr>
        <w:pStyle w:val="FootnoteText"/>
        <w:ind w:hanging="10"/>
        <w:rPr>
          <w:szCs w:val="18"/>
          <w:lang w:val="es-419"/>
        </w:rPr>
      </w:pPr>
      <w:r w:rsidRPr="002405D3">
        <w:rPr>
          <w:szCs w:val="18"/>
          <w:lang w:val="es-419"/>
        </w:rPr>
        <w:t>párr. 20.</w:t>
      </w:r>
    </w:p>
  </w:footnote>
  <w:footnote w:id="12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iCs/>
          <w:szCs w:val="18"/>
          <w:lang w:val="es-419"/>
        </w:rPr>
        <w:t>Idem</w:t>
      </w:r>
      <w:r w:rsidRPr="002405D3">
        <w:rPr>
          <w:szCs w:val="18"/>
          <w:lang w:val="es-419"/>
        </w:rPr>
        <w:t>., párrafos 21 y 22.</w:t>
      </w:r>
    </w:p>
  </w:footnote>
  <w:footnote w:id="12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szCs w:val="18"/>
          <w:lang w:val="es-419"/>
        </w:rPr>
        <w:t>Idem</w:t>
      </w:r>
      <w:r w:rsidRPr="002405D3">
        <w:rPr>
          <w:szCs w:val="18"/>
          <w:lang w:val="es-419"/>
        </w:rPr>
        <w:t>, párr. 21.</w:t>
      </w:r>
    </w:p>
  </w:footnote>
  <w:footnote w:id="12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iCs/>
          <w:szCs w:val="18"/>
          <w:lang w:val="es-419"/>
        </w:rPr>
        <w:t>Idem</w:t>
      </w:r>
      <w:r w:rsidRPr="002405D3">
        <w:rPr>
          <w:szCs w:val="18"/>
          <w:lang w:val="es-419"/>
        </w:rPr>
        <w:t>, párr. 28.</w:t>
      </w:r>
    </w:p>
  </w:footnote>
  <w:footnote w:id="12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Jane Anderson, “</w:t>
      </w:r>
      <w:r w:rsidRPr="002405D3">
        <w:rPr>
          <w:i/>
          <w:iCs/>
          <w:color w:val="000000" w:themeColor="text1"/>
          <w:szCs w:val="18"/>
          <w:lang w:val="es-419"/>
        </w:rPr>
        <w:t>Indigenous Knowledge/Traditional Knowledge and Intellectual Property</w:t>
      </w:r>
      <w:r w:rsidRPr="002405D3">
        <w:rPr>
          <w:szCs w:val="18"/>
          <w:lang w:val="es-419"/>
        </w:rPr>
        <w:t xml:space="preserve">”, Documento de trabajo, Centre for the Public Domain, Duke University, 2011, disponible en: </w:t>
      </w:r>
      <w:hyperlink r:id="rId27" w:history="1">
        <w:r w:rsidRPr="002405D3">
          <w:rPr>
            <w:rStyle w:val="Hyperlink"/>
            <w:color w:val="000000" w:themeColor="text1"/>
            <w:szCs w:val="18"/>
            <w:lang w:val="es-419"/>
          </w:rPr>
          <w:t>http://www.law.duke.edu/cspd/itkpaper</w:t>
        </w:r>
      </w:hyperlink>
    </w:p>
  </w:footnote>
  <w:footnote w:id="13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WIPO/GRTKF/17/INF/12.</w:t>
      </w:r>
    </w:p>
  </w:footnote>
  <w:footnote w:id="13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SCP/13/5.</w:t>
      </w:r>
    </w:p>
  </w:footnote>
  <w:footnote w:id="13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Guía sobre los tratados de derecho de autor… </w:t>
      </w:r>
      <w:r w:rsidRPr="002405D3">
        <w:rPr>
          <w:i/>
          <w:iCs/>
          <w:szCs w:val="18"/>
          <w:lang w:val="es-419"/>
        </w:rPr>
        <w:t>op. cit</w:t>
      </w:r>
      <w:r w:rsidRPr="002405D3">
        <w:rPr>
          <w:szCs w:val="18"/>
          <w:lang w:val="es-419"/>
        </w:rPr>
        <w:t>. en la nota 44.</w:t>
      </w:r>
    </w:p>
  </w:footnote>
  <w:footnote w:id="13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SCP/13/5.</w:t>
      </w:r>
    </w:p>
  </w:footnote>
  <w:footnote w:id="13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w:t>
      </w:r>
      <w:r w:rsidRPr="002405D3">
        <w:rPr>
          <w:i/>
          <w:iCs/>
          <w:szCs w:val="18"/>
          <w:lang w:val="es-419"/>
        </w:rPr>
        <w:t>The Role of Registers &amp; Databases in the Protection of Traditional Knowledge: A Comparative Analysis</w:t>
      </w:r>
      <w:r w:rsidRPr="002405D3">
        <w:rPr>
          <w:szCs w:val="18"/>
          <w:lang w:val="es-419"/>
        </w:rPr>
        <w:t>”, Informe UNU/IAS, enero de 2004, pág. 32.</w:t>
      </w:r>
    </w:p>
  </w:footnote>
  <w:footnote w:id="136">
    <w:p w:rsidR="0050487D" w:rsidRPr="002405D3" w:rsidRDefault="0050487D" w:rsidP="0050487D">
      <w:pPr>
        <w:pStyle w:val="FootnoteText"/>
        <w:ind w:hanging="10"/>
        <w:rPr>
          <w:i/>
          <w:szCs w:val="18"/>
          <w:lang w:val="es-419"/>
        </w:rPr>
      </w:pPr>
      <w:r w:rsidRPr="002405D3">
        <w:rPr>
          <w:rStyle w:val="FootnoteReference"/>
          <w:szCs w:val="18"/>
          <w:lang w:val="es-419"/>
        </w:rPr>
        <w:footnoteRef/>
      </w:r>
      <w:r w:rsidRPr="002405D3">
        <w:rPr>
          <w:szCs w:val="18"/>
          <w:lang w:val="es-419"/>
        </w:rPr>
        <w:t xml:space="preserve"> </w:t>
      </w:r>
      <w:r w:rsidRPr="002405D3">
        <w:rPr>
          <w:i/>
          <w:szCs w:val="18"/>
          <w:lang w:val="es-419"/>
        </w:rPr>
        <w:t>Idem</w:t>
      </w:r>
      <w:r w:rsidRPr="002405D3">
        <w:rPr>
          <w:szCs w:val="18"/>
          <w:lang w:val="es-419"/>
        </w:rPr>
        <w:t>.</w:t>
      </w:r>
    </w:p>
  </w:footnote>
  <w:footnote w:id="137">
    <w:p w:rsidR="0050487D" w:rsidRPr="002405D3" w:rsidRDefault="0050487D" w:rsidP="0050487D">
      <w:pPr>
        <w:pStyle w:val="FootnoteText"/>
        <w:ind w:hanging="10"/>
        <w:rPr>
          <w:i/>
          <w:szCs w:val="18"/>
          <w:lang w:val="es-419"/>
        </w:rPr>
      </w:pPr>
      <w:r w:rsidRPr="002405D3">
        <w:rPr>
          <w:rStyle w:val="FootnoteReference"/>
          <w:szCs w:val="18"/>
          <w:lang w:val="es-419"/>
        </w:rPr>
        <w:footnoteRef/>
      </w:r>
      <w:r w:rsidRPr="002405D3">
        <w:rPr>
          <w:szCs w:val="18"/>
          <w:lang w:val="es-419"/>
        </w:rPr>
        <w:t xml:space="preserve"> </w:t>
      </w:r>
      <w:r w:rsidRPr="002405D3">
        <w:rPr>
          <w:i/>
          <w:szCs w:val="18"/>
          <w:lang w:val="es-419"/>
        </w:rPr>
        <w:t>Idem</w:t>
      </w:r>
      <w:r w:rsidRPr="002405D3">
        <w:rPr>
          <w:szCs w:val="18"/>
          <w:lang w:val="es-419"/>
        </w:rPr>
        <w:t>.</w:t>
      </w:r>
    </w:p>
  </w:footnote>
  <w:footnote w:id="138">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Artículo 16 de la Ley N.º 27811 que establece el régimen de protección de los conocimientos colectivos de los pueblos indígenas vinculados a los recursos biológicos.</w:t>
      </w:r>
      <w:r w:rsidRPr="002405D3">
        <w:rPr>
          <w:color w:val="000000" w:themeColor="text1"/>
          <w:szCs w:val="18"/>
          <w:lang w:val="es-419"/>
        </w:rPr>
        <w:t xml:space="preserve"> </w:t>
      </w:r>
      <w:r w:rsidRPr="002405D3">
        <w:rPr>
          <w:szCs w:val="18"/>
          <w:lang w:val="es-419"/>
        </w:rPr>
        <w:t xml:space="preserve">El texto de la Ley está disponible en </w:t>
      </w:r>
      <w:hyperlink r:id="rId28" w:history="1">
        <w:r w:rsidRPr="002405D3">
          <w:rPr>
            <w:rStyle w:val="Hyperlink"/>
            <w:szCs w:val="18"/>
            <w:lang w:val="es-419"/>
          </w:rPr>
          <w:t>http://www.wipo.int/wipolex/es/details.jsp?id=3420</w:t>
        </w:r>
      </w:hyperlink>
      <w:r w:rsidRPr="002405D3">
        <w:rPr>
          <w:szCs w:val="18"/>
          <w:lang w:val="es-419"/>
        </w:rPr>
        <w:t xml:space="preserve">. </w:t>
      </w:r>
    </w:p>
  </w:footnote>
  <w:footnote w:id="13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Art. 6</w:t>
      </w:r>
      <w:r w:rsidRPr="002405D3">
        <w:rPr>
          <w:i/>
          <w:iCs/>
          <w:szCs w:val="18"/>
          <w:lang w:val="es-419"/>
        </w:rPr>
        <w:t>bis</w:t>
      </w:r>
      <w:r w:rsidRPr="002405D3">
        <w:rPr>
          <w:szCs w:val="18"/>
          <w:lang w:val="es-419"/>
        </w:rPr>
        <w:t xml:space="preserve"> del Convenio de Berna.</w:t>
      </w:r>
    </w:p>
  </w:footnote>
  <w:footnote w:id="140">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Ricketson y Ginsburg, </w:t>
      </w:r>
      <w:r w:rsidRPr="002405D3">
        <w:rPr>
          <w:i/>
          <w:iCs/>
          <w:szCs w:val="18"/>
          <w:lang w:val="es-419"/>
        </w:rPr>
        <w:t>op. cit.</w:t>
      </w:r>
      <w:r w:rsidRPr="002405D3">
        <w:rPr>
          <w:szCs w:val="18"/>
          <w:lang w:val="es-419"/>
        </w:rPr>
        <w:t xml:space="preserve"> en la nota 46, pág. 606.</w:t>
      </w:r>
    </w:p>
  </w:footnote>
  <w:footnote w:id="14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Daniel J. Gervais, “</w:t>
      </w:r>
      <w:r w:rsidRPr="002405D3">
        <w:rPr>
          <w:i/>
          <w:iCs/>
          <w:szCs w:val="18"/>
          <w:lang w:val="es-419"/>
        </w:rPr>
        <w:t>Spiritual But not Intellectual: The Protection of Sacred Intangible Traditional Knowledge</w:t>
      </w:r>
      <w:r w:rsidRPr="002405D3">
        <w:rPr>
          <w:szCs w:val="18"/>
          <w:lang w:val="es-419"/>
        </w:rPr>
        <w:t>”, 11 Cardozo J. Int’l &amp; Comp. L. 467, 469-490 (2003).</w:t>
      </w:r>
    </w:p>
  </w:footnote>
  <w:footnote w:id="142">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Gupta, A., “</w:t>
      </w:r>
      <w:r w:rsidRPr="002405D3">
        <w:rPr>
          <w:i/>
          <w:szCs w:val="18"/>
          <w:lang w:val="es-419"/>
        </w:rPr>
        <w:t>Rewarding Traditional Knowledge and Contemporary Grassroots Creativity:</w:t>
      </w:r>
      <w:r w:rsidRPr="002405D3">
        <w:rPr>
          <w:szCs w:val="18"/>
          <w:lang w:val="es-419"/>
        </w:rPr>
        <w:t xml:space="preserve"> </w:t>
      </w:r>
      <w:r w:rsidRPr="002405D3">
        <w:rPr>
          <w:i/>
          <w:szCs w:val="18"/>
          <w:lang w:val="es-419"/>
        </w:rPr>
        <w:t>The Role of Intellectual Property Protection</w:t>
      </w:r>
      <w:r w:rsidRPr="002405D3">
        <w:rPr>
          <w:szCs w:val="18"/>
          <w:lang w:val="es-419"/>
        </w:rPr>
        <w:t>”, (en los archivos de la Secretaría).</w:t>
      </w:r>
    </w:p>
  </w:footnote>
  <w:footnote w:id="143">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Véase el “Informe de la OMPI relativo a las misiones exploratorias sobre propiedad intelectual y conocimientos tradicionales (1998</w:t>
      </w:r>
      <w:r w:rsidRPr="002405D3">
        <w:rPr>
          <w:szCs w:val="18"/>
          <w:lang w:val="es-419"/>
        </w:rPr>
        <w:noBreakHyphen/>
        <w:t xml:space="preserve">1999): Conocimientos tradicionales: Necesidades y expectativas en materia de propiedad intelectual”, pág. 187, disponible en: </w:t>
      </w:r>
      <w:hyperlink r:id="rId29" w:history="1">
        <w:r w:rsidRPr="002405D3">
          <w:rPr>
            <w:rStyle w:val="Hyperlink"/>
            <w:szCs w:val="18"/>
            <w:lang w:val="es-419"/>
          </w:rPr>
          <w:t>http://www.wipo.int/tk/en/tk/ffm/report/index.html</w:t>
        </w:r>
      </w:hyperlink>
      <w:r w:rsidRPr="002405D3">
        <w:rPr>
          <w:szCs w:val="18"/>
          <w:lang w:val="es-419"/>
        </w:rPr>
        <w:t>.</w:t>
      </w:r>
    </w:p>
  </w:footnote>
  <w:footnote w:id="14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Intervención de la Delegación de Nueva Zelandia en la undécima sesión del Comité. Véase el informe aprobado de dicha sesión (documento WIPO/GRTKF/IC/11/15), párr. 220.</w:t>
      </w:r>
    </w:p>
  </w:footnote>
  <w:footnote w:id="145">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Intervención de la Delegación del Japón en la undécima sesión del Comité. Véase el informe aprobado de dicha sesión (documento WIPO/GRTKF/IC/11/15), párr. 296.</w:t>
      </w:r>
    </w:p>
  </w:footnote>
  <w:footnote w:id="14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“La protección de los conocimientos tradicionales: Proyecto de análisis de las carencias: Revisión”, documento WIPO/GRTKF/IC/13/5(b) Rev. </w:t>
      </w:r>
    </w:p>
    <w:p w:rsidR="0050487D" w:rsidRPr="002405D3" w:rsidRDefault="0050487D" w:rsidP="0050487D">
      <w:pPr>
        <w:pStyle w:val="FootnoteText"/>
        <w:ind w:hanging="10"/>
        <w:rPr>
          <w:szCs w:val="18"/>
          <w:lang w:val="es-419"/>
        </w:rPr>
      </w:pPr>
      <w:r w:rsidRPr="002405D3">
        <w:rPr>
          <w:szCs w:val="18"/>
          <w:lang w:val="es-419"/>
        </w:rPr>
        <w:t>Anexo I, pág. 23, y Anexo II, págs. 12 y 18.</w:t>
      </w:r>
    </w:p>
  </w:footnote>
  <w:footnote w:id="14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Marco Regional para el Pacífico relativo a la protección de los conocimientos tradicionales y las expresiones de la cultura, 2002, Parte I, art. 4.</w:t>
      </w:r>
    </w:p>
  </w:footnote>
  <w:footnote w:id="14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Véanse los artículos 15, 16 y 19 del CDB.</w:t>
      </w:r>
    </w:p>
  </w:footnote>
  <w:footnote w:id="149">
    <w:p w:rsidR="0050487D" w:rsidRPr="002405D3" w:rsidRDefault="0050487D" w:rsidP="0050487D">
      <w:pPr>
        <w:pStyle w:val="FootnoteText"/>
        <w:ind w:hanging="10"/>
        <w:rPr>
          <w:szCs w:val="18"/>
          <w:lang w:val="es-419"/>
        </w:rPr>
      </w:pPr>
      <w:r w:rsidRPr="002405D3">
        <w:rPr>
          <w:szCs w:val="18"/>
          <w:vertAlign w:val="superscript"/>
          <w:lang w:val="es-419"/>
        </w:rPr>
        <w:footnoteRef/>
      </w:r>
      <w:r w:rsidRPr="002405D3">
        <w:rPr>
          <w:szCs w:val="18"/>
          <w:vertAlign w:val="superscript"/>
          <w:lang w:val="es-419"/>
        </w:rPr>
        <w:t xml:space="preserve"> </w:t>
      </w:r>
      <w:r w:rsidRPr="002405D3">
        <w:rPr>
          <w:szCs w:val="18"/>
          <w:lang w:val="es-419"/>
        </w:rPr>
        <w:t>Véanse los artículos 10 a 13 del ITPGRFA.</w:t>
      </w:r>
    </w:p>
  </w:footnote>
  <w:footnote w:id="150">
    <w:p w:rsidR="0050487D" w:rsidRPr="002405D3" w:rsidRDefault="0050487D" w:rsidP="0050487D">
      <w:pPr>
        <w:pStyle w:val="FootnoteText"/>
        <w:ind w:hanging="10"/>
        <w:rPr>
          <w:szCs w:val="18"/>
          <w:lang w:val="es-419"/>
        </w:rPr>
      </w:pPr>
      <w:r w:rsidRPr="002405D3">
        <w:rPr>
          <w:szCs w:val="18"/>
          <w:vertAlign w:val="superscript"/>
          <w:lang w:val="es-419"/>
        </w:rPr>
        <w:footnoteRef/>
      </w:r>
      <w:r w:rsidRPr="002405D3">
        <w:rPr>
          <w:szCs w:val="18"/>
          <w:vertAlign w:val="superscript"/>
          <w:lang w:val="es-419"/>
        </w:rPr>
        <w:t xml:space="preserve"> </w:t>
      </w:r>
      <w:r w:rsidRPr="002405D3">
        <w:rPr>
          <w:szCs w:val="18"/>
          <w:lang w:val="es-419"/>
        </w:rPr>
        <w:t>Véase el artículo 8.j) del CDB.</w:t>
      </w:r>
    </w:p>
  </w:footnote>
  <w:footnote w:id="151">
    <w:p w:rsidR="0050487D" w:rsidRPr="002405D3" w:rsidRDefault="0050487D" w:rsidP="0050487D">
      <w:pPr>
        <w:pStyle w:val="FootnoteText"/>
        <w:ind w:hanging="10"/>
        <w:rPr>
          <w:szCs w:val="18"/>
          <w:lang w:val="es-419"/>
        </w:rPr>
      </w:pPr>
      <w:r w:rsidRPr="002405D3">
        <w:rPr>
          <w:szCs w:val="18"/>
          <w:vertAlign w:val="superscript"/>
          <w:lang w:val="es-419"/>
        </w:rPr>
        <w:footnoteRef/>
      </w:r>
      <w:r w:rsidRPr="002405D3">
        <w:rPr>
          <w:szCs w:val="18"/>
          <w:vertAlign w:val="superscript"/>
          <w:lang w:val="es-419"/>
        </w:rPr>
        <w:t xml:space="preserve"> </w:t>
      </w:r>
      <w:r w:rsidRPr="002405D3">
        <w:rPr>
          <w:szCs w:val="18"/>
          <w:lang w:val="es-419"/>
        </w:rPr>
        <w:t>Véase el documento WIPO/GRTKF/IC/11/10.</w:t>
      </w:r>
    </w:p>
  </w:footnote>
  <w:footnote w:id="152">
    <w:p w:rsidR="0050487D" w:rsidRPr="002405D3" w:rsidRDefault="0050487D" w:rsidP="0050487D">
      <w:pPr>
        <w:pStyle w:val="FootnoteText"/>
        <w:ind w:hanging="10"/>
        <w:rPr>
          <w:rStyle w:val="FootnoteReference"/>
          <w:iCs/>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Disposiciones Tipo para leyes nacionales sobre la protección...”,1982,</w:t>
      </w:r>
      <w:r w:rsidRPr="002405D3">
        <w:rPr>
          <w:i/>
          <w:iCs/>
          <w:szCs w:val="18"/>
          <w:lang w:val="es-419"/>
        </w:rPr>
        <w:t xml:space="preserve"> op. cit</w:t>
      </w:r>
      <w:r w:rsidRPr="002405D3">
        <w:rPr>
          <w:szCs w:val="18"/>
          <w:lang w:val="es-419"/>
        </w:rPr>
        <w:t>. en la nota 36, Parte III.</w:t>
      </w:r>
      <w:r w:rsidRPr="002405D3">
        <w:rPr>
          <w:rStyle w:val="FootnoteReference"/>
          <w:szCs w:val="18"/>
          <w:lang w:val="es-419"/>
        </w:rPr>
        <w:t xml:space="preserve"> </w:t>
      </w:r>
    </w:p>
  </w:footnote>
  <w:footnote w:id="15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Disposiciones Tipo para leyes nacionales sobre la protección...”,1982,</w:t>
      </w:r>
      <w:r w:rsidRPr="002405D3">
        <w:rPr>
          <w:i/>
          <w:iCs/>
          <w:szCs w:val="18"/>
          <w:lang w:val="es-419"/>
        </w:rPr>
        <w:t xml:space="preserve"> op. cit</w:t>
      </w:r>
      <w:r w:rsidRPr="002405D3">
        <w:rPr>
          <w:szCs w:val="18"/>
          <w:lang w:val="es-419"/>
        </w:rPr>
        <w:t>. en la nota 36, artículo 2.iv).</w:t>
      </w:r>
    </w:p>
  </w:footnote>
  <w:footnote w:id="154">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Nino Pires de Carvalho, “</w:t>
      </w:r>
      <w:r w:rsidRPr="002405D3">
        <w:rPr>
          <w:i/>
          <w:szCs w:val="18"/>
          <w:lang w:val="es-419"/>
        </w:rPr>
        <w:t>From the Shaman’s Hut to the Patent Office:</w:t>
      </w:r>
      <w:r w:rsidRPr="002405D3">
        <w:rPr>
          <w:szCs w:val="18"/>
          <w:lang w:val="es-419"/>
        </w:rPr>
        <w:t xml:space="preserve"> </w:t>
      </w:r>
      <w:r w:rsidRPr="002405D3">
        <w:rPr>
          <w:i/>
          <w:iCs/>
          <w:szCs w:val="18"/>
          <w:lang w:val="es-419"/>
        </w:rPr>
        <w:t>A Road Under Construction</w:t>
      </w:r>
      <w:r w:rsidRPr="002405D3">
        <w:rPr>
          <w:szCs w:val="18"/>
          <w:lang w:val="es-419"/>
        </w:rPr>
        <w:t xml:space="preserve">”. Capítulo 18 de </w:t>
      </w:r>
      <w:r w:rsidRPr="002405D3">
        <w:rPr>
          <w:i/>
          <w:szCs w:val="18"/>
          <w:lang w:val="es-419"/>
        </w:rPr>
        <w:t>Biodiversity and the Law</w:t>
      </w:r>
      <w:r w:rsidRPr="002405D3">
        <w:rPr>
          <w:szCs w:val="18"/>
          <w:lang w:val="es-419"/>
        </w:rPr>
        <w:t>, pág. 244.</w:t>
      </w:r>
    </w:p>
  </w:footnote>
  <w:footnote w:id="155">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Análisis consolidado de la protección jurídica de las expresiones culturales tradicionales, WIPO/GRTKF/IC/5/3, párr. 53. </w:t>
      </w:r>
    </w:p>
  </w:footnote>
  <w:footnote w:id="156">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szCs w:val="18"/>
          <w:lang w:val="es-419"/>
        </w:rPr>
        <w:t xml:space="preserve">Disposiciones Tipo para leyes nacionales sobre la protección...”,1982, </w:t>
      </w:r>
      <w:r w:rsidRPr="002405D3">
        <w:rPr>
          <w:i/>
          <w:iCs/>
          <w:szCs w:val="18"/>
          <w:lang w:val="es-419"/>
        </w:rPr>
        <w:t>op. cit</w:t>
      </w:r>
      <w:r w:rsidRPr="002405D3">
        <w:rPr>
          <w:szCs w:val="18"/>
          <w:lang w:val="es-419"/>
        </w:rPr>
        <w:t>. en la nota 36, Parte III, párr. 42.</w:t>
      </w:r>
    </w:p>
  </w:footnote>
  <w:footnote w:id="15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Elementos de un sistema sui géneris de protección de los conocimientos tradicionales (WIPO/GRTKF/IC/4/8), párr. 27. </w:t>
      </w:r>
    </w:p>
  </w:footnote>
  <w:footnote w:id="158">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Análisis consolidado de la protección jurídica de las expresiones culturales tradicionales, WIPO/GRTKF/IC/5/3, párr. 54. </w:t>
      </w:r>
    </w:p>
  </w:footnote>
  <w:footnote w:id="15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también Marc G. Stevenson “</w:t>
      </w:r>
      <w:r w:rsidRPr="002405D3">
        <w:rPr>
          <w:i/>
          <w:szCs w:val="18"/>
          <w:lang w:val="es-419"/>
        </w:rPr>
        <w:t>Indigenous Knowledge in Environmental Assessments”</w:t>
      </w:r>
      <w:r w:rsidRPr="002405D3">
        <w:rPr>
          <w:szCs w:val="18"/>
          <w:lang w:val="es-419"/>
        </w:rPr>
        <w:t>, 49 ARCTIC 278, 1996, pág. 281.</w:t>
      </w:r>
    </w:p>
  </w:footnote>
  <w:footnote w:id="16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Fikret Berkes, “T</w:t>
      </w:r>
      <w:r w:rsidRPr="002405D3">
        <w:rPr>
          <w:i/>
          <w:iCs/>
          <w:szCs w:val="18"/>
          <w:lang w:val="es-419"/>
        </w:rPr>
        <w:t>raditional Ecological Knowledge in Perspective. Traditional Ecological Knowledge: Concepts and Cases</w:t>
      </w:r>
      <w:r w:rsidRPr="002405D3">
        <w:rPr>
          <w:szCs w:val="18"/>
          <w:lang w:val="es-419"/>
        </w:rPr>
        <w:t>”. Programa Internacional sobre Conocimientos Ecológicos Tradicionales Centro Internacional de Investigaciones para el Desarrollo, Otawa.</w:t>
      </w:r>
    </w:p>
  </w:footnote>
  <w:footnote w:id="161">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“Informe de la OMPI relativo a las misiones exploratorias sobre propiedad intelectual y conocimientos tradicionales (1998</w:t>
      </w:r>
      <w:r w:rsidRPr="002405D3">
        <w:rPr>
          <w:szCs w:val="18"/>
          <w:lang w:val="es-419"/>
        </w:rPr>
        <w:noBreakHyphen/>
        <w:t xml:space="preserve">1999): Conocimientos tradicionales: Necesidades y expectativas en materia de propiedad intelectual”, pág. 25, disponible en: </w:t>
      </w:r>
      <w:hyperlink r:id="rId30" w:history="1">
        <w:r w:rsidRPr="002405D3">
          <w:rPr>
            <w:rStyle w:val="Hyperlink"/>
            <w:szCs w:val="18"/>
            <w:lang w:val="es-419"/>
          </w:rPr>
          <w:t>http://www.wipo.int/edocs/pubdocs/es/tk/768/wipo_pub_768.pdf</w:t>
        </w:r>
      </w:hyperlink>
      <w:r w:rsidRPr="002405D3">
        <w:rPr>
          <w:szCs w:val="18"/>
          <w:lang w:val="es-419"/>
        </w:rPr>
        <w:t xml:space="preserve">. </w:t>
      </w:r>
    </w:p>
  </w:footnote>
  <w:footnote w:id="16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Más información disponible en </w:t>
      </w:r>
      <w:hyperlink r:id="rId31" w:history="1">
        <w:r w:rsidRPr="002405D3">
          <w:rPr>
            <w:rStyle w:val="Hyperlink"/>
            <w:szCs w:val="18"/>
            <w:lang w:val="es-419"/>
          </w:rPr>
          <w:t>http://www.tkdl.res.in/tkdl/langdefault/common/Abouttkdl.asp?GL=Eng</w:t>
        </w:r>
      </w:hyperlink>
      <w:r w:rsidRPr="002405D3">
        <w:rPr>
          <w:szCs w:val="18"/>
          <w:lang w:val="es-419"/>
        </w:rPr>
        <w:t xml:space="preserve">. </w:t>
      </w:r>
    </w:p>
  </w:footnote>
  <w:footnote w:id="163">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szCs w:val="18"/>
          <w:lang w:val="es-419"/>
        </w:rPr>
        <w:t xml:space="preserve"> “</w:t>
      </w:r>
      <w:r w:rsidRPr="002405D3">
        <w:rPr>
          <w:i/>
          <w:iCs/>
          <w:szCs w:val="18"/>
          <w:lang w:val="es-419"/>
        </w:rPr>
        <w:t>The Role of Registers &amp; Databases in the Protection of Traditional Knowledge: A Comparative Analysis</w:t>
      </w:r>
      <w:r w:rsidRPr="002405D3">
        <w:rPr>
          <w:szCs w:val="18"/>
          <w:lang w:val="es-419"/>
        </w:rPr>
        <w:t>”, Informe UNU/IAS, enero de 2004, pág. 18.</w:t>
      </w:r>
    </w:p>
  </w:footnote>
  <w:footnote w:id="164">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i/>
          <w:color w:val="000000" w:themeColor="text1"/>
          <w:szCs w:val="18"/>
          <w:lang w:val="es-419"/>
        </w:rPr>
        <w:t>Idem</w:t>
      </w:r>
      <w:r w:rsidRPr="002405D3">
        <w:rPr>
          <w:color w:val="000000" w:themeColor="text1"/>
          <w:szCs w:val="18"/>
          <w:lang w:val="es-419"/>
        </w:rPr>
        <w:t>.</w:t>
      </w:r>
    </w:p>
  </w:footnote>
  <w:footnote w:id="165">
    <w:p w:rsidR="0050487D" w:rsidRPr="002405D3" w:rsidRDefault="0050487D" w:rsidP="0050487D">
      <w:pPr>
        <w:pStyle w:val="FootnoteText"/>
        <w:ind w:hanging="10"/>
        <w:rPr>
          <w:color w:val="000000" w:themeColor="text1"/>
          <w:szCs w:val="18"/>
          <w:lang w:val="es-419"/>
        </w:rPr>
      </w:pPr>
      <w:r w:rsidRPr="002405D3">
        <w:rPr>
          <w:rStyle w:val="FootnoteReference"/>
          <w:color w:val="000000" w:themeColor="text1"/>
          <w:szCs w:val="18"/>
          <w:lang w:val="es-419"/>
        </w:rPr>
        <w:footnoteRef/>
      </w:r>
      <w:r w:rsidRPr="002405D3">
        <w:rPr>
          <w:szCs w:val="18"/>
          <w:lang w:val="es-419"/>
        </w:rPr>
        <w:t xml:space="preserve"> </w:t>
      </w:r>
      <w:r w:rsidRPr="002405D3">
        <w:rPr>
          <w:color w:val="000000" w:themeColor="text1"/>
          <w:szCs w:val="18"/>
          <w:lang w:val="es-419"/>
        </w:rPr>
        <w:t xml:space="preserve">Más información disponible en </w:t>
      </w:r>
      <w:hyperlink r:id="rId32" w:history="1">
        <w:r w:rsidRPr="002405D3">
          <w:rPr>
            <w:rStyle w:val="Hyperlink"/>
            <w:color w:val="000000" w:themeColor="text1"/>
            <w:szCs w:val="18"/>
            <w:lang w:val="es-419"/>
          </w:rPr>
          <w:t>http://www.tkdl.res.in/tkdl/langdefault/common/TKRC.asp?GL=Eng</w:t>
        </w:r>
      </w:hyperlink>
      <w:r w:rsidRPr="002405D3">
        <w:rPr>
          <w:szCs w:val="18"/>
          <w:lang w:val="es-419"/>
        </w:rPr>
        <w:t>.</w:t>
      </w:r>
      <w:r w:rsidRPr="002405D3">
        <w:rPr>
          <w:color w:val="000000" w:themeColor="text1"/>
          <w:szCs w:val="18"/>
          <w:lang w:val="es-419"/>
        </w:rPr>
        <w:t xml:space="preserve"> </w:t>
      </w:r>
    </w:p>
  </w:footnote>
  <w:footnote w:id="166">
    <w:p w:rsidR="0050487D" w:rsidRPr="002405D3" w:rsidRDefault="0050487D" w:rsidP="0050487D">
      <w:pPr>
        <w:pStyle w:val="FootnoteText"/>
        <w:ind w:hanging="10"/>
        <w:rPr>
          <w:szCs w:val="18"/>
          <w:lang w:val="es-419"/>
        </w:rPr>
      </w:pPr>
      <w:r w:rsidRPr="002405D3">
        <w:rPr>
          <w:rStyle w:val="FootnoteReference"/>
          <w:color w:val="000000" w:themeColor="text1"/>
          <w:szCs w:val="18"/>
          <w:lang w:val="es-419"/>
        </w:rPr>
        <w:footnoteRef/>
      </w:r>
      <w:r w:rsidRPr="002405D3">
        <w:rPr>
          <w:color w:val="000000" w:themeColor="text1"/>
          <w:szCs w:val="18"/>
          <w:lang w:val="es-419"/>
        </w:rPr>
        <w:t xml:space="preserve"> </w:t>
      </w:r>
      <w:r w:rsidRPr="002405D3">
        <w:rPr>
          <w:szCs w:val="18"/>
          <w:lang w:val="es-419"/>
        </w:rPr>
        <w:t>Pautas generales de la OMS para las metodologías de investigación y evaluación de la medicina tradicional, WHO/EDM/TRM/2000.1, pág. 1.</w:t>
      </w:r>
    </w:p>
  </w:footnote>
  <w:footnote w:id="167">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La estrategia de la OMS sobre medicina tradicional, 2002-2005.</w:t>
      </w:r>
    </w:p>
  </w:footnote>
  <w:footnote w:id="168">
    <w:p w:rsidR="0050487D" w:rsidRPr="002405D3" w:rsidRDefault="0050487D" w:rsidP="0050487D">
      <w:pPr>
        <w:pStyle w:val="FootnoteText"/>
        <w:ind w:hanging="10"/>
        <w:rPr>
          <w:szCs w:val="18"/>
          <w:lang w:val="es-419"/>
        </w:rPr>
      </w:pPr>
      <w:r w:rsidRPr="002405D3">
        <w:rPr>
          <w:szCs w:val="18"/>
          <w:vertAlign w:val="superscript"/>
          <w:lang w:val="es-419"/>
        </w:rPr>
        <w:footnoteRef/>
      </w:r>
      <w:r w:rsidRPr="002405D3">
        <w:rPr>
          <w:szCs w:val="18"/>
          <w:vertAlign w:val="superscript"/>
          <w:lang w:val="es-419"/>
        </w:rPr>
        <w:t xml:space="preserve"> </w:t>
      </w:r>
      <w:r w:rsidRPr="002405D3">
        <w:rPr>
          <w:szCs w:val="18"/>
          <w:lang w:val="es-419"/>
        </w:rPr>
        <w:t>Véanse los artículos 10 a 13 del ITPGRFA.</w:t>
      </w:r>
    </w:p>
  </w:footnote>
  <w:footnote w:id="169">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documento WIPO/GRTKF/IC/3/9.</w:t>
      </w:r>
    </w:p>
  </w:footnote>
  <w:footnote w:id="170">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el “Análisis consolidado de la protección jurídica de las expresiones culturales tradicionales”, WIPO/GRTKF/IC/5/3, párr. 57. </w:t>
      </w:r>
    </w:p>
  </w:footnote>
  <w:footnote w:id="171">
    <w:p w:rsidR="0050487D" w:rsidRPr="002405D3" w:rsidRDefault="0050487D" w:rsidP="0050487D">
      <w:pPr>
        <w:pStyle w:val="FootnoteText"/>
        <w:ind w:hanging="10"/>
        <w:rPr>
          <w:color w:val="000000" w:themeColor="text1"/>
          <w:szCs w:val="18"/>
          <w:lang w:val="es-419"/>
        </w:rPr>
      </w:pPr>
      <w:r w:rsidRPr="002405D3">
        <w:rPr>
          <w:rStyle w:val="FootnoteReference"/>
          <w:szCs w:val="18"/>
          <w:lang w:val="es-419"/>
        </w:rPr>
        <w:footnoteRef/>
      </w:r>
      <w:r w:rsidRPr="002405D3">
        <w:rPr>
          <w:rStyle w:val="FootnoteReference"/>
          <w:szCs w:val="18"/>
          <w:lang w:val="es-419"/>
        </w:rPr>
        <w:t xml:space="preserve"> </w:t>
      </w:r>
      <w:r w:rsidRPr="002405D3">
        <w:rPr>
          <w:color w:val="000000" w:themeColor="text1"/>
          <w:szCs w:val="18"/>
          <w:lang w:val="es-419"/>
        </w:rPr>
        <w:t xml:space="preserve">Daniel Gervais, </w:t>
      </w:r>
      <w:r w:rsidRPr="002405D3">
        <w:rPr>
          <w:i/>
          <w:iCs/>
          <w:color w:val="000000" w:themeColor="text1"/>
          <w:szCs w:val="18"/>
          <w:lang w:val="es-419"/>
        </w:rPr>
        <w:t>The TRIPS Agreement. Drafting and Analysis</w:t>
      </w:r>
      <w:r w:rsidRPr="002405D3">
        <w:rPr>
          <w:color w:val="000000" w:themeColor="text1"/>
          <w:szCs w:val="18"/>
          <w:lang w:val="es-419"/>
        </w:rPr>
        <w:t>, 3ª edición, Sweet &amp; Maxwell, pág. 132.</w:t>
      </w:r>
    </w:p>
  </w:footnote>
  <w:footnote w:id="172">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Véase </w:t>
      </w:r>
      <w:hyperlink r:id="rId33" w:history="1">
        <w:r w:rsidRPr="002405D3">
          <w:rPr>
            <w:rStyle w:val="Hyperlink"/>
            <w:color w:val="000000" w:themeColor="text1"/>
            <w:szCs w:val="18"/>
            <w:lang w:val="es-419"/>
          </w:rPr>
          <w:t>http://www.un.org/es/universal-declaration-human-rights/index.html</w:t>
        </w:r>
      </w:hyperlink>
      <w:r w:rsidRPr="002405D3">
        <w:rPr>
          <w:szCs w:val="18"/>
          <w:lang w:val="es-419"/>
        </w:rPr>
        <w:t xml:space="preserve"> </w:t>
      </w:r>
    </w:p>
  </w:footnote>
  <w:footnote w:id="173">
    <w:p w:rsidR="0050487D" w:rsidRPr="002405D3" w:rsidRDefault="0050487D" w:rsidP="0050487D">
      <w:pPr>
        <w:pStyle w:val="FootnoteText"/>
        <w:ind w:hanging="10"/>
        <w:rPr>
          <w:szCs w:val="18"/>
          <w:lang w:val="es-419"/>
        </w:rPr>
      </w:pPr>
      <w:r w:rsidRPr="002405D3">
        <w:rPr>
          <w:rStyle w:val="FootnoteReference"/>
          <w:szCs w:val="18"/>
          <w:lang w:val="es-419"/>
        </w:rPr>
        <w:footnoteRef/>
      </w:r>
      <w:r w:rsidRPr="002405D3">
        <w:rPr>
          <w:szCs w:val="18"/>
          <w:lang w:val="es-419"/>
        </w:rPr>
        <w:t xml:space="preserve"> Guía de la OMPI para la catalogación de conocimientos tradicionales, disponible en:</w:t>
      </w:r>
      <w:r w:rsidRPr="002405D3">
        <w:rPr>
          <w:color w:val="000000" w:themeColor="text1"/>
          <w:szCs w:val="18"/>
          <w:lang w:val="es-419"/>
        </w:rPr>
        <w:t xml:space="preserve"> </w:t>
      </w:r>
      <w:hyperlink r:id="rId34" w:history="1">
        <w:r w:rsidRPr="002405D3">
          <w:rPr>
            <w:rStyle w:val="Hyperlink"/>
            <w:szCs w:val="18"/>
            <w:lang w:val="es-419"/>
          </w:rPr>
          <w:t>https://www.wipo.int/publications/es/details.jsp?id=4235</w:t>
        </w:r>
      </w:hyperlink>
      <w:r w:rsidRPr="002405D3">
        <w:rPr>
          <w:szCs w:val="18"/>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87D" w:rsidRDefault="0050487D" w:rsidP="00477D6B">
    <w:pPr>
      <w:jc w:val="right"/>
    </w:pPr>
    <w:r>
      <w:t>WIPO/GRTKF/IC/46/INF/7</w:t>
    </w:r>
  </w:p>
  <w:p w:rsidR="0050487D" w:rsidRDefault="0050487D" w:rsidP="002C527D">
    <w:pPr>
      <w:spacing w:after="220"/>
      <w:jc w:val="right"/>
    </w:pPr>
    <w:r>
      <w:t xml:space="preserve">página </w:t>
    </w:r>
    <w:r>
      <w:fldChar w:fldCharType="begin"/>
    </w:r>
    <w:r>
      <w:instrText xml:space="preserve"> PAGE  \* MERGEFORMAT </w:instrText>
    </w:r>
    <w:r>
      <w:fldChar w:fldCharType="separate"/>
    </w:r>
    <w:r w:rsidR="008F5FB5">
      <w:rPr>
        <w:noProof/>
      </w:rPr>
      <w:t>2</w:t>
    </w:r>
    <w:r>
      <w:fldChar w:fldCharType="end"/>
    </w:r>
  </w:p>
  <w:p w:rsidR="0050487D" w:rsidRDefault="0050487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87D" w:rsidRPr="003F00EF" w:rsidRDefault="0050487D" w:rsidP="00477D6B">
    <w:pPr>
      <w:jc w:val="right"/>
      <w:rPr>
        <w:lang w:val="pt-BR"/>
      </w:rPr>
    </w:pPr>
    <w:r w:rsidRPr="003F00EF">
      <w:rPr>
        <w:lang w:val="pt-BR"/>
      </w:rPr>
      <w:t>WIPO/GRTKF/IC/4</w:t>
    </w:r>
    <w:r>
      <w:rPr>
        <w:lang w:val="pt-BR"/>
      </w:rPr>
      <w:t>6</w:t>
    </w:r>
    <w:r w:rsidRPr="003F00EF">
      <w:rPr>
        <w:lang w:val="pt-BR"/>
      </w:rPr>
      <w:t>/INF/7</w:t>
    </w:r>
  </w:p>
  <w:p w:rsidR="0050487D" w:rsidRPr="003F00EF" w:rsidRDefault="0050487D" w:rsidP="00023677">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8F5FB5">
      <w:rPr>
        <w:noProof/>
        <w:lang w:val="pt-BR"/>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87D" w:rsidRDefault="0050487D" w:rsidP="002C527D">
    <w:pPr>
      <w:pStyle w:val="Header"/>
      <w:jc w:val="right"/>
    </w:pPr>
    <w:r>
      <w:t>WIPO/GRTKF/IC/46/INF/7</w:t>
    </w:r>
  </w:p>
  <w:p w:rsidR="0050487D" w:rsidRDefault="0050487D" w:rsidP="00023677">
    <w:pPr>
      <w:spacing w:after="480"/>
      <w:jc w:val="right"/>
    </w:pPr>
    <w:r>
      <w:t>ANEXO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0487D" w:rsidP="00477D6B">
    <w:pPr>
      <w:jc w:val="right"/>
      <w:rPr>
        <w:caps/>
      </w:rPr>
    </w:pPr>
    <w:bookmarkStart w:id="142" w:name="Code2"/>
    <w:bookmarkEnd w:id="142"/>
    <w:r>
      <w:rPr>
        <w:caps/>
      </w:rPr>
      <w:t>WIPO/GRTKF/IC/46/INF/7</w:t>
    </w:r>
  </w:p>
  <w:p w:rsidR="00AE7F20" w:rsidRDefault="002405D3"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8F5FB5">
      <w:rPr>
        <w:noProof/>
      </w:rPr>
      <w:t>6</w:t>
    </w:r>
    <w:r w:rsidR="00AE7F20">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7D"/>
    <w:rsid w:val="00010686"/>
    <w:rsid w:val="00052915"/>
    <w:rsid w:val="000E3BB3"/>
    <w:rsid w:val="000F5E56"/>
    <w:rsid w:val="001362EE"/>
    <w:rsid w:val="00152CEA"/>
    <w:rsid w:val="001832A6"/>
    <w:rsid w:val="002405D3"/>
    <w:rsid w:val="00244683"/>
    <w:rsid w:val="0025250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0487D"/>
    <w:rsid w:val="00531B02"/>
    <w:rsid w:val="005332F0"/>
    <w:rsid w:val="0055013B"/>
    <w:rsid w:val="00571B99"/>
    <w:rsid w:val="005B2EAE"/>
    <w:rsid w:val="00605827"/>
    <w:rsid w:val="006239C7"/>
    <w:rsid w:val="00675021"/>
    <w:rsid w:val="006A06C6"/>
    <w:rsid w:val="007034E9"/>
    <w:rsid w:val="007224C8"/>
    <w:rsid w:val="00794BE2"/>
    <w:rsid w:val="007A5581"/>
    <w:rsid w:val="007B71FE"/>
    <w:rsid w:val="007D781E"/>
    <w:rsid w:val="007E663E"/>
    <w:rsid w:val="00815082"/>
    <w:rsid w:val="0088395E"/>
    <w:rsid w:val="008B2CC1"/>
    <w:rsid w:val="008E6BD6"/>
    <w:rsid w:val="008F5FB5"/>
    <w:rsid w:val="0090731E"/>
    <w:rsid w:val="00966A22"/>
    <w:rsid w:val="00972F03"/>
    <w:rsid w:val="0098367F"/>
    <w:rsid w:val="009A0C8B"/>
    <w:rsid w:val="009A20CD"/>
    <w:rsid w:val="009B6241"/>
    <w:rsid w:val="00A16FC0"/>
    <w:rsid w:val="00A32C9E"/>
    <w:rsid w:val="00AB613D"/>
    <w:rsid w:val="00AE539A"/>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59457"/>
  <w15:docId w15:val="{6CF1382C-B126-49A0-8F3A-D423E7B0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048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5048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50487D"/>
    <w:pPr>
      <w:spacing w:before="240" w:after="60" w:line="260" w:lineRule="exact"/>
      <w:ind w:left="1021"/>
      <w:outlineLvl w:val="8"/>
    </w:pPr>
    <w:rPr>
      <w:rFonts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1"/>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50487D"/>
    <w:rPr>
      <w:rFonts w:ascii="Arial" w:eastAsia="SimSun" w:hAnsi="Arial"/>
      <w:lang w:val="es-ES" w:eastAsia="en-US"/>
    </w:rPr>
  </w:style>
  <w:style w:type="character" w:customStyle="1" w:styleId="Heading6Char">
    <w:name w:val="Heading 6 Char"/>
    <w:basedOn w:val="DefaultParagraphFont"/>
    <w:link w:val="Heading6"/>
    <w:rsid w:val="0050487D"/>
    <w:rPr>
      <w:rFonts w:ascii="Arial" w:eastAsia="SimSun" w:hAnsi="Arial"/>
      <w:lang w:val="es-ES" w:eastAsia="en-US"/>
    </w:rPr>
  </w:style>
  <w:style w:type="character" w:customStyle="1" w:styleId="Heading9Char">
    <w:name w:val="Heading 9 Char"/>
    <w:basedOn w:val="DefaultParagraphFont"/>
    <w:link w:val="Heading9"/>
    <w:rsid w:val="0050487D"/>
    <w:rPr>
      <w:rFonts w:ascii="Arial" w:eastAsia="SimSun" w:hAnsi="Arial"/>
      <w:i/>
      <w:sz w:val="22"/>
      <w:lang w:val="es-ES" w:eastAsia="en-US"/>
    </w:rPr>
  </w:style>
  <w:style w:type="character" w:customStyle="1" w:styleId="Heading1Char">
    <w:name w:val="Heading 1 Char"/>
    <w:basedOn w:val="DefaultParagraphFont"/>
    <w:link w:val="Heading1"/>
    <w:rsid w:val="0050487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0487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0487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0487D"/>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0487D"/>
    <w:rPr>
      <w:rFonts w:ascii="Arial" w:eastAsia="SimSun" w:hAnsi="Arial" w:cs="Arial"/>
      <w:sz w:val="22"/>
      <w:lang w:val="es-ES" w:eastAsia="zh-CN"/>
    </w:rPr>
  </w:style>
  <w:style w:type="character" w:customStyle="1" w:styleId="CommentTextChar">
    <w:name w:val="Comment Text Char"/>
    <w:basedOn w:val="DefaultParagraphFont"/>
    <w:semiHidden/>
    <w:rsid w:val="0050487D"/>
    <w:rPr>
      <w:rFonts w:ascii="Arial" w:eastAsia="SimSun" w:hAnsi="Arial" w:cs="Arial"/>
      <w:lang w:eastAsia="zh-CN"/>
    </w:rPr>
  </w:style>
  <w:style w:type="character" w:customStyle="1" w:styleId="EndnoteTextChar">
    <w:name w:val="Endnote Text Char"/>
    <w:basedOn w:val="DefaultParagraphFont"/>
    <w:link w:val="EndnoteText"/>
    <w:semiHidden/>
    <w:rsid w:val="0050487D"/>
    <w:rPr>
      <w:rFonts w:ascii="Arial" w:eastAsia="SimSun" w:hAnsi="Arial" w:cs="Arial"/>
      <w:sz w:val="18"/>
      <w:lang w:val="es-ES" w:eastAsia="zh-CN"/>
    </w:rPr>
  </w:style>
  <w:style w:type="character" w:customStyle="1" w:styleId="FooterChar">
    <w:name w:val="Footer Char"/>
    <w:basedOn w:val="DefaultParagraphFont"/>
    <w:link w:val="Footer"/>
    <w:uiPriority w:val="99"/>
    <w:rsid w:val="0050487D"/>
    <w:rPr>
      <w:rFonts w:ascii="Arial" w:eastAsia="SimSun" w:hAnsi="Arial" w:cs="Arial"/>
      <w:sz w:val="22"/>
      <w:lang w:val="es-ES" w:eastAsia="zh-CN"/>
    </w:rPr>
  </w:style>
  <w:style w:type="character" w:customStyle="1" w:styleId="FootnoteTextChar">
    <w:name w:val="Footnote Text Char"/>
    <w:basedOn w:val="DefaultParagraphFont"/>
    <w:rsid w:val="0050487D"/>
    <w:rPr>
      <w:rFonts w:ascii="Arial" w:eastAsia="SimSun" w:hAnsi="Arial" w:cs="Arial"/>
      <w:lang w:eastAsia="zh-CN"/>
    </w:rPr>
  </w:style>
  <w:style w:type="character" w:customStyle="1" w:styleId="HeaderChar">
    <w:name w:val="Header Char"/>
    <w:aliases w:val="Heading Char"/>
    <w:basedOn w:val="DefaultParagraphFont"/>
    <w:link w:val="Header"/>
    <w:uiPriority w:val="99"/>
    <w:rsid w:val="0050487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0487D"/>
    <w:rPr>
      <w:rFonts w:ascii="Arial" w:eastAsia="SimSun" w:hAnsi="Arial" w:cs="Arial"/>
      <w:sz w:val="22"/>
      <w:lang w:val="es-ES" w:eastAsia="zh-CN"/>
    </w:rPr>
  </w:style>
  <w:style w:type="character" w:customStyle="1" w:styleId="SignatureChar">
    <w:name w:val="Signature Char"/>
    <w:basedOn w:val="DefaultParagraphFont"/>
    <w:link w:val="Signature"/>
    <w:semiHidden/>
    <w:rsid w:val="0050487D"/>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50487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50487D"/>
    <w:rPr>
      <w:vertAlign w:val="superscript"/>
    </w:rPr>
  </w:style>
  <w:style w:type="paragraph" w:styleId="ListParagraph">
    <w:name w:val="List Paragraph"/>
    <w:basedOn w:val="Normal"/>
    <w:uiPriority w:val="34"/>
    <w:qFormat/>
    <w:rsid w:val="0050487D"/>
    <w:pPr>
      <w:ind w:left="720"/>
      <w:contextualSpacing/>
    </w:pPr>
  </w:style>
  <w:style w:type="paragraph" w:customStyle="1" w:styleId="DecisionInvitingPara">
    <w:name w:val="Decision Inviting Para."/>
    <w:basedOn w:val="Normal"/>
    <w:rsid w:val="0050487D"/>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50487D"/>
    <w:rPr>
      <w:rFonts w:ascii="Arial" w:eastAsia="SimSun" w:hAnsi="Arial" w:cs="Arial"/>
      <w:sz w:val="18"/>
      <w:lang w:val="es-ES" w:eastAsia="zh-CN"/>
    </w:rPr>
  </w:style>
  <w:style w:type="character" w:customStyle="1" w:styleId="ONUMEChar">
    <w:name w:val="ONUM E Char"/>
    <w:basedOn w:val="BodyTextChar"/>
    <w:link w:val="ONUME"/>
    <w:rsid w:val="0050487D"/>
    <w:rPr>
      <w:rFonts w:ascii="Arial" w:eastAsia="SimSun" w:hAnsi="Arial" w:cs="Arial"/>
      <w:sz w:val="22"/>
      <w:lang w:val="es-ES" w:eastAsia="zh-CN"/>
    </w:rPr>
  </w:style>
  <w:style w:type="paragraph" w:customStyle="1" w:styleId="Endofdocument">
    <w:name w:val="End of document"/>
    <w:basedOn w:val="Normal"/>
    <w:semiHidden/>
    <w:rsid w:val="005048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50487D"/>
    <w:rPr>
      <w:rFonts w:ascii="Tahoma" w:hAnsi="Tahoma" w:cs="Tahoma"/>
      <w:sz w:val="16"/>
      <w:szCs w:val="16"/>
    </w:rPr>
  </w:style>
  <w:style w:type="character" w:customStyle="1" w:styleId="BalloonTextChar">
    <w:name w:val="Balloon Text Char"/>
    <w:basedOn w:val="DefaultParagraphFont"/>
    <w:link w:val="BalloonText"/>
    <w:rsid w:val="0050487D"/>
    <w:rPr>
      <w:rFonts w:ascii="Tahoma" w:eastAsia="SimSun" w:hAnsi="Tahoma" w:cs="Tahoma"/>
      <w:sz w:val="16"/>
      <w:szCs w:val="16"/>
      <w:lang w:val="es-ES" w:eastAsia="zh-CN"/>
    </w:rPr>
  </w:style>
  <w:style w:type="paragraph" w:customStyle="1" w:styleId="CharCharCharChar">
    <w:name w:val="Char Char Char Char"/>
    <w:basedOn w:val="Normal"/>
    <w:rsid w:val="005048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50487D"/>
    <w:rPr>
      <w:rFonts w:ascii="Times New Roman" w:eastAsia="Times New Roman" w:hAnsi="Times New Roman" w:cs="Times New Roman"/>
      <w:sz w:val="24"/>
      <w:szCs w:val="24"/>
      <w:lang w:eastAsia="pl-PL"/>
    </w:rPr>
  </w:style>
  <w:style w:type="character" w:styleId="PageNumber">
    <w:name w:val="page number"/>
    <w:basedOn w:val="DefaultParagraphFont"/>
    <w:rsid w:val="0050487D"/>
  </w:style>
  <w:style w:type="character" w:styleId="LineNumber">
    <w:name w:val="line number"/>
    <w:basedOn w:val="DefaultParagraphFont"/>
    <w:rsid w:val="0050487D"/>
  </w:style>
  <w:style w:type="character" w:styleId="Hyperlink">
    <w:name w:val="Hyperlink"/>
    <w:uiPriority w:val="99"/>
    <w:unhideWhenUsed/>
    <w:rsid w:val="0050487D"/>
    <w:rPr>
      <w:color w:val="0000FF"/>
      <w:u w:val="single"/>
    </w:rPr>
  </w:style>
  <w:style w:type="paragraph" w:styleId="BodyTextIndent2">
    <w:name w:val="Body Text Indent 2"/>
    <w:basedOn w:val="Normal"/>
    <w:link w:val="BodyTextIndent2Char"/>
    <w:rsid w:val="005048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50487D"/>
    <w:rPr>
      <w:sz w:val="24"/>
      <w:lang w:val="es-ES" w:eastAsia="de-DE"/>
    </w:rPr>
  </w:style>
  <w:style w:type="paragraph" w:customStyle="1" w:styleId="TitleofDoc">
    <w:name w:val="Title of Doc"/>
    <w:basedOn w:val="Normal"/>
    <w:rsid w:val="005048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5048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5048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50487D"/>
    <w:rPr>
      <w:sz w:val="16"/>
      <w:szCs w:val="16"/>
      <w:lang w:val="es-ES" w:eastAsia="de-DE"/>
    </w:rPr>
  </w:style>
  <w:style w:type="paragraph" w:styleId="BodyText2">
    <w:name w:val="Body Text 2"/>
    <w:basedOn w:val="Normal"/>
    <w:link w:val="BodyText2Char"/>
    <w:rsid w:val="0050487D"/>
    <w:rPr>
      <w:rFonts w:eastAsia="Times New Roman"/>
      <w:snapToGrid w:val="0"/>
      <w:szCs w:val="22"/>
      <w:lang w:eastAsia="en-US"/>
    </w:rPr>
  </w:style>
  <w:style w:type="character" w:customStyle="1" w:styleId="BodyText2Char">
    <w:name w:val="Body Text 2 Char"/>
    <w:basedOn w:val="DefaultParagraphFont"/>
    <w:link w:val="BodyText2"/>
    <w:rsid w:val="0050487D"/>
    <w:rPr>
      <w:rFonts w:ascii="Arial" w:hAnsi="Arial" w:cs="Arial"/>
      <w:snapToGrid w:val="0"/>
      <w:sz w:val="22"/>
      <w:szCs w:val="22"/>
      <w:lang w:val="es-ES" w:eastAsia="en-US"/>
    </w:rPr>
  </w:style>
  <w:style w:type="character" w:styleId="Emphasis">
    <w:name w:val="Emphasis"/>
    <w:qFormat/>
    <w:rsid w:val="0050487D"/>
    <w:rPr>
      <w:i/>
      <w:iCs/>
    </w:rPr>
  </w:style>
  <w:style w:type="character" w:styleId="Strong">
    <w:name w:val="Strong"/>
    <w:qFormat/>
    <w:rsid w:val="0050487D"/>
    <w:rPr>
      <w:b/>
      <w:bCs/>
    </w:rPr>
  </w:style>
  <w:style w:type="character" w:styleId="FollowedHyperlink">
    <w:name w:val="FollowedHyperlink"/>
    <w:rsid w:val="0050487D"/>
    <w:rPr>
      <w:color w:val="800080"/>
      <w:u w:val="single"/>
    </w:rPr>
  </w:style>
  <w:style w:type="paragraph" w:styleId="BodyTextIndent">
    <w:name w:val="Body Text Indent"/>
    <w:basedOn w:val="Normal"/>
    <w:link w:val="BodyTextIndentChar"/>
    <w:rsid w:val="005048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0487D"/>
    <w:rPr>
      <w:sz w:val="24"/>
      <w:szCs w:val="24"/>
      <w:lang w:val="es-ES" w:eastAsia="en-US"/>
    </w:rPr>
  </w:style>
  <w:style w:type="paragraph" w:customStyle="1" w:styleId="H2">
    <w:name w:val="H2"/>
    <w:basedOn w:val="Normal"/>
    <w:next w:val="Normal"/>
    <w:rsid w:val="005048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50487D"/>
    <w:rPr>
      <w:rFonts w:ascii="Arial" w:hAnsi="Arial" w:cs="Arial" w:hint="default"/>
      <w:b w:val="0"/>
      <w:bCs w:val="0"/>
      <w:color w:val="000000"/>
      <w:sz w:val="20"/>
      <w:szCs w:val="20"/>
    </w:rPr>
  </w:style>
  <w:style w:type="paragraph" w:customStyle="1" w:styleId="preparedby">
    <w:name w:val="prepared by"/>
    <w:basedOn w:val="Normal"/>
    <w:next w:val="Normal"/>
    <w:rsid w:val="005048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5048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5048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048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50487D"/>
    <w:pPr>
      <w:spacing w:after="0"/>
    </w:pPr>
    <w:rPr>
      <w:sz w:val="24"/>
    </w:rPr>
  </w:style>
  <w:style w:type="paragraph" w:customStyle="1" w:styleId="Meetingdateplace">
    <w:name w:val="Meeting date &amp; place"/>
    <w:basedOn w:val="Sessiontitle"/>
    <w:next w:val="Documenttitle"/>
    <w:rsid w:val="0050487D"/>
  </w:style>
  <w:style w:type="character" w:customStyle="1" w:styleId="MeetinglanguageDateChar">
    <w:name w:val="Meeting language &amp; Date Char"/>
    <w:link w:val="MeetinglanguageDate"/>
    <w:rsid w:val="0050487D"/>
    <w:rPr>
      <w:rFonts w:ascii="Arial Black" w:hAnsi="Arial Black"/>
      <w:b/>
      <w:caps/>
      <w:sz w:val="15"/>
      <w:lang w:val="es-ES" w:eastAsia="en-US"/>
    </w:rPr>
  </w:style>
  <w:style w:type="paragraph" w:customStyle="1" w:styleId="Language">
    <w:name w:val="Language"/>
    <w:basedOn w:val="Normal"/>
    <w:next w:val="Normal"/>
    <w:autoRedefine/>
    <w:rsid w:val="005048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50487D"/>
    <w:pPr>
      <w:spacing w:before="300" w:after="0"/>
    </w:pPr>
  </w:style>
  <w:style w:type="paragraph" w:customStyle="1" w:styleId="Char">
    <w:name w:val="Char 字元 字元"/>
    <w:basedOn w:val="Normal"/>
    <w:rsid w:val="005048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50487D"/>
    <w:pPr>
      <w:spacing w:line="336" w:lineRule="exact"/>
    </w:pPr>
  </w:style>
  <w:style w:type="paragraph" w:customStyle="1" w:styleId="Default">
    <w:name w:val="Default"/>
    <w:rsid w:val="0050487D"/>
    <w:pPr>
      <w:autoSpaceDE w:val="0"/>
      <w:autoSpaceDN w:val="0"/>
      <w:adjustRightInd w:val="0"/>
    </w:pPr>
    <w:rPr>
      <w:rFonts w:ascii="MCFOFO+TimesNewRoman" w:hAnsi="MCFOFO+TimesNewRoman" w:cs="MCFOFO+TimesNewRoman"/>
      <w:color w:val="000000"/>
      <w:sz w:val="24"/>
      <w:szCs w:val="24"/>
      <w:lang w:val="es-ES" w:eastAsia="en-US" w:bidi="th-TH"/>
    </w:rPr>
  </w:style>
  <w:style w:type="paragraph" w:customStyle="1" w:styleId="bodytext0">
    <w:name w:val="bodytext"/>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50487D"/>
  </w:style>
  <w:style w:type="character" w:customStyle="1" w:styleId="definition">
    <w:name w:val="definition"/>
    <w:basedOn w:val="DefaultParagraphFont"/>
    <w:rsid w:val="0050487D"/>
  </w:style>
  <w:style w:type="paragraph" w:styleId="NormalWeb">
    <w:name w:val="Normal (Web)"/>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50487D"/>
    <w:rPr>
      <w:rFonts w:ascii="Arial" w:hAnsi="Arial" w:cs="Angsana New"/>
      <w:color w:val="auto"/>
    </w:rPr>
  </w:style>
  <w:style w:type="paragraph" w:customStyle="1" w:styleId="SP131099">
    <w:name w:val="SP131099"/>
    <w:basedOn w:val="Default"/>
    <w:next w:val="Default"/>
    <w:rsid w:val="0050487D"/>
    <w:rPr>
      <w:rFonts w:ascii="Times New Roman" w:hAnsi="Times New Roman" w:cs="Angsana New"/>
      <w:color w:val="auto"/>
    </w:rPr>
  </w:style>
  <w:style w:type="character" w:customStyle="1" w:styleId="SC229382">
    <w:name w:val="SC229382"/>
    <w:rsid w:val="0050487D"/>
    <w:rPr>
      <w:rFonts w:cs="Times New Roman"/>
      <w:color w:val="000000"/>
      <w:sz w:val="22"/>
      <w:szCs w:val="22"/>
    </w:rPr>
  </w:style>
  <w:style w:type="paragraph" w:customStyle="1" w:styleId="Styleinl">
    <w:name w:val="Styleinl"/>
    <w:basedOn w:val="Normal"/>
    <w:rsid w:val="005048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5048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50487D"/>
    <w:rPr>
      <w:rFonts w:ascii="Arial" w:eastAsia="SimSun" w:hAnsi="Arial" w:cs="Arial"/>
      <w:b/>
      <w:bCs/>
      <w:sz w:val="18"/>
      <w:lang w:eastAsia="de-DE"/>
    </w:rPr>
  </w:style>
  <w:style w:type="paragraph" w:styleId="CommentSubject">
    <w:name w:val="annotation subject"/>
    <w:basedOn w:val="CommentText"/>
    <w:next w:val="CommentText"/>
    <w:link w:val="CommentSubjectChar"/>
    <w:semiHidden/>
    <w:rsid w:val="0050487D"/>
    <w:rPr>
      <w:b/>
      <w:bCs/>
      <w:lang w:val="fr-CH" w:eastAsia="de-DE"/>
    </w:rPr>
  </w:style>
  <w:style w:type="character" w:customStyle="1" w:styleId="CommentTextChar2">
    <w:name w:val="Comment Text Char2"/>
    <w:basedOn w:val="DefaultParagraphFont"/>
    <w:link w:val="CommentText"/>
    <w:semiHidden/>
    <w:rsid w:val="0050487D"/>
    <w:rPr>
      <w:rFonts w:ascii="Arial" w:eastAsia="SimSun" w:hAnsi="Arial" w:cs="Arial"/>
      <w:sz w:val="18"/>
      <w:lang w:val="es-ES" w:eastAsia="zh-CN"/>
    </w:rPr>
  </w:style>
  <w:style w:type="character" w:customStyle="1" w:styleId="CommentSubjectChar1">
    <w:name w:val="Comment Subject Char1"/>
    <w:basedOn w:val="CommentTextChar2"/>
    <w:semiHidden/>
    <w:rsid w:val="0050487D"/>
    <w:rPr>
      <w:rFonts w:ascii="Arial" w:eastAsia="SimSun" w:hAnsi="Arial" w:cs="Arial"/>
      <w:b/>
      <w:bCs/>
      <w:sz w:val="18"/>
      <w:lang w:val="es-ES" w:eastAsia="zh-CN"/>
    </w:rPr>
  </w:style>
  <w:style w:type="character" w:customStyle="1" w:styleId="longdesc">
    <w:name w:val="long_desc"/>
    <w:basedOn w:val="DefaultParagraphFont"/>
    <w:rsid w:val="0050487D"/>
  </w:style>
  <w:style w:type="character" w:customStyle="1" w:styleId="Title1">
    <w:name w:val="Title1"/>
    <w:basedOn w:val="DefaultParagraphFont"/>
    <w:rsid w:val="0050487D"/>
  </w:style>
  <w:style w:type="paragraph" w:customStyle="1" w:styleId="NormalArial">
    <w:name w:val="Normal + Arial"/>
    <w:aliases w:val="(Complex) Bold"/>
    <w:basedOn w:val="Normal"/>
    <w:rsid w:val="005048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50487D"/>
    <w:rPr>
      <w:rFonts w:ascii="Tahoma" w:hAnsi="Tahoma" w:cs="Tahoma"/>
      <w:shd w:val="clear" w:color="auto" w:fill="000080"/>
      <w:lang w:eastAsia="de-DE"/>
    </w:rPr>
  </w:style>
  <w:style w:type="paragraph" w:styleId="DocumentMap">
    <w:name w:val="Document Map"/>
    <w:basedOn w:val="Normal"/>
    <w:link w:val="DocumentMapChar"/>
    <w:semiHidden/>
    <w:rsid w:val="0050487D"/>
    <w:pPr>
      <w:shd w:val="clear" w:color="auto" w:fill="000080"/>
    </w:pPr>
    <w:rPr>
      <w:rFonts w:ascii="Tahoma" w:eastAsia="Times New Roman" w:hAnsi="Tahoma" w:cs="Tahoma"/>
      <w:sz w:val="20"/>
      <w:lang w:val="fr-CH" w:eastAsia="de-DE"/>
    </w:rPr>
  </w:style>
  <w:style w:type="character" w:customStyle="1" w:styleId="DocumentMapChar1">
    <w:name w:val="Document Map Char1"/>
    <w:basedOn w:val="DefaultParagraphFont"/>
    <w:semiHidden/>
    <w:rsid w:val="005048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50487D"/>
    <w:rPr>
      <w:rFonts w:ascii="Arial" w:eastAsia="SimSun" w:hAnsi="Arial"/>
      <w:lang w:eastAsia="en-US"/>
    </w:rPr>
  </w:style>
  <w:style w:type="paragraph" w:styleId="Closing">
    <w:name w:val="Closing"/>
    <w:basedOn w:val="Normal"/>
    <w:link w:val="ClosingChar"/>
    <w:semiHidden/>
    <w:rsid w:val="0050487D"/>
    <w:pPr>
      <w:spacing w:after="120" w:line="260" w:lineRule="exact"/>
      <w:ind w:left="4536"/>
      <w:jc w:val="center"/>
    </w:pPr>
    <w:rPr>
      <w:rFonts w:cs="Times New Roman"/>
      <w:sz w:val="20"/>
      <w:lang w:val="fr-CH" w:eastAsia="en-US"/>
    </w:rPr>
  </w:style>
  <w:style w:type="character" w:customStyle="1" w:styleId="ClosingChar1">
    <w:name w:val="Closing Char1"/>
    <w:basedOn w:val="DefaultParagraphFont"/>
    <w:semiHidden/>
    <w:rsid w:val="0050487D"/>
    <w:rPr>
      <w:rFonts w:ascii="Arial" w:eastAsia="SimSun" w:hAnsi="Arial" w:cs="Arial"/>
      <w:sz w:val="22"/>
      <w:lang w:val="es-ES" w:eastAsia="zh-CN"/>
    </w:rPr>
  </w:style>
  <w:style w:type="paragraph" w:styleId="MacroText">
    <w:name w:val="macro"/>
    <w:link w:val="MacroTextChar"/>
    <w:rsid w:val="005048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s-ES" w:eastAsia="en-US"/>
    </w:rPr>
  </w:style>
  <w:style w:type="character" w:customStyle="1" w:styleId="MacroTextChar">
    <w:name w:val="Macro Text Char"/>
    <w:basedOn w:val="DefaultParagraphFont"/>
    <w:link w:val="MacroText"/>
    <w:rsid w:val="0050487D"/>
    <w:rPr>
      <w:rFonts w:ascii="Courier New" w:eastAsia="SimSun" w:hAnsi="Courier New"/>
      <w:sz w:val="16"/>
      <w:lang w:val="es-ES" w:eastAsia="en-US"/>
    </w:rPr>
  </w:style>
  <w:style w:type="paragraph" w:styleId="Title">
    <w:name w:val="Title"/>
    <w:basedOn w:val="Normal"/>
    <w:link w:val="TitleChar"/>
    <w:qFormat/>
    <w:rsid w:val="005048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5048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5048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5048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5048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5048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50487D"/>
  </w:style>
  <w:style w:type="character" w:customStyle="1" w:styleId="TESTorganisationChar">
    <w:name w:val="TESTorganisation Char"/>
    <w:basedOn w:val="TESTintellectualpropertyChar"/>
    <w:link w:val="TESTorganisation"/>
    <w:semiHidden/>
    <w:rsid w:val="0050487D"/>
    <w:rPr>
      <w:rFonts w:ascii="Arial" w:eastAsia="SimSun" w:hAnsi="Arial"/>
      <w:caps/>
      <w:sz w:val="16"/>
      <w:lang w:val="es-ES" w:eastAsia="en-US"/>
    </w:rPr>
  </w:style>
  <w:style w:type="paragraph" w:customStyle="1" w:styleId="TestIWIPO">
    <w:name w:val="Test I WIPO"/>
    <w:basedOn w:val="TESTwiposouslogo"/>
    <w:link w:val="TestIWIPOChar"/>
    <w:semiHidden/>
    <w:rsid w:val="0050487D"/>
    <w:pPr>
      <w:ind w:right="4763"/>
    </w:pPr>
    <w:rPr>
      <w:sz w:val="28"/>
      <w:szCs w:val="28"/>
    </w:rPr>
  </w:style>
  <w:style w:type="character" w:customStyle="1" w:styleId="TestIWIPOChar">
    <w:name w:val="Test I WIPO Char"/>
    <w:link w:val="TestIWIPO"/>
    <w:semiHidden/>
    <w:rsid w:val="005048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50487D"/>
    <w:rPr>
      <w:rFonts w:ascii="Arial Black" w:hAnsi="Arial Black"/>
      <w:b/>
      <w:sz w:val="20"/>
    </w:rPr>
  </w:style>
  <w:style w:type="character" w:customStyle="1" w:styleId="TESTIintellectualChar">
    <w:name w:val="TEST I intellectual Char"/>
    <w:link w:val="TESTIintellectual"/>
    <w:semiHidden/>
    <w:rsid w:val="005048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50487D"/>
    <w:rPr>
      <w:b/>
      <w:sz w:val="20"/>
    </w:rPr>
  </w:style>
  <w:style w:type="character" w:customStyle="1" w:styleId="TESTIorganisationChar">
    <w:name w:val="TEST I organisation Char"/>
    <w:link w:val="TESTIorganisation"/>
    <w:semiHidden/>
    <w:rsid w:val="0050487D"/>
    <w:rPr>
      <w:rFonts w:ascii="Arial" w:eastAsia="SimSun" w:hAnsi="Arial"/>
      <w:b/>
      <w:caps/>
      <w:lang w:val="es-ES" w:eastAsia="en-US"/>
    </w:rPr>
  </w:style>
  <w:style w:type="paragraph" w:customStyle="1" w:styleId="Pa4">
    <w:name w:val="Pa4"/>
    <w:basedOn w:val="Default"/>
    <w:next w:val="Default"/>
    <w:rsid w:val="005048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5048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50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50487D"/>
    <w:rPr>
      <w:rFonts w:ascii="Courier New" w:hAnsi="Courier New" w:cs="Courier New"/>
      <w:lang w:val="es-ES" w:eastAsia="en-US"/>
    </w:rPr>
  </w:style>
  <w:style w:type="paragraph" w:styleId="PlainText">
    <w:name w:val="Plain Text"/>
    <w:basedOn w:val="Normal"/>
    <w:link w:val="PlainTextChar"/>
    <w:rsid w:val="005048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5048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5048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50487D"/>
    <w:rPr>
      <w:rFonts w:eastAsia="SimSun"/>
      <w:b/>
      <w:caps/>
      <w:sz w:val="22"/>
      <w:szCs w:val="24"/>
      <w:lang w:val="es-ES" w:eastAsia="en-US"/>
    </w:rPr>
  </w:style>
  <w:style w:type="character" w:customStyle="1" w:styleId="pagetitle1">
    <w:name w:val="pagetitle1"/>
    <w:rsid w:val="0050487D"/>
    <w:rPr>
      <w:rFonts w:ascii="Verdana" w:hAnsi="Verdana" w:hint="default"/>
      <w:b/>
      <w:bCs/>
    </w:rPr>
  </w:style>
  <w:style w:type="character" w:styleId="CommentReference">
    <w:name w:val="annotation reference"/>
    <w:basedOn w:val="DefaultParagraphFont"/>
    <w:rsid w:val="0050487D"/>
    <w:rPr>
      <w:sz w:val="16"/>
      <w:szCs w:val="16"/>
    </w:rPr>
  </w:style>
  <w:style w:type="character" w:customStyle="1" w:styleId="num2">
    <w:name w:val="num2"/>
    <w:basedOn w:val="DefaultParagraphFont"/>
    <w:rsid w:val="0050487D"/>
    <w:rPr>
      <w:b/>
      <w:bCs/>
    </w:rPr>
  </w:style>
  <w:style w:type="character" w:customStyle="1" w:styleId="heading20">
    <w:name w:val="heading2"/>
    <w:basedOn w:val="DefaultParagraphFont"/>
    <w:rsid w:val="0050487D"/>
    <w:rPr>
      <w:b/>
      <w:bCs/>
    </w:rPr>
  </w:style>
  <w:style w:type="paragraph" w:styleId="TOCHeading">
    <w:name w:val="TOC Heading"/>
    <w:basedOn w:val="Heading1"/>
    <w:next w:val="Normal"/>
    <w:uiPriority w:val="39"/>
    <w:unhideWhenUsed/>
    <w:qFormat/>
    <w:rsid w:val="005048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0487D"/>
    <w:pPr>
      <w:spacing w:after="100"/>
    </w:pPr>
  </w:style>
  <w:style w:type="paragraph" w:styleId="TOC2">
    <w:name w:val="toc 2"/>
    <w:basedOn w:val="Normal"/>
    <w:next w:val="Normal"/>
    <w:autoRedefine/>
    <w:uiPriority w:val="39"/>
    <w:unhideWhenUsed/>
    <w:rsid w:val="005048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5048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048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048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048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048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048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048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xport/sites/www/tk/en/resources/pdf/overview_customary_law.pdf" TargetMode="External"/><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3A05-F416-4EF0-92E2-32AAE6E4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105</TotalTime>
  <Pages>56</Pages>
  <Words>25740</Words>
  <Characters>151678</Characters>
  <Application>Microsoft Office Word</Application>
  <DocSecurity>0</DocSecurity>
  <Lines>7983</Lines>
  <Paragraphs>5376</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172042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WIPO/GRTKF/IC/46/INF/7</dc:title>
  <dc:creator>CEVALLOS DUQUE Nilo</dc:creator>
  <cp:keywords>FOR OFFICIAL USE ONLY</cp:keywords>
  <cp:lastModifiedBy>CEVALLOS DUQUE Nilo</cp:lastModifiedBy>
  <cp:revision>7</cp:revision>
  <dcterms:created xsi:type="dcterms:W3CDTF">2023-01-18T11:25:00Z</dcterms:created>
  <dcterms:modified xsi:type="dcterms:W3CDTF">2023-01-18T13:13:00Z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