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Layout w:type="fixed"/>
        <w:tblLook w:val="01E0" w:firstRow="1" w:lastRow="1" w:firstColumn="1" w:lastColumn="1" w:noHBand="0" w:noVBand="0"/>
      </w:tblPr>
      <w:tblGrid>
        <w:gridCol w:w="4513"/>
        <w:gridCol w:w="4847"/>
      </w:tblGrid>
      <w:tr w:rsidR="00361597" w:rsidRPr="0039509F" w14:paraId="7EA4A568" w14:textId="77777777" w:rsidTr="004A2604">
        <w:trPr>
          <w:trHeight w:hRule="exact" w:val="680"/>
        </w:trPr>
        <w:tc>
          <w:tcPr>
            <w:tcW w:w="9360" w:type="dxa"/>
            <w:gridSpan w:val="2"/>
            <w:tcMar>
              <w:left w:w="0" w:type="dxa"/>
              <w:right w:w="0" w:type="dxa"/>
            </w:tcMar>
          </w:tcPr>
          <w:p w14:paraId="0859F8A6" w14:textId="4A44AA70" w:rsidR="00361597" w:rsidRPr="0039509F" w:rsidRDefault="00EF2A9B" w:rsidP="00EF2A9B">
            <w:pPr>
              <w:jc w:val="right"/>
              <w:rPr>
                <w:b/>
                <w:sz w:val="40"/>
                <w:szCs w:val="40"/>
                <w:lang w:val="es-ES"/>
              </w:rPr>
            </w:pPr>
            <w:r w:rsidRPr="0039509F">
              <w:rPr>
                <w:b/>
                <w:sz w:val="40"/>
                <w:szCs w:val="40"/>
                <w:lang w:val="es-ES"/>
              </w:rPr>
              <w:t>S</w:t>
            </w:r>
          </w:p>
        </w:tc>
      </w:tr>
      <w:tr w:rsidR="00361597" w:rsidRPr="0039509F" w14:paraId="531D1524" w14:textId="77777777" w:rsidTr="00A654AB">
        <w:trPr>
          <w:trHeight w:val="666"/>
        </w:trPr>
        <w:tc>
          <w:tcPr>
            <w:tcW w:w="4513" w:type="dxa"/>
            <w:tcMar>
              <w:left w:w="0" w:type="dxa"/>
              <w:bottom w:w="0" w:type="dxa"/>
              <w:right w:w="0" w:type="dxa"/>
            </w:tcMar>
            <w:vAlign w:val="center"/>
          </w:tcPr>
          <w:p w14:paraId="0D6A9453" w14:textId="73E691F4" w:rsidR="00872066" w:rsidRPr="0039509F" w:rsidRDefault="00872066" w:rsidP="00A3645C">
            <w:pPr>
              <w:rPr>
                <w:lang w:val="es-ES"/>
              </w:rPr>
            </w:pPr>
          </w:p>
        </w:tc>
        <w:tc>
          <w:tcPr>
            <w:tcW w:w="4847" w:type="dxa"/>
            <w:vMerge w:val="restart"/>
            <w:tcMar>
              <w:left w:w="0" w:type="dxa"/>
              <w:right w:w="0" w:type="dxa"/>
            </w:tcMar>
          </w:tcPr>
          <w:p w14:paraId="4CC8EC46" w14:textId="22FDE003" w:rsidR="0095757F" w:rsidRPr="0039509F" w:rsidRDefault="00EF2A9B" w:rsidP="00805428">
            <w:pPr>
              <w:rPr>
                <w:lang w:val="es-ES"/>
              </w:rPr>
            </w:pPr>
            <w:r w:rsidRPr="0039509F">
              <w:rPr>
                <w:noProof/>
                <w:lang w:val="es-ES" w:eastAsia="en-US"/>
              </w:rPr>
              <w:drawing>
                <wp:inline distT="0" distB="0" distL="0" distR="0" wp14:anchorId="6EAF6EF4" wp14:editId="5B406D4B">
                  <wp:extent cx="1857375" cy="1323975"/>
                  <wp:effectExtent l="0" t="0" r="0" b="0"/>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r>
      <w:tr w:rsidR="00361597" w:rsidRPr="0039509F" w14:paraId="1D1F5905" w14:textId="77777777" w:rsidTr="00A654AB">
        <w:trPr>
          <w:trHeight w:val="1629"/>
        </w:trPr>
        <w:tc>
          <w:tcPr>
            <w:tcW w:w="4513" w:type="dxa"/>
            <w:tcMar>
              <w:left w:w="0" w:type="dxa"/>
              <w:bottom w:w="0" w:type="dxa"/>
              <w:right w:w="0" w:type="dxa"/>
            </w:tcMar>
          </w:tcPr>
          <w:p w14:paraId="1DC0EC82" w14:textId="3F9474C6" w:rsidR="00872066" w:rsidRPr="0039509F" w:rsidRDefault="00872066" w:rsidP="00A3645C">
            <w:pPr>
              <w:rPr>
                <w:caps/>
                <w:sz w:val="15"/>
                <w:lang w:val="es-ES"/>
              </w:rPr>
            </w:pPr>
          </w:p>
        </w:tc>
        <w:tc>
          <w:tcPr>
            <w:tcW w:w="4847" w:type="dxa"/>
            <w:vMerge/>
            <w:tcMar>
              <w:left w:w="0" w:type="dxa"/>
              <w:right w:w="0" w:type="dxa"/>
            </w:tcMar>
          </w:tcPr>
          <w:p w14:paraId="0D3DF652" w14:textId="77777777" w:rsidR="00361597" w:rsidRPr="0039509F" w:rsidRDefault="00361597" w:rsidP="00A3645C">
            <w:pPr>
              <w:rPr>
                <w:lang w:val="es-ES"/>
              </w:rPr>
            </w:pPr>
          </w:p>
        </w:tc>
      </w:tr>
      <w:tr w:rsidR="00361597" w:rsidRPr="0039509F" w14:paraId="6D31BDD8" w14:textId="77777777" w:rsidTr="004A2604">
        <w:trPr>
          <w:trHeight w:hRule="exact" w:val="340"/>
        </w:trPr>
        <w:tc>
          <w:tcPr>
            <w:tcW w:w="9360" w:type="dxa"/>
            <w:gridSpan w:val="2"/>
            <w:tcBorders>
              <w:top w:val="single" w:sz="4" w:space="0" w:color="auto"/>
            </w:tcBorders>
            <w:tcMar>
              <w:top w:w="170" w:type="dxa"/>
              <w:left w:w="0" w:type="dxa"/>
              <w:right w:w="0" w:type="dxa"/>
            </w:tcMar>
            <w:vAlign w:val="bottom"/>
          </w:tcPr>
          <w:p w14:paraId="5950008B" w14:textId="4ED54A18" w:rsidR="00361597" w:rsidRPr="0039509F" w:rsidRDefault="003A48DE" w:rsidP="00D71B7E">
            <w:pPr>
              <w:jc w:val="right"/>
              <w:rPr>
                <w:rFonts w:ascii="Arial Black" w:hAnsi="Arial Black"/>
                <w:caps/>
                <w:sz w:val="15"/>
                <w:lang w:val="es-ES"/>
              </w:rPr>
            </w:pPr>
            <w:bookmarkStart w:id="0" w:name="Code"/>
            <w:bookmarkEnd w:id="0"/>
            <w:r w:rsidRPr="0039509F">
              <w:rPr>
                <w:rFonts w:ascii="Arial Black" w:hAnsi="Arial Black"/>
                <w:caps/>
                <w:sz w:val="15"/>
                <w:lang w:val="es-ES"/>
              </w:rPr>
              <w:t>WIPO/IPTK/GE/17/INF/</w:t>
            </w:r>
            <w:r w:rsidR="000B006E" w:rsidRPr="0039509F">
              <w:rPr>
                <w:rFonts w:ascii="Arial Black" w:hAnsi="Arial Black"/>
                <w:caps/>
                <w:sz w:val="15"/>
                <w:lang w:val="es-ES"/>
              </w:rPr>
              <w:t>2</w:t>
            </w:r>
          </w:p>
        </w:tc>
      </w:tr>
      <w:tr w:rsidR="00361597" w:rsidRPr="0039509F" w14:paraId="2AA58BD7" w14:textId="77777777" w:rsidTr="004A2604">
        <w:trPr>
          <w:trHeight w:hRule="exact" w:val="170"/>
        </w:trPr>
        <w:tc>
          <w:tcPr>
            <w:tcW w:w="9360" w:type="dxa"/>
            <w:gridSpan w:val="2"/>
            <w:noWrap/>
            <w:tcMar>
              <w:left w:w="0" w:type="dxa"/>
              <w:right w:w="0" w:type="dxa"/>
            </w:tcMar>
            <w:vAlign w:val="bottom"/>
          </w:tcPr>
          <w:p w14:paraId="284CF025" w14:textId="3D3D41B5" w:rsidR="00361597" w:rsidRPr="0039509F" w:rsidRDefault="00361597" w:rsidP="00EF2A9B">
            <w:pPr>
              <w:jc w:val="right"/>
              <w:rPr>
                <w:rFonts w:ascii="Arial Black" w:hAnsi="Arial Black"/>
                <w:caps/>
                <w:sz w:val="15"/>
                <w:lang w:val="es-ES"/>
              </w:rPr>
            </w:pPr>
            <w:r w:rsidRPr="0039509F">
              <w:rPr>
                <w:rFonts w:ascii="Arial Black" w:hAnsi="Arial Black"/>
                <w:caps/>
                <w:sz w:val="15"/>
                <w:lang w:val="es-ES"/>
              </w:rPr>
              <w:t xml:space="preserve">ORIGINAL: </w:t>
            </w:r>
            <w:bookmarkStart w:id="1" w:name="Original"/>
            <w:bookmarkEnd w:id="1"/>
            <w:r w:rsidR="00A92793" w:rsidRPr="0039509F">
              <w:rPr>
                <w:rFonts w:ascii="Arial Black" w:hAnsi="Arial Black"/>
                <w:caps/>
                <w:sz w:val="15"/>
                <w:lang w:val="es-ES"/>
              </w:rPr>
              <w:t xml:space="preserve"> </w:t>
            </w:r>
            <w:r w:rsidR="00EF2A9B" w:rsidRPr="0039509F">
              <w:rPr>
                <w:rFonts w:ascii="Arial Black" w:hAnsi="Arial Black"/>
                <w:caps/>
                <w:sz w:val="15"/>
                <w:lang w:val="es-ES"/>
              </w:rPr>
              <w:t>Inglés</w:t>
            </w:r>
          </w:p>
        </w:tc>
      </w:tr>
      <w:tr w:rsidR="00361597" w:rsidRPr="0039509F" w14:paraId="131CCC2F" w14:textId="77777777" w:rsidTr="004A2604">
        <w:trPr>
          <w:trHeight w:hRule="exact" w:val="198"/>
        </w:trPr>
        <w:tc>
          <w:tcPr>
            <w:tcW w:w="9360" w:type="dxa"/>
            <w:gridSpan w:val="2"/>
            <w:tcMar>
              <w:left w:w="0" w:type="dxa"/>
              <w:right w:w="0" w:type="dxa"/>
            </w:tcMar>
            <w:vAlign w:val="bottom"/>
          </w:tcPr>
          <w:p w14:paraId="2BF28D20" w14:textId="7449492E" w:rsidR="00361597" w:rsidRPr="0039509F" w:rsidRDefault="00EF2A9B" w:rsidP="000B006E">
            <w:pPr>
              <w:jc w:val="right"/>
              <w:rPr>
                <w:rFonts w:ascii="Arial Black" w:hAnsi="Arial Black"/>
                <w:caps/>
                <w:sz w:val="15"/>
                <w:lang w:val="es-ES"/>
              </w:rPr>
            </w:pPr>
            <w:r w:rsidRPr="0039509F">
              <w:rPr>
                <w:rFonts w:ascii="Arial Black" w:hAnsi="Arial Black"/>
                <w:caps/>
                <w:sz w:val="15"/>
                <w:lang w:val="es-ES"/>
              </w:rPr>
              <w:t>F</w:t>
            </w:r>
            <w:r w:rsidR="00361597" w:rsidRPr="0039509F">
              <w:rPr>
                <w:rFonts w:ascii="Arial Black" w:hAnsi="Arial Black"/>
                <w:caps/>
                <w:sz w:val="15"/>
                <w:lang w:val="es-ES"/>
              </w:rPr>
              <w:t>E</w:t>
            </w:r>
            <w:r w:rsidRPr="0039509F">
              <w:rPr>
                <w:rFonts w:ascii="Arial Black" w:hAnsi="Arial Black"/>
                <w:caps/>
                <w:sz w:val="15"/>
                <w:lang w:val="es-ES"/>
              </w:rPr>
              <w:t>cha</w:t>
            </w:r>
            <w:r w:rsidR="00361597" w:rsidRPr="0039509F">
              <w:rPr>
                <w:rFonts w:ascii="Arial Black" w:hAnsi="Arial Black"/>
                <w:caps/>
                <w:sz w:val="15"/>
                <w:lang w:val="es-ES"/>
              </w:rPr>
              <w:t xml:space="preserve">: </w:t>
            </w:r>
            <w:bookmarkStart w:id="2" w:name="Date"/>
            <w:bookmarkEnd w:id="2"/>
            <w:r w:rsidR="0079596B" w:rsidRPr="0039509F">
              <w:rPr>
                <w:rFonts w:ascii="Arial Black" w:hAnsi="Arial Black"/>
                <w:caps/>
                <w:sz w:val="15"/>
                <w:lang w:val="es-ES"/>
              </w:rPr>
              <w:t xml:space="preserve"> </w:t>
            </w:r>
            <w:r w:rsidR="003A48DE" w:rsidRPr="0039509F">
              <w:rPr>
                <w:rFonts w:ascii="Arial Black" w:hAnsi="Arial Black"/>
                <w:caps/>
                <w:sz w:val="15"/>
                <w:lang w:val="es-ES"/>
              </w:rPr>
              <w:t>1</w:t>
            </w:r>
            <w:r w:rsidR="000B006E" w:rsidRPr="0039509F">
              <w:rPr>
                <w:rFonts w:ascii="Arial Black" w:hAnsi="Arial Black"/>
                <w:caps/>
                <w:sz w:val="15"/>
                <w:lang w:val="es-ES"/>
              </w:rPr>
              <w:t>9</w:t>
            </w:r>
            <w:r w:rsidR="003A48DE" w:rsidRPr="0039509F">
              <w:rPr>
                <w:rFonts w:ascii="Arial Black" w:hAnsi="Arial Black"/>
                <w:caps/>
                <w:sz w:val="15"/>
                <w:lang w:val="es-ES"/>
              </w:rPr>
              <w:t xml:space="preserve"> de </w:t>
            </w:r>
            <w:r w:rsidR="000B006E" w:rsidRPr="0039509F">
              <w:rPr>
                <w:rFonts w:ascii="Arial Black" w:hAnsi="Arial Black"/>
                <w:caps/>
                <w:sz w:val="15"/>
                <w:lang w:val="es-ES"/>
              </w:rPr>
              <w:t>mayo</w:t>
            </w:r>
            <w:r w:rsidR="003A48DE" w:rsidRPr="0039509F">
              <w:rPr>
                <w:rFonts w:ascii="Arial Black" w:hAnsi="Arial Black"/>
                <w:caps/>
                <w:sz w:val="15"/>
                <w:lang w:val="es-ES"/>
              </w:rPr>
              <w:t xml:space="preserve"> de 2017</w:t>
            </w:r>
          </w:p>
        </w:tc>
      </w:tr>
    </w:tbl>
    <w:p w14:paraId="52D1EC75" w14:textId="77777777" w:rsidR="00361597" w:rsidRPr="0039509F" w:rsidRDefault="00361597" w:rsidP="004A2604">
      <w:pPr>
        <w:rPr>
          <w:lang w:val="es-ES"/>
        </w:rPr>
      </w:pPr>
    </w:p>
    <w:p w14:paraId="5A6925FC" w14:textId="77777777" w:rsidR="00361597" w:rsidRPr="0039509F" w:rsidRDefault="00361597" w:rsidP="004A2604">
      <w:pPr>
        <w:rPr>
          <w:lang w:val="es-ES"/>
        </w:rPr>
      </w:pPr>
    </w:p>
    <w:p w14:paraId="0EE31A74" w14:textId="77777777" w:rsidR="00361597" w:rsidRPr="0039509F" w:rsidRDefault="00361597" w:rsidP="004A2604">
      <w:pPr>
        <w:rPr>
          <w:lang w:val="es-ES"/>
        </w:rPr>
      </w:pPr>
    </w:p>
    <w:p w14:paraId="397A88D1" w14:textId="77777777" w:rsidR="00361597" w:rsidRPr="0039509F" w:rsidRDefault="00361597" w:rsidP="004A2604">
      <w:pPr>
        <w:rPr>
          <w:lang w:val="es-ES"/>
        </w:rPr>
      </w:pPr>
    </w:p>
    <w:p w14:paraId="2CDF8801" w14:textId="067EC915" w:rsidR="00361597" w:rsidRPr="0039509F" w:rsidRDefault="00271DDE" w:rsidP="00EF2A9B">
      <w:pPr>
        <w:rPr>
          <w:b/>
          <w:caps/>
          <w:sz w:val="24"/>
          <w:lang w:val="es-ES"/>
        </w:rPr>
      </w:pPr>
      <w:r w:rsidRPr="0039509F">
        <w:rPr>
          <w:b/>
          <w:caps/>
          <w:sz w:val="24"/>
          <w:lang w:val="es-ES"/>
        </w:rPr>
        <w:t>Seminar</w:t>
      </w:r>
      <w:r w:rsidR="00EF2A9B" w:rsidRPr="0039509F">
        <w:rPr>
          <w:b/>
          <w:caps/>
          <w:sz w:val="24"/>
          <w:lang w:val="es-ES"/>
        </w:rPr>
        <w:t xml:space="preserve">IO SOBRE PROPIEDAD INTELECTUAL Y </w:t>
      </w:r>
      <w:r w:rsidR="003A48DE" w:rsidRPr="0039509F">
        <w:rPr>
          <w:b/>
          <w:caps/>
          <w:sz w:val="24"/>
          <w:lang w:val="es-ES"/>
        </w:rPr>
        <w:t>EXPRESIONES CULTURALES TRADICIONALES</w:t>
      </w:r>
    </w:p>
    <w:p w14:paraId="16714C2F" w14:textId="77777777" w:rsidR="00361597" w:rsidRPr="0039509F" w:rsidRDefault="00361597" w:rsidP="004A2604">
      <w:pPr>
        <w:rPr>
          <w:lang w:val="es-ES"/>
        </w:rPr>
      </w:pPr>
    </w:p>
    <w:p w14:paraId="138454EF" w14:textId="77777777" w:rsidR="00361597" w:rsidRPr="0039509F" w:rsidRDefault="00361597" w:rsidP="004A2604">
      <w:pPr>
        <w:rPr>
          <w:lang w:val="es-ES"/>
        </w:rPr>
      </w:pPr>
    </w:p>
    <w:p w14:paraId="7503D967" w14:textId="77777777" w:rsidR="00D71B7E" w:rsidRPr="0039509F" w:rsidRDefault="00361597" w:rsidP="004A2604">
      <w:pPr>
        <w:rPr>
          <w:lang w:val="es-ES"/>
        </w:rPr>
      </w:pPr>
      <w:r w:rsidRPr="0039509F">
        <w:rPr>
          <w:lang w:val="es-ES"/>
        </w:rPr>
        <w:t>organiz</w:t>
      </w:r>
      <w:r w:rsidR="00EF2A9B" w:rsidRPr="0039509F">
        <w:rPr>
          <w:lang w:val="es-ES"/>
        </w:rPr>
        <w:t>ado por</w:t>
      </w:r>
    </w:p>
    <w:p w14:paraId="56BB0E98" w14:textId="2FB83184" w:rsidR="00361597" w:rsidRPr="0039509F" w:rsidRDefault="00EF2A9B" w:rsidP="004A2604">
      <w:pPr>
        <w:rPr>
          <w:lang w:val="es-ES"/>
        </w:rPr>
      </w:pPr>
      <w:r w:rsidRPr="0039509F">
        <w:rPr>
          <w:lang w:val="es-ES"/>
        </w:rPr>
        <w:t>la Organización Mundial de la Propiedad Intelectual (OMPI)</w:t>
      </w:r>
    </w:p>
    <w:p w14:paraId="11BD1C10" w14:textId="77777777" w:rsidR="0078155E" w:rsidRPr="0039509F" w:rsidRDefault="0078155E" w:rsidP="004A2604">
      <w:pPr>
        <w:rPr>
          <w:lang w:val="es-ES"/>
        </w:rPr>
      </w:pPr>
    </w:p>
    <w:p w14:paraId="655CA925" w14:textId="77777777" w:rsidR="00361597" w:rsidRPr="0039509F" w:rsidRDefault="00361597" w:rsidP="004A2604">
      <w:pPr>
        <w:rPr>
          <w:b/>
          <w:sz w:val="24"/>
          <w:szCs w:val="24"/>
          <w:lang w:val="es-ES"/>
        </w:rPr>
      </w:pPr>
    </w:p>
    <w:p w14:paraId="2ED1DE23" w14:textId="1A28DB47" w:rsidR="00361597" w:rsidRPr="0039509F" w:rsidRDefault="00361597" w:rsidP="00EC230F">
      <w:pPr>
        <w:tabs>
          <w:tab w:val="center" w:pos="4781"/>
        </w:tabs>
        <w:rPr>
          <w:b/>
          <w:sz w:val="24"/>
          <w:szCs w:val="24"/>
          <w:lang w:val="es-ES"/>
        </w:rPr>
      </w:pPr>
      <w:r w:rsidRPr="0039509F">
        <w:rPr>
          <w:b/>
          <w:sz w:val="24"/>
          <w:szCs w:val="24"/>
          <w:lang w:val="es-ES"/>
        </w:rPr>
        <w:t>G</w:t>
      </w:r>
      <w:r w:rsidR="00EF2A9B" w:rsidRPr="0039509F">
        <w:rPr>
          <w:b/>
          <w:sz w:val="24"/>
          <w:szCs w:val="24"/>
          <w:lang w:val="es-ES"/>
        </w:rPr>
        <w:t>i</w:t>
      </w:r>
      <w:r w:rsidRPr="0039509F">
        <w:rPr>
          <w:b/>
          <w:sz w:val="24"/>
          <w:szCs w:val="24"/>
          <w:lang w:val="es-ES"/>
        </w:rPr>
        <w:t>ne</w:t>
      </w:r>
      <w:r w:rsidR="00EF2A9B" w:rsidRPr="0039509F">
        <w:rPr>
          <w:b/>
          <w:sz w:val="24"/>
          <w:szCs w:val="24"/>
          <w:lang w:val="es-ES"/>
        </w:rPr>
        <w:t>br</w:t>
      </w:r>
      <w:r w:rsidRPr="0039509F">
        <w:rPr>
          <w:b/>
          <w:sz w:val="24"/>
          <w:szCs w:val="24"/>
          <w:lang w:val="es-ES"/>
        </w:rPr>
        <w:t xml:space="preserve">a, </w:t>
      </w:r>
      <w:r w:rsidR="003A48DE" w:rsidRPr="0039509F">
        <w:rPr>
          <w:b/>
          <w:sz w:val="24"/>
          <w:szCs w:val="24"/>
          <w:lang w:val="es-ES"/>
        </w:rPr>
        <w:t xml:space="preserve">8 </w:t>
      </w:r>
      <w:r w:rsidR="00327F7A" w:rsidRPr="0039509F">
        <w:rPr>
          <w:b/>
          <w:sz w:val="24"/>
          <w:szCs w:val="24"/>
          <w:lang w:val="es-ES"/>
        </w:rPr>
        <w:t>y</w:t>
      </w:r>
      <w:r w:rsidR="003A48DE" w:rsidRPr="0039509F">
        <w:rPr>
          <w:b/>
          <w:sz w:val="24"/>
          <w:szCs w:val="24"/>
          <w:lang w:val="es-ES"/>
        </w:rPr>
        <w:t xml:space="preserve"> 9 de junio de 2017</w:t>
      </w:r>
    </w:p>
    <w:p w14:paraId="4443BB8F" w14:textId="77777777" w:rsidR="00361597" w:rsidRPr="0039509F" w:rsidRDefault="00361597" w:rsidP="004A2604">
      <w:pPr>
        <w:rPr>
          <w:lang w:val="es-ES"/>
        </w:rPr>
      </w:pPr>
    </w:p>
    <w:p w14:paraId="757F246E" w14:textId="77777777" w:rsidR="00361597" w:rsidRPr="0039509F" w:rsidRDefault="00361597" w:rsidP="004A2604">
      <w:pPr>
        <w:rPr>
          <w:lang w:val="es-ES"/>
        </w:rPr>
      </w:pPr>
    </w:p>
    <w:p w14:paraId="29A574BE" w14:textId="77777777" w:rsidR="00361597" w:rsidRPr="0039509F" w:rsidRDefault="00361597" w:rsidP="004A2604">
      <w:pPr>
        <w:rPr>
          <w:lang w:val="es-ES"/>
        </w:rPr>
      </w:pPr>
    </w:p>
    <w:p w14:paraId="4B7C5C56" w14:textId="43AE0309" w:rsidR="00361597" w:rsidRPr="0039509F" w:rsidRDefault="004858B4" w:rsidP="004A2604">
      <w:pPr>
        <w:rPr>
          <w:caps/>
          <w:sz w:val="24"/>
          <w:lang w:val="es-ES"/>
        </w:rPr>
      </w:pPr>
      <w:bookmarkStart w:id="3" w:name="TitleOfDoc"/>
      <w:bookmarkEnd w:id="3"/>
      <w:r w:rsidRPr="0039509F">
        <w:rPr>
          <w:caps/>
          <w:sz w:val="24"/>
          <w:lang w:val="es-ES"/>
        </w:rPr>
        <w:t>NOTA INFORMATIVA</w:t>
      </w:r>
    </w:p>
    <w:p w14:paraId="7CEF3BBC" w14:textId="77777777" w:rsidR="00361597" w:rsidRPr="0039509F" w:rsidRDefault="00361597" w:rsidP="004A2604">
      <w:pPr>
        <w:rPr>
          <w:lang w:val="es-ES"/>
        </w:rPr>
      </w:pPr>
    </w:p>
    <w:p w14:paraId="00D39C1A" w14:textId="4D828463" w:rsidR="00361597" w:rsidRPr="0039509F" w:rsidRDefault="00361597" w:rsidP="004A2604">
      <w:pPr>
        <w:rPr>
          <w:lang w:val="es-ES"/>
        </w:rPr>
      </w:pPr>
      <w:bookmarkStart w:id="4" w:name="Prepared"/>
      <w:bookmarkEnd w:id="4"/>
      <w:r w:rsidRPr="0039509F">
        <w:rPr>
          <w:i/>
          <w:lang w:val="es-ES"/>
        </w:rPr>
        <w:t>prepar</w:t>
      </w:r>
      <w:r w:rsidR="00EF2A9B" w:rsidRPr="0039509F">
        <w:rPr>
          <w:i/>
          <w:lang w:val="es-ES"/>
        </w:rPr>
        <w:t>ado por la Oficina Internacional de la OMPI</w:t>
      </w:r>
    </w:p>
    <w:p w14:paraId="51184E36" w14:textId="77777777" w:rsidR="00361597" w:rsidRPr="0039509F" w:rsidRDefault="00361597" w:rsidP="004A2604">
      <w:pPr>
        <w:rPr>
          <w:lang w:val="es-ES"/>
        </w:rPr>
      </w:pPr>
    </w:p>
    <w:p w14:paraId="2C7D535F" w14:textId="77777777" w:rsidR="00361597" w:rsidRPr="0039509F" w:rsidRDefault="00361597" w:rsidP="004A2604">
      <w:pPr>
        <w:rPr>
          <w:lang w:val="es-ES"/>
        </w:rPr>
      </w:pPr>
    </w:p>
    <w:p w14:paraId="5EF43C13" w14:textId="77777777" w:rsidR="00361597" w:rsidRPr="0039509F" w:rsidRDefault="00361597" w:rsidP="004A2604">
      <w:pPr>
        <w:rPr>
          <w:lang w:val="es-ES"/>
        </w:rPr>
      </w:pPr>
    </w:p>
    <w:p w14:paraId="5AB19990" w14:textId="77777777" w:rsidR="00361597" w:rsidRPr="0039509F" w:rsidRDefault="00361597" w:rsidP="004A2604">
      <w:pPr>
        <w:rPr>
          <w:lang w:val="es-ES"/>
        </w:rPr>
      </w:pPr>
    </w:p>
    <w:p w14:paraId="6A5D2265" w14:textId="77777777" w:rsidR="00361597" w:rsidRPr="0039509F" w:rsidRDefault="00361597" w:rsidP="004A2604">
      <w:pPr>
        <w:rPr>
          <w:lang w:val="es-ES"/>
        </w:rPr>
      </w:pPr>
    </w:p>
    <w:p w14:paraId="7A415C74" w14:textId="77777777" w:rsidR="00D71B7E" w:rsidRPr="0039509F" w:rsidRDefault="00361597" w:rsidP="00D71B7E">
      <w:pPr>
        <w:rPr>
          <w:lang w:val="es-ES"/>
        </w:rPr>
      </w:pPr>
      <w:r w:rsidRPr="0039509F">
        <w:rPr>
          <w:lang w:val="es-ES"/>
        </w:rPr>
        <w:br w:type="page"/>
      </w:r>
    </w:p>
    <w:p w14:paraId="3884B697" w14:textId="03425525" w:rsidR="00D71B7E" w:rsidRPr="0039509F" w:rsidRDefault="00D71B7E" w:rsidP="0039509F">
      <w:pPr>
        <w:tabs>
          <w:tab w:val="left" w:pos="567"/>
        </w:tabs>
        <w:rPr>
          <w:lang w:val="es-ES"/>
        </w:rPr>
      </w:pPr>
      <w:r w:rsidRPr="0039509F">
        <w:rPr>
          <w:lang w:val="es-ES"/>
        </w:rPr>
        <w:lastRenderedPageBreak/>
        <w:fldChar w:fldCharType="begin"/>
      </w:r>
      <w:r w:rsidRPr="0039509F">
        <w:rPr>
          <w:lang w:val="es-ES"/>
        </w:rPr>
        <w:instrText xml:space="preserve"> AUTONUM  </w:instrText>
      </w:r>
      <w:r w:rsidRPr="0039509F">
        <w:rPr>
          <w:lang w:val="es-ES"/>
        </w:rPr>
        <w:fldChar w:fldCharType="end"/>
      </w:r>
      <w:r w:rsidRPr="0039509F">
        <w:rPr>
          <w:lang w:val="es-ES"/>
        </w:rPr>
        <w:tab/>
      </w:r>
      <w:r w:rsidR="003D6C2A" w:rsidRPr="0039509F">
        <w:rPr>
          <w:lang w:val="es-ES"/>
        </w:rPr>
        <w:t xml:space="preserve">El objetivo general del </w:t>
      </w:r>
      <w:r w:rsidR="00676DA1" w:rsidRPr="0039509F">
        <w:rPr>
          <w:lang w:val="es-ES"/>
        </w:rPr>
        <w:t>S</w:t>
      </w:r>
      <w:r w:rsidR="003D6C2A" w:rsidRPr="0039509F">
        <w:rPr>
          <w:lang w:val="es-ES"/>
        </w:rPr>
        <w:t>eminario sobre propiedad intelectual y expresiones culturales tradicionales (“</w:t>
      </w:r>
      <w:r w:rsidR="00235A7D" w:rsidRPr="0039509F">
        <w:rPr>
          <w:lang w:val="es-ES"/>
        </w:rPr>
        <w:t>e</w:t>
      </w:r>
      <w:r w:rsidR="003D6C2A" w:rsidRPr="0039509F">
        <w:rPr>
          <w:lang w:val="es-ES"/>
        </w:rPr>
        <w:t>l Seminario”) es, como se indica en el mandato del Comité Intergubernamental sobre Propiedad Intelectual y Recursos Genéticos, Conocimientos Tradicionales y Folclore (“CIG”), contribuir a crear “los conocimientos y el consenso</w:t>
      </w:r>
      <w:r w:rsidR="00235A7D" w:rsidRPr="0039509F">
        <w:rPr>
          <w:lang w:val="es-ES"/>
        </w:rPr>
        <w:t xml:space="preserve">” </w:t>
      </w:r>
      <w:r w:rsidR="003D6C2A" w:rsidRPr="0039509F">
        <w:rPr>
          <w:lang w:val="es-ES"/>
        </w:rPr>
        <w:t>en [cuestiones relativas a la P.I. y las expresiones culturales tradicionales (ECT)] “</w:t>
      </w:r>
      <w:r w:rsidR="0063411D" w:rsidRPr="0039509F">
        <w:rPr>
          <w:lang w:val="es-ES"/>
        </w:rPr>
        <w:t>haciendo hincapié en los asuntos que todavía están sin resolver”.</w:t>
      </w:r>
      <w:r w:rsidRPr="0039509F">
        <w:rPr>
          <w:szCs w:val="22"/>
          <w:lang w:val="es-ES"/>
        </w:rPr>
        <w:t xml:space="preserve"> </w:t>
      </w:r>
    </w:p>
    <w:p w14:paraId="565DA0A3" w14:textId="77777777" w:rsidR="00D71B7E" w:rsidRPr="0039509F" w:rsidRDefault="00D71B7E" w:rsidP="00D71B7E">
      <w:pPr>
        <w:rPr>
          <w:szCs w:val="22"/>
          <w:lang w:val="es-ES"/>
        </w:rPr>
      </w:pPr>
    </w:p>
    <w:p w14:paraId="60E868A0" w14:textId="1E693333" w:rsidR="00D71B7E" w:rsidRPr="0039509F" w:rsidRDefault="00D71B7E" w:rsidP="0039509F">
      <w:pPr>
        <w:tabs>
          <w:tab w:val="left" w:pos="567"/>
        </w:tabs>
        <w:rPr>
          <w:szCs w:val="22"/>
          <w:lang w:val="es-ES"/>
        </w:rPr>
      </w:pPr>
      <w:r w:rsidRPr="0039509F">
        <w:rPr>
          <w:szCs w:val="22"/>
          <w:lang w:val="es-ES"/>
        </w:rPr>
        <w:fldChar w:fldCharType="begin"/>
      </w:r>
      <w:r w:rsidRPr="0039509F">
        <w:rPr>
          <w:szCs w:val="22"/>
          <w:lang w:val="es-ES"/>
        </w:rPr>
        <w:instrText xml:space="preserve"> AUTONUM  </w:instrText>
      </w:r>
      <w:r w:rsidRPr="0039509F">
        <w:rPr>
          <w:szCs w:val="22"/>
          <w:lang w:val="es-ES"/>
        </w:rPr>
        <w:fldChar w:fldCharType="end"/>
      </w:r>
      <w:r w:rsidRPr="0039509F">
        <w:rPr>
          <w:szCs w:val="22"/>
          <w:lang w:val="es-ES"/>
        </w:rPr>
        <w:tab/>
      </w:r>
      <w:r w:rsidR="0063411D" w:rsidRPr="0039509F">
        <w:rPr>
          <w:szCs w:val="22"/>
          <w:lang w:val="es-ES"/>
        </w:rPr>
        <w:t xml:space="preserve">En </w:t>
      </w:r>
      <w:r w:rsidR="00214FCA" w:rsidRPr="0039509F">
        <w:rPr>
          <w:szCs w:val="22"/>
          <w:lang w:val="es-ES"/>
        </w:rPr>
        <w:t>el presente documento se ofrece información de referencia acerca de</w:t>
      </w:r>
      <w:r w:rsidR="0063411D" w:rsidRPr="0039509F">
        <w:rPr>
          <w:szCs w:val="22"/>
          <w:lang w:val="es-ES"/>
        </w:rPr>
        <w:t xml:space="preserve"> las diferentes mesas redondas del </w:t>
      </w:r>
      <w:r w:rsidR="00676DA1" w:rsidRPr="0039509F">
        <w:rPr>
          <w:szCs w:val="22"/>
          <w:lang w:val="es-ES"/>
        </w:rPr>
        <w:t>S</w:t>
      </w:r>
      <w:r w:rsidR="0063411D" w:rsidRPr="0039509F">
        <w:rPr>
          <w:szCs w:val="22"/>
          <w:lang w:val="es-ES"/>
        </w:rPr>
        <w:t xml:space="preserve">eminario y </w:t>
      </w:r>
      <w:r w:rsidR="00214FCA" w:rsidRPr="0039509F">
        <w:rPr>
          <w:szCs w:val="22"/>
          <w:lang w:val="es-ES"/>
        </w:rPr>
        <w:t>los discursos</w:t>
      </w:r>
      <w:r w:rsidR="00A26E10" w:rsidRPr="0039509F">
        <w:rPr>
          <w:szCs w:val="22"/>
          <w:lang w:val="es-ES"/>
        </w:rPr>
        <w:t xml:space="preserve"> </w:t>
      </w:r>
      <w:r w:rsidR="00214FCA" w:rsidRPr="0039509F">
        <w:rPr>
          <w:szCs w:val="22"/>
          <w:lang w:val="es-ES"/>
        </w:rPr>
        <w:t>de apertura</w:t>
      </w:r>
      <w:r w:rsidR="00A26E10" w:rsidRPr="0039509F">
        <w:rPr>
          <w:szCs w:val="22"/>
          <w:lang w:val="es-ES"/>
        </w:rPr>
        <w:t xml:space="preserve"> y </w:t>
      </w:r>
      <w:r w:rsidR="0063411D" w:rsidRPr="0039509F">
        <w:rPr>
          <w:szCs w:val="22"/>
          <w:lang w:val="es-ES"/>
        </w:rPr>
        <w:t>de clausura</w:t>
      </w:r>
      <w:r w:rsidRPr="0039509F">
        <w:rPr>
          <w:szCs w:val="22"/>
          <w:lang w:val="es-ES"/>
        </w:rPr>
        <w:t>.</w:t>
      </w:r>
    </w:p>
    <w:p w14:paraId="4F02B30B" w14:textId="77777777" w:rsidR="00D71B7E" w:rsidRPr="0039509F" w:rsidRDefault="00D71B7E" w:rsidP="00D71B7E">
      <w:pPr>
        <w:rPr>
          <w:b/>
          <w:szCs w:val="22"/>
          <w:lang w:val="es-ES"/>
        </w:rPr>
      </w:pPr>
    </w:p>
    <w:p w14:paraId="359B7C92" w14:textId="72B17AB3" w:rsidR="00D71B7E" w:rsidRPr="0039509F" w:rsidRDefault="00A26E10" w:rsidP="00D71B7E">
      <w:pPr>
        <w:rPr>
          <w:b/>
          <w:szCs w:val="22"/>
          <w:lang w:val="es-ES"/>
        </w:rPr>
      </w:pPr>
      <w:r w:rsidRPr="0039509F">
        <w:rPr>
          <w:b/>
          <w:szCs w:val="22"/>
          <w:lang w:val="es-ES"/>
        </w:rPr>
        <w:t xml:space="preserve">Discurso </w:t>
      </w:r>
      <w:r w:rsidR="00214FCA" w:rsidRPr="0039509F">
        <w:rPr>
          <w:b/>
          <w:szCs w:val="22"/>
          <w:lang w:val="es-ES"/>
        </w:rPr>
        <w:t>de apertura</w:t>
      </w:r>
      <w:r w:rsidR="00D71B7E" w:rsidRPr="0039509F">
        <w:rPr>
          <w:b/>
          <w:szCs w:val="22"/>
          <w:lang w:val="es-ES"/>
        </w:rPr>
        <w:t xml:space="preserve">:  </w:t>
      </w:r>
      <w:r w:rsidRPr="0039509F">
        <w:rPr>
          <w:b/>
          <w:szCs w:val="22"/>
          <w:lang w:val="es-ES"/>
        </w:rPr>
        <w:t>Instrumentos internacionales de propiedad intelectual existentes y expresiones culturales tradicionales</w:t>
      </w:r>
      <w:r w:rsidR="00D71B7E" w:rsidRPr="0039509F">
        <w:rPr>
          <w:b/>
          <w:szCs w:val="22"/>
          <w:lang w:val="es-ES"/>
        </w:rPr>
        <w:t xml:space="preserve">:  </w:t>
      </w:r>
      <w:r w:rsidRPr="0039509F">
        <w:rPr>
          <w:b/>
          <w:szCs w:val="22"/>
          <w:lang w:val="es-ES"/>
        </w:rPr>
        <w:t>¿Qué lagunas existen y cuáles habrían de colmarse</w:t>
      </w:r>
      <w:r w:rsidR="00D71B7E" w:rsidRPr="0039509F">
        <w:rPr>
          <w:b/>
          <w:szCs w:val="22"/>
          <w:lang w:val="es-ES"/>
        </w:rPr>
        <w:t>?</w:t>
      </w:r>
    </w:p>
    <w:p w14:paraId="2906C322" w14:textId="77777777" w:rsidR="00D71B7E" w:rsidRPr="0039509F" w:rsidRDefault="00D71B7E" w:rsidP="00D71B7E">
      <w:pPr>
        <w:rPr>
          <w:rFonts w:eastAsia="Calibri"/>
          <w:lang w:val="es-ES" w:eastAsia="en-US"/>
        </w:rPr>
      </w:pPr>
    </w:p>
    <w:p w14:paraId="0378BDE1" w14:textId="2E75C7CB" w:rsidR="00D71B7E" w:rsidRPr="0039509F" w:rsidRDefault="00D71B7E" w:rsidP="0039509F">
      <w:pPr>
        <w:tabs>
          <w:tab w:val="left" w:pos="567"/>
        </w:tabs>
        <w:rPr>
          <w:rFonts w:eastAsia="Calibri"/>
          <w:lang w:val="es-ES" w:eastAsia="en-US"/>
        </w:rPr>
      </w:pPr>
      <w:r w:rsidRPr="0039509F">
        <w:rPr>
          <w:rFonts w:eastAsia="Calibri"/>
          <w:lang w:val="es-ES" w:eastAsia="en-US"/>
        </w:rPr>
        <w:fldChar w:fldCharType="begin"/>
      </w:r>
      <w:r w:rsidRPr="0039509F">
        <w:rPr>
          <w:rFonts w:eastAsia="Calibri"/>
          <w:lang w:val="es-ES" w:eastAsia="en-US"/>
        </w:rPr>
        <w:instrText xml:space="preserve"> AUTONUM  </w:instrText>
      </w:r>
      <w:r w:rsidRPr="0039509F">
        <w:rPr>
          <w:rFonts w:eastAsia="Calibri"/>
          <w:lang w:val="es-ES" w:eastAsia="en-US"/>
        </w:rPr>
        <w:fldChar w:fldCharType="end"/>
      </w:r>
      <w:r w:rsidRPr="0039509F">
        <w:rPr>
          <w:rFonts w:eastAsia="Calibri"/>
          <w:lang w:val="es-ES" w:eastAsia="en-US"/>
        </w:rPr>
        <w:tab/>
      </w:r>
      <w:r w:rsidR="0000420E" w:rsidRPr="0039509F">
        <w:rPr>
          <w:rFonts w:eastAsia="Calibri"/>
          <w:lang w:val="es-ES" w:eastAsia="en-US"/>
        </w:rPr>
        <w:t xml:space="preserve">En el discurso </w:t>
      </w:r>
      <w:r w:rsidR="00214FCA" w:rsidRPr="0039509F">
        <w:rPr>
          <w:rFonts w:eastAsia="Calibri"/>
          <w:lang w:val="es-ES" w:eastAsia="en-US"/>
        </w:rPr>
        <w:t>de apertura</w:t>
      </w:r>
      <w:r w:rsidR="0000420E" w:rsidRPr="0039509F">
        <w:rPr>
          <w:rFonts w:eastAsia="Calibri"/>
          <w:lang w:val="es-ES" w:eastAsia="en-US"/>
        </w:rPr>
        <w:t xml:space="preserve"> se reseñ</w:t>
      </w:r>
      <w:bookmarkStart w:id="5" w:name="_GoBack"/>
      <w:bookmarkEnd w:id="5"/>
      <w:r w:rsidR="0000420E" w:rsidRPr="0039509F">
        <w:rPr>
          <w:rFonts w:eastAsia="Calibri"/>
          <w:lang w:val="es-ES" w:eastAsia="en-US"/>
        </w:rPr>
        <w:t>arán las disposiciones y</w:t>
      </w:r>
      <w:r w:rsidR="00676DA1" w:rsidRPr="0039509F">
        <w:rPr>
          <w:rFonts w:eastAsia="Calibri"/>
          <w:lang w:val="es-ES" w:eastAsia="en-US"/>
        </w:rPr>
        <w:t xml:space="preserve"> opciones</w:t>
      </w:r>
      <w:r w:rsidR="0000420E" w:rsidRPr="0039509F">
        <w:rPr>
          <w:rFonts w:eastAsia="Calibri"/>
          <w:lang w:val="es-ES" w:eastAsia="en-US"/>
        </w:rPr>
        <w:t xml:space="preserve"> que actualmente pueden aplicarse a escala internacional para proteger las ECT.  También se describirán las </w:t>
      </w:r>
      <w:r w:rsidR="00676DA1" w:rsidRPr="0039509F">
        <w:rPr>
          <w:rFonts w:eastAsia="Calibri"/>
          <w:lang w:val="es-ES" w:eastAsia="en-US"/>
        </w:rPr>
        <w:t>carencias que existen actualmente</w:t>
      </w:r>
      <w:r w:rsidR="0000420E" w:rsidRPr="0039509F">
        <w:rPr>
          <w:rFonts w:eastAsia="Calibri"/>
          <w:lang w:val="es-ES" w:eastAsia="en-US"/>
        </w:rPr>
        <w:t xml:space="preserve"> y se examinará cuáles, en su caso, habría que subsanar.  </w:t>
      </w:r>
      <w:r w:rsidR="00676BA0" w:rsidRPr="0039509F">
        <w:rPr>
          <w:rFonts w:eastAsia="Calibri"/>
          <w:lang w:val="es-ES" w:eastAsia="en-US"/>
        </w:rPr>
        <w:t xml:space="preserve">En </w:t>
      </w:r>
      <w:r w:rsidR="00306C9B" w:rsidRPr="0039509F">
        <w:rPr>
          <w:rFonts w:eastAsia="Calibri"/>
          <w:lang w:val="es-ES" w:eastAsia="en-US"/>
        </w:rPr>
        <w:t>dicho</w:t>
      </w:r>
      <w:r w:rsidR="00676BA0" w:rsidRPr="0039509F">
        <w:rPr>
          <w:rFonts w:eastAsia="Calibri"/>
          <w:lang w:val="es-ES" w:eastAsia="en-US"/>
        </w:rPr>
        <w:t xml:space="preserve"> discurso deberá mencionarse asimismo el documento WIPO/GRTKF/IC/13/4(b) Rev. “Proyecto de análisis de las carencias en la protección de las expresiones culturales tradicionales”, que se distribuyó en la decimotercera sesión del CIG celebrada en 2009.</w:t>
      </w:r>
    </w:p>
    <w:p w14:paraId="4A192200" w14:textId="77777777" w:rsidR="00D71B7E" w:rsidRPr="0039509F" w:rsidRDefault="00D71B7E" w:rsidP="00D71B7E">
      <w:pPr>
        <w:rPr>
          <w:rFonts w:eastAsia="Calibri"/>
          <w:lang w:val="es-ES" w:eastAsia="en-US"/>
        </w:rPr>
      </w:pPr>
    </w:p>
    <w:p w14:paraId="413A3BDB" w14:textId="312E35DE" w:rsidR="00D71B7E" w:rsidRPr="0039509F" w:rsidRDefault="00D71B7E" w:rsidP="0039509F">
      <w:pPr>
        <w:tabs>
          <w:tab w:val="left" w:pos="567"/>
        </w:tabs>
        <w:rPr>
          <w:rFonts w:eastAsia="Calibri"/>
          <w:lang w:val="es-ES" w:eastAsia="en-US"/>
        </w:rPr>
      </w:pPr>
      <w:r w:rsidRPr="0039509F">
        <w:rPr>
          <w:rFonts w:eastAsia="Calibri"/>
          <w:lang w:val="es-ES" w:eastAsia="en-US"/>
        </w:rPr>
        <w:fldChar w:fldCharType="begin"/>
      </w:r>
      <w:r w:rsidRPr="0039509F">
        <w:rPr>
          <w:rFonts w:eastAsia="Calibri"/>
          <w:lang w:val="es-ES" w:eastAsia="en-US"/>
        </w:rPr>
        <w:instrText xml:space="preserve"> AUTONUM  </w:instrText>
      </w:r>
      <w:r w:rsidRPr="0039509F">
        <w:rPr>
          <w:rFonts w:eastAsia="Calibri"/>
          <w:lang w:val="es-ES" w:eastAsia="en-US"/>
        </w:rPr>
        <w:fldChar w:fldCharType="end"/>
      </w:r>
      <w:r w:rsidRPr="0039509F">
        <w:rPr>
          <w:rFonts w:eastAsia="Calibri"/>
          <w:lang w:val="es-ES" w:eastAsia="en-US"/>
        </w:rPr>
        <w:tab/>
      </w:r>
      <w:r w:rsidR="00E666CB" w:rsidRPr="0039509F">
        <w:rPr>
          <w:rFonts w:eastAsia="Calibri"/>
          <w:lang w:val="es-ES" w:eastAsia="en-US"/>
        </w:rPr>
        <w:t>En es</w:t>
      </w:r>
      <w:r w:rsidR="00676DA1" w:rsidRPr="0039509F">
        <w:rPr>
          <w:rFonts w:eastAsia="Calibri"/>
          <w:lang w:val="es-ES" w:eastAsia="en-US"/>
        </w:rPr>
        <w:t>t</w:t>
      </w:r>
      <w:r w:rsidR="00E666CB" w:rsidRPr="0039509F">
        <w:rPr>
          <w:rFonts w:eastAsia="Calibri"/>
          <w:lang w:val="es-ES" w:eastAsia="en-US"/>
        </w:rPr>
        <w:t xml:space="preserve">e contexto, </w:t>
      </w:r>
      <w:r w:rsidR="00306C9B" w:rsidRPr="0039509F">
        <w:rPr>
          <w:rFonts w:eastAsia="Calibri"/>
          <w:lang w:val="es-ES" w:eastAsia="en-US"/>
        </w:rPr>
        <w:t>una</w:t>
      </w:r>
      <w:r w:rsidR="00E666CB" w:rsidRPr="0039509F">
        <w:rPr>
          <w:rFonts w:eastAsia="Calibri"/>
          <w:lang w:val="es-ES" w:eastAsia="en-US"/>
        </w:rPr>
        <w:t xml:space="preserve"> “carencia” </w:t>
      </w:r>
      <w:r w:rsidR="00306C9B" w:rsidRPr="0039509F">
        <w:rPr>
          <w:rFonts w:eastAsia="Calibri"/>
          <w:lang w:val="es-ES" w:eastAsia="en-US"/>
        </w:rPr>
        <w:t>implica la existencia de</w:t>
      </w:r>
      <w:r w:rsidR="00E666CB" w:rsidRPr="0039509F">
        <w:rPr>
          <w:rFonts w:eastAsia="Calibri"/>
          <w:lang w:val="es-ES" w:eastAsia="en-US"/>
        </w:rPr>
        <w:t xml:space="preserve"> una necesidad económica, cultural o social insatisfecha.  Los diferentes interlocutores que participan en las negociaciones del CIG pueden tener opiniones diferentes sobre qué constituye una carencia.  En última instancia, incumbe a los Estados miembros considerar que una necesidad insatisfecha es una carencia y decidir si debería satisfacerse o no.  </w:t>
      </w:r>
      <w:r w:rsidR="00676DA1" w:rsidRPr="0039509F">
        <w:rPr>
          <w:rFonts w:eastAsia="Calibri"/>
          <w:lang w:val="es-ES" w:eastAsia="en-US"/>
        </w:rPr>
        <w:t xml:space="preserve">Ello implica asimismo </w:t>
      </w:r>
      <w:r w:rsidR="00E666CB" w:rsidRPr="0039509F">
        <w:rPr>
          <w:rFonts w:eastAsia="Calibri"/>
          <w:lang w:val="es-ES" w:eastAsia="en-US"/>
        </w:rPr>
        <w:t xml:space="preserve">que no todas las necesidades consideradas como carencias tendrán </w:t>
      </w:r>
      <w:r w:rsidR="00676DA1" w:rsidRPr="0039509F">
        <w:rPr>
          <w:rFonts w:eastAsia="Calibri"/>
          <w:lang w:val="es-ES" w:eastAsia="en-US"/>
        </w:rPr>
        <w:t xml:space="preserve">necesariamente </w:t>
      </w:r>
      <w:r w:rsidR="00E666CB" w:rsidRPr="0039509F">
        <w:rPr>
          <w:rFonts w:eastAsia="Calibri"/>
          <w:lang w:val="es-ES" w:eastAsia="en-US"/>
        </w:rPr>
        <w:t xml:space="preserve">que satisfacerse, puesto que algunas carencias podrían </w:t>
      </w:r>
      <w:r w:rsidR="00A26838" w:rsidRPr="0039509F">
        <w:rPr>
          <w:rFonts w:eastAsia="Calibri"/>
          <w:lang w:val="es-ES" w:eastAsia="en-US"/>
        </w:rPr>
        <w:t>apoyarse en justificaciones políticas válidas.</w:t>
      </w:r>
    </w:p>
    <w:p w14:paraId="721722F0" w14:textId="77777777" w:rsidR="00D71B7E" w:rsidRPr="0039509F" w:rsidRDefault="00D71B7E" w:rsidP="00D71B7E">
      <w:pPr>
        <w:rPr>
          <w:b/>
          <w:szCs w:val="22"/>
          <w:lang w:val="es-ES"/>
        </w:rPr>
      </w:pPr>
    </w:p>
    <w:p w14:paraId="7CA43DFB" w14:textId="4845343D" w:rsidR="00D71B7E" w:rsidRPr="0039509F" w:rsidRDefault="005D1F50" w:rsidP="00D71B7E">
      <w:pPr>
        <w:rPr>
          <w:b/>
          <w:szCs w:val="22"/>
          <w:lang w:val="es-ES"/>
        </w:rPr>
      </w:pPr>
      <w:r w:rsidRPr="0039509F">
        <w:rPr>
          <w:b/>
          <w:szCs w:val="22"/>
          <w:lang w:val="es-ES"/>
        </w:rPr>
        <w:t>Mesa redonda</w:t>
      </w:r>
      <w:r w:rsidR="00D71B7E" w:rsidRPr="0039509F">
        <w:rPr>
          <w:b/>
          <w:szCs w:val="22"/>
          <w:lang w:val="es-ES"/>
        </w:rPr>
        <w:t xml:space="preserve"> 1:  </w:t>
      </w:r>
      <w:r w:rsidR="00A26E10" w:rsidRPr="0039509F">
        <w:rPr>
          <w:b/>
          <w:szCs w:val="22"/>
          <w:lang w:val="es-ES"/>
        </w:rPr>
        <w:t>Cuestiones esenciales de política en materia de propiedad intelectual y expresiones culturales tradicionales</w:t>
      </w:r>
      <w:r w:rsidR="00D71B7E" w:rsidRPr="0039509F">
        <w:rPr>
          <w:b/>
          <w:szCs w:val="22"/>
          <w:lang w:val="es-ES"/>
        </w:rPr>
        <w:t xml:space="preserve">:  </w:t>
      </w:r>
      <w:r w:rsidR="00A26E10" w:rsidRPr="0039509F">
        <w:rPr>
          <w:b/>
          <w:szCs w:val="22"/>
          <w:lang w:val="es-ES"/>
        </w:rPr>
        <w:t>primera sesión</w:t>
      </w:r>
      <w:r w:rsidR="00D71B7E" w:rsidRPr="0039509F">
        <w:rPr>
          <w:b/>
          <w:szCs w:val="22"/>
          <w:lang w:val="es-ES"/>
        </w:rPr>
        <w:t xml:space="preserve"> </w:t>
      </w:r>
    </w:p>
    <w:p w14:paraId="43EABC7F" w14:textId="77777777" w:rsidR="00D71B7E" w:rsidRPr="0039509F" w:rsidRDefault="00D71B7E" w:rsidP="00D71B7E">
      <w:pPr>
        <w:rPr>
          <w:szCs w:val="22"/>
          <w:lang w:val="es-ES"/>
        </w:rPr>
      </w:pPr>
    </w:p>
    <w:p w14:paraId="1F4E26C9" w14:textId="2C690B93" w:rsidR="00D71B7E" w:rsidRPr="0039509F" w:rsidRDefault="00D71B7E" w:rsidP="0039509F">
      <w:pPr>
        <w:tabs>
          <w:tab w:val="left" w:pos="567"/>
        </w:tabs>
        <w:rPr>
          <w:szCs w:val="22"/>
          <w:lang w:val="es-ES"/>
        </w:rPr>
      </w:pPr>
      <w:r w:rsidRPr="0039509F">
        <w:rPr>
          <w:szCs w:val="22"/>
          <w:lang w:val="es-ES"/>
        </w:rPr>
        <w:fldChar w:fldCharType="begin"/>
      </w:r>
      <w:r w:rsidRPr="0039509F">
        <w:rPr>
          <w:szCs w:val="22"/>
          <w:lang w:val="es-ES"/>
        </w:rPr>
        <w:instrText xml:space="preserve"> AUTONUM  </w:instrText>
      </w:r>
      <w:r w:rsidRPr="0039509F">
        <w:rPr>
          <w:szCs w:val="22"/>
          <w:lang w:val="es-ES"/>
        </w:rPr>
        <w:fldChar w:fldCharType="end"/>
      </w:r>
      <w:r w:rsidRPr="0039509F">
        <w:rPr>
          <w:szCs w:val="22"/>
          <w:lang w:val="es-ES"/>
        </w:rPr>
        <w:tab/>
      </w:r>
      <w:r w:rsidR="00A26838" w:rsidRPr="0039509F">
        <w:rPr>
          <w:szCs w:val="22"/>
          <w:lang w:val="es-ES"/>
        </w:rPr>
        <w:t xml:space="preserve">En esta mesa redonda, los oradores podrán </w:t>
      </w:r>
      <w:r w:rsidR="00306C9B" w:rsidRPr="0039509F">
        <w:rPr>
          <w:szCs w:val="22"/>
          <w:lang w:val="es-ES"/>
        </w:rPr>
        <w:t>determinar</w:t>
      </w:r>
      <w:r w:rsidR="00A26838" w:rsidRPr="0039509F">
        <w:rPr>
          <w:szCs w:val="22"/>
          <w:lang w:val="es-ES"/>
        </w:rPr>
        <w:t xml:space="preserve"> y examinar las cuestiones de política relacionadas con la protección </w:t>
      </w:r>
      <w:r w:rsidR="00676DA1" w:rsidRPr="0039509F">
        <w:rPr>
          <w:szCs w:val="22"/>
          <w:lang w:val="es-ES"/>
        </w:rPr>
        <w:t>por</w:t>
      </w:r>
      <w:r w:rsidR="00A26838" w:rsidRPr="0039509F">
        <w:rPr>
          <w:szCs w:val="22"/>
          <w:lang w:val="es-ES"/>
        </w:rPr>
        <w:t xml:space="preserve"> P.I. </w:t>
      </w:r>
      <w:r w:rsidR="003C2380" w:rsidRPr="0039509F">
        <w:rPr>
          <w:szCs w:val="22"/>
          <w:lang w:val="es-ES"/>
        </w:rPr>
        <w:t>de las ECT que consideren fundamentales.  Hasta el momento, en sus negociaciones el CIG ha prestado especial atención, en primer lugar, a determinados artículos básicos y, ulteriormente, a determinadas cuestiones esenciales que, como se indica en su actual mandato, comprenden la “definición de apropiación indebida, beneficiarios, materia objeto de protección, objetivos y qué materia de los CC.TT./ECT cumple los criterios para ser objeto de protección en el plano internacional, incluido el examen de las excepciones y limitaciones y la relación con el dominio público”.  Otras cuestiones de política también comprenden, por ejemplo, sanciones y recursos, administración de los derechos, duración de la protección, formalidades, medidas transitorias, relación con otros acuerdos internacionales, trato nacional y cooperación transfronteriza</w:t>
      </w:r>
      <w:r w:rsidRPr="0039509F">
        <w:rPr>
          <w:szCs w:val="22"/>
          <w:lang w:val="es-ES"/>
        </w:rPr>
        <w:t>.</w:t>
      </w:r>
    </w:p>
    <w:p w14:paraId="1432ADE9" w14:textId="77777777" w:rsidR="00D71B7E" w:rsidRPr="0039509F" w:rsidRDefault="00D71B7E" w:rsidP="00D71B7E">
      <w:pPr>
        <w:rPr>
          <w:szCs w:val="22"/>
          <w:lang w:val="es-ES"/>
        </w:rPr>
      </w:pPr>
    </w:p>
    <w:p w14:paraId="774682A8" w14:textId="6327B8F1" w:rsidR="00D71B7E" w:rsidRPr="0039509F" w:rsidRDefault="00D71B7E" w:rsidP="00D71B7E">
      <w:pPr>
        <w:rPr>
          <w:szCs w:val="22"/>
          <w:lang w:val="es-ES"/>
        </w:rPr>
      </w:pPr>
      <w:r w:rsidRPr="0039509F">
        <w:rPr>
          <w:szCs w:val="22"/>
          <w:lang w:val="es-ES"/>
        </w:rPr>
        <w:fldChar w:fldCharType="begin"/>
      </w:r>
      <w:r w:rsidRPr="0039509F">
        <w:rPr>
          <w:szCs w:val="22"/>
          <w:lang w:val="es-ES"/>
        </w:rPr>
        <w:instrText xml:space="preserve"> AUTONUM  </w:instrText>
      </w:r>
      <w:r w:rsidRPr="0039509F">
        <w:rPr>
          <w:szCs w:val="22"/>
          <w:lang w:val="es-ES"/>
        </w:rPr>
        <w:fldChar w:fldCharType="end"/>
      </w:r>
      <w:r w:rsidRPr="0039509F">
        <w:rPr>
          <w:szCs w:val="22"/>
          <w:lang w:val="es-ES"/>
        </w:rPr>
        <w:tab/>
      </w:r>
      <w:r w:rsidR="003C2380" w:rsidRPr="0039509F">
        <w:rPr>
          <w:szCs w:val="22"/>
          <w:lang w:val="es-ES"/>
        </w:rPr>
        <w:t xml:space="preserve">Se recuerda que, en su trigésima tercera sesión, celebrada del 27 de febrero al 3 de marzo de 2017, el CIG decidió </w:t>
      </w:r>
      <w:r w:rsidR="00C63C1C" w:rsidRPr="0039509F">
        <w:rPr>
          <w:szCs w:val="22"/>
          <w:lang w:val="es-ES"/>
        </w:rPr>
        <w:t>presentar, en su trigésima cuarta sesión, una “Lista indicativa de las cuestiones por considerar/pendientes que deben examinarse/resolverse</w:t>
      </w:r>
      <w:r w:rsidRPr="0039509F">
        <w:rPr>
          <w:szCs w:val="22"/>
          <w:lang w:val="es-ES"/>
        </w:rPr>
        <w:t>”</w:t>
      </w:r>
      <w:r w:rsidR="00C63C1C" w:rsidRPr="0039509F">
        <w:rPr>
          <w:szCs w:val="22"/>
          <w:lang w:val="es-ES"/>
        </w:rPr>
        <w:t>.</w:t>
      </w:r>
      <w:r w:rsidRPr="0039509F">
        <w:rPr>
          <w:rStyle w:val="FootnoteReference"/>
          <w:szCs w:val="22"/>
          <w:lang w:val="es-ES"/>
        </w:rPr>
        <w:footnoteReference w:id="2"/>
      </w:r>
      <w:r w:rsidRPr="0039509F">
        <w:rPr>
          <w:szCs w:val="22"/>
          <w:lang w:val="es-ES"/>
        </w:rPr>
        <w:t xml:space="preserve">   </w:t>
      </w:r>
    </w:p>
    <w:p w14:paraId="670F5E04" w14:textId="77777777" w:rsidR="00D71B7E" w:rsidRPr="0039509F" w:rsidRDefault="00D71B7E" w:rsidP="00D71B7E">
      <w:pPr>
        <w:rPr>
          <w:b/>
          <w:szCs w:val="22"/>
          <w:lang w:val="es-ES"/>
        </w:rPr>
      </w:pPr>
    </w:p>
    <w:p w14:paraId="5396AA60" w14:textId="295F515E" w:rsidR="00D71B7E" w:rsidRPr="0039509F" w:rsidRDefault="005D1F50" w:rsidP="00D71B7E">
      <w:pPr>
        <w:rPr>
          <w:b/>
          <w:szCs w:val="22"/>
          <w:lang w:val="es-ES"/>
        </w:rPr>
      </w:pPr>
      <w:r w:rsidRPr="0039509F">
        <w:rPr>
          <w:b/>
          <w:szCs w:val="22"/>
          <w:lang w:val="es-ES"/>
        </w:rPr>
        <w:t>Mesa redonda</w:t>
      </w:r>
      <w:r w:rsidR="00D71B7E" w:rsidRPr="0039509F">
        <w:rPr>
          <w:b/>
          <w:szCs w:val="22"/>
          <w:lang w:val="es-ES"/>
        </w:rPr>
        <w:t xml:space="preserve"> 2:  </w:t>
      </w:r>
      <w:r w:rsidR="00A26E10" w:rsidRPr="0039509F">
        <w:rPr>
          <w:b/>
          <w:szCs w:val="22"/>
          <w:lang w:val="es-ES"/>
        </w:rPr>
        <w:t>La protección de las expresiones culturales tradicionales:  experiencias prácticas, iniciativas y proyectos</w:t>
      </w:r>
    </w:p>
    <w:p w14:paraId="5613066E" w14:textId="77777777" w:rsidR="00D71B7E" w:rsidRPr="0039509F" w:rsidRDefault="00D71B7E" w:rsidP="00D71B7E">
      <w:pPr>
        <w:ind w:left="2880" w:hanging="2880"/>
        <w:rPr>
          <w:szCs w:val="22"/>
          <w:lang w:val="es-ES"/>
        </w:rPr>
      </w:pPr>
    </w:p>
    <w:p w14:paraId="6CA9404B" w14:textId="54D55166" w:rsidR="00D71B7E" w:rsidRPr="0039509F" w:rsidRDefault="00D71B7E" w:rsidP="0039509F">
      <w:pPr>
        <w:tabs>
          <w:tab w:val="left" w:pos="567"/>
        </w:tabs>
        <w:rPr>
          <w:szCs w:val="22"/>
          <w:lang w:val="es-ES"/>
        </w:rPr>
      </w:pPr>
      <w:r w:rsidRPr="0039509F">
        <w:rPr>
          <w:szCs w:val="22"/>
          <w:lang w:val="es-ES"/>
        </w:rPr>
        <w:fldChar w:fldCharType="begin"/>
      </w:r>
      <w:r w:rsidRPr="0039509F">
        <w:rPr>
          <w:szCs w:val="22"/>
          <w:lang w:val="es-ES"/>
        </w:rPr>
        <w:instrText xml:space="preserve"> AUTONUM  </w:instrText>
      </w:r>
      <w:r w:rsidRPr="0039509F">
        <w:rPr>
          <w:szCs w:val="22"/>
          <w:lang w:val="es-ES"/>
        </w:rPr>
        <w:fldChar w:fldCharType="end"/>
      </w:r>
      <w:r w:rsidRPr="0039509F">
        <w:rPr>
          <w:szCs w:val="22"/>
          <w:lang w:val="es-ES"/>
        </w:rPr>
        <w:tab/>
      </w:r>
      <w:r w:rsidR="00C63C1C" w:rsidRPr="0039509F">
        <w:rPr>
          <w:szCs w:val="22"/>
          <w:lang w:val="es-ES"/>
        </w:rPr>
        <w:t xml:space="preserve">En esta mesa redonda, los oradores podrán intercambiar </w:t>
      </w:r>
      <w:r w:rsidR="003B6139" w:rsidRPr="0039509F">
        <w:rPr>
          <w:szCs w:val="22"/>
          <w:lang w:val="es-ES"/>
        </w:rPr>
        <w:t xml:space="preserve">sus </w:t>
      </w:r>
      <w:r w:rsidR="00C63C1C" w:rsidRPr="0039509F">
        <w:rPr>
          <w:szCs w:val="22"/>
          <w:lang w:val="es-ES"/>
        </w:rPr>
        <w:t>experiencias y enseñanzas aprendidas en la utilización de herramientas pr</w:t>
      </w:r>
      <w:r w:rsidR="003B6139" w:rsidRPr="0039509F">
        <w:rPr>
          <w:szCs w:val="22"/>
          <w:lang w:val="es-ES"/>
        </w:rPr>
        <w:t>ácticas y</w:t>
      </w:r>
      <w:r w:rsidR="00306C9B" w:rsidRPr="0039509F">
        <w:rPr>
          <w:szCs w:val="22"/>
          <w:lang w:val="es-ES"/>
        </w:rPr>
        <w:t xml:space="preserve"> en</w:t>
      </w:r>
      <w:r w:rsidR="003B6139" w:rsidRPr="0039509F">
        <w:rPr>
          <w:szCs w:val="22"/>
          <w:lang w:val="es-ES"/>
        </w:rPr>
        <w:t xml:space="preserve"> la </w:t>
      </w:r>
      <w:r w:rsidR="00392E7A" w:rsidRPr="0039509F">
        <w:rPr>
          <w:szCs w:val="22"/>
          <w:lang w:val="es-ES"/>
        </w:rPr>
        <w:t>ejecución</w:t>
      </w:r>
      <w:r w:rsidR="00C63C1C" w:rsidRPr="0039509F">
        <w:rPr>
          <w:szCs w:val="22"/>
          <w:lang w:val="es-ES"/>
        </w:rPr>
        <w:t xml:space="preserve"> de iniciativas y proyectos sobre la protección de las ECT, principalmente en el contexto de los sistemas convencionales de </w:t>
      </w:r>
      <w:r w:rsidR="00C63C1C" w:rsidRPr="0039509F">
        <w:rPr>
          <w:szCs w:val="22"/>
          <w:lang w:val="es-ES"/>
        </w:rPr>
        <w:lastRenderedPageBreak/>
        <w:t>P.I.</w:t>
      </w:r>
      <w:r w:rsidR="003B6139" w:rsidRPr="0039509F">
        <w:rPr>
          <w:szCs w:val="22"/>
          <w:lang w:val="es-ES"/>
        </w:rPr>
        <w:t xml:space="preserve">  Los diferentes interlocutores de la mesa podrían considerar la aplicación de tales herramientas prácticas, iniciativas y proyectos en sustitución </w:t>
      </w:r>
      <w:r w:rsidR="003B6139" w:rsidRPr="0039509F">
        <w:rPr>
          <w:szCs w:val="22"/>
          <w:lang w:val="es-ES"/>
        </w:rPr>
        <w:noBreakHyphen/>
        <w:t>o paralelamente</w:t>
      </w:r>
      <w:r w:rsidR="003B6139" w:rsidRPr="0039509F">
        <w:rPr>
          <w:szCs w:val="22"/>
          <w:lang w:val="es-ES"/>
        </w:rPr>
        <w:noBreakHyphen/>
        <w:t xml:space="preserve"> al desarrollo y la aplicación de nuevas políticas y medidas jurídicas.  </w:t>
      </w:r>
      <w:r w:rsidR="00176D9D" w:rsidRPr="0039509F">
        <w:rPr>
          <w:szCs w:val="22"/>
          <w:lang w:val="es-ES"/>
        </w:rPr>
        <w:t xml:space="preserve">También podrían incluir, entre otras </w:t>
      </w:r>
      <w:r w:rsidR="00392E7A" w:rsidRPr="0039509F">
        <w:rPr>
          <w:szCs w:val="22"/>
          <w:lang w:val="es-ES"/>
        </w:rPr>
        <w:t>cosas</w:t>
      </w:r>
      <w:r w:rsidR="00176D9D" w:rsidRPr="0039509F">
        <w:rPr>
          <w:szCs w:val="22"/>
          <w:lang w:val="es-ES"/>
        </w:rPr>
        <w:t>, los inventarios y catálogos, los contratos, los sistemas de etiquetado y de licencias, las actividades de fortalecimiento de capacidades y de sensibilización, la celebración de consultas comunitarias así como la aplicación de derechos de P.I. vigentes</w:t>
      </w:r>
      <w:r w:rsidRPr="0039509F">
        <w:rPr>
          <w:szCs w:val="22"/>
          <w:lang w:val="es-ES"/>
        </w:rPr>
        <w:t>.</w:t>
      </w:r>
    </w:p>
    <w:p w14:paraId="3414720F" w14:textId="77777777" w:rsidR="00D71B7E" w:rsidRPr="0039509F" w:rsidRDefault="00D71B7E" w:rsidP="00D71B7E">
      <w:pPr>
        <w:rPr>
          <w:szCs w:val="22"/>
          <w:lang w:val="es-ES"/>
        </w:rPr>
      </w:pPr>
    </w:p>
    <w:p w14:paraId="0F688A2F" w14:textId="42E2B3A3" w:rsidR="00D71B7E" w:rsidRPr="0039509F" w:rsidRDefault="005D1F50" w:rsidP="00D71B7E">
      <w:pPr>
        <w:rPr>
          <w:b/>
          <w:szCs w:val="22"/>
          <w:lang w:val="es-ES"/>
        </w:rPr>
      </w:pPr>
      <w:r w:rsidRPr="0039509F">
        <w:rPr>
          <w:b/>
          <w:szCs w:val="22"/>
          <w:lang w:val="es-ES"/>
        </w:rPr>
        <w:t>Mesa redonda</w:t>
      </w:r>
      <w:r w:rsidR="00D71B7E" w:rsidRPr="0039509F">
        <w:rPr>
          <w:b/>
          <w:szCs w:val="22"/>
          <w:lang w:val="es-ES"/>
        </w:rPr>
        <w:t xml:space="preserve"> 3:  </w:t>
      </w:r>
      <w:r w:rsidR="00A26E10" w:rsidRPr="0039509F">
        <w:rPr>
          <w:b/>
          <w:szCs w:val="22"/>
          <w:lang w:val="es-ES"/>
        </w:rPr>
        <w:t>Cuestiones esenciales de política en materia de propiedad intelectual y expresiones culturales tradicionales:  segunda sesión</w:t>
      </w:r>
      <w:r w:rsidR="00D71B7E" w:rsidRPr="0039509F">
        <w:rPr>
          <w:b/>
          <w:szCs w:val="22"/>
          <w:lang w:val="es-ES"/>
        </w:rPr>
        <w:t xml:space="preserve"> </w:t>
      </w:r>
    </w:p>
    <w:p w14:paraId="3889F3A8" w14:textId="77777777" w:rsidR="00D71B7E" w:rsidRPr="0039509F" w:rsidRDefault="00D71B7E" w:rsidP="00D71B7E">
      <w:pPr>
        <w:ind w:left="2880" w:hanging="2880"/>
        <w:rPr>
          <w:b/>
          <w:szCs w:val="22"/>
          <w:lang w:val="es-ES"/>
        </w:rPr>
      </w:pPr>
    </w:p>
    <w:p w14:paraId="1F5551EB" w14:textId="48C4BD4A" w:rsidR="00D71B7E" w:rsidRPr="0039509F" w:rsidRDefault="00D71B7E" w:rsidP="0039509F">
      <w:pPr>
        <w:tabs>
          <w:tab w:val="left" w:pos="567"/>
        </w:tabs>
        <w:rPr>
          <w:szCs w:val="22"/>
          <w:lang w:val="es-ES"/>
        </w:rPr>
      </w:pPr>
      <w:r w:rsidRPr="0039509F">
        <w:rPr>
          <w:szCs w:val="22"/>
          <w:lang w:val="es-ES"/>
        </w:rPr>
        <w:fldChar w:fldCharType="begin"/>
      </w:r>
      <w:r w:rsidRPr="0039509F">
        <w:rPr>
          <w:szCs w:val="22"/>
          <w:lang w:val="es-ES"/>
        </w:rPr>
        <w:instrText xml:space="preserve"> AUTONUM  </w:instrText>
      </w:r>
      <w:r w:rsidRPr="0039509F">
        <w:rPr>
          <w:szCs w:val="22"/>
          <w:lang w:val="es-ES"/>
        </w:rPr>
        <w:fldChar w:fldCharType="end"/>
      </w:r>
      <w:r w:rsidRPr="0039509F">
        <w:rPr>
          <w:szCs w:val="22"/>
          <w:lang w:val="es-ES"/>
        </w:rPr>
        <w:tab/>
      </w:r>
      <w:r w:rsidR="002F173E" w:rsidRPr="0039509F">
        <w:rPr>
          <w:szCs w:val="22"/>
          <w:lang w:val="es-ES"/>
        </w:rPr>
        <w:t>Esta mesa redonda será la continuación de la primera “Cuestiones esenciales de política en materia de propiedad intelectual y expresiones culturales tradicionales:  primera sesión”.  Al igual que en la mesa redonda 1, se invitará a los oradores a que determinen y examinen las cuestiones de política que consideren fundamentales</w:t>
      </w:r>
      <w:r w:rsidRPr="0039509F">
        <w:rPr>
          <w:szCs w:val="22"/>
          <w:lang w:val="es-ES"/>
        </w:rPr>
        <w:t xml:space="preserve">. </w:t>
      </w:r>
    </w:p>
    <w:p w14:paraId="27346EB4" w14:textId="77777777" w:rsidR="00D71B7E" w:rsidRPr="0039509F" w:rsidRDefault="00D71B7E" w:rsidP="00D71B7E">
      <w:pPr>
        <w:rPr>
          <w:b/>
          <w:szCs w:val="22"/>
          <w:lang w:val="es-ES"/>
        </w:rPr>
      </w:pPr>
    </w:p>
    <w:p w14:paraId="2187AA10" w14:textId="29222B0E" w:rsidR="00D71B7E" w:rsidRPr="0039509F" w:rsidRDefault="005D1F50" w:rsidP="00D71B7E">
      <w:pPr>
        <w:rPr>
          <w:b/>
          <w:szCs w:val="22"/>
          <w:lang w:val="es-ES"/>
        </w:rPr>
      </w:pPr>
      <w:r w:rsidRPr="0039509F">
        <w:rPr>
          <w:b/>
          <w:szCs w:val="22"/>
          <w:lang w:val="es-ES"/>
        </w:rPr>
        <w:t>Mesa redonda</w:t>
      </w:r>
      <w:r w:rsidR="00D71B7E" w:rsidRPr="0039509F">
        <w:rPr>
          <w:b/>
          <w:szCs w:val="22"/>
          <w:lang w:val="es-ES"/>
        </w:rPr>
        <w:t xml:space="preserve"> 4:  </w:t>
      </w:r>
      <w:r w:rsidR="00A26E10" w:rsidRPr="0039509F">
        <w:rPr>
          <w:b/>
          <w:szCs w:val="22"/>
          <w:lang w:val="es-ES"/>
        </w:rPr>
        <w:t xml:space="preserve">Evolución </w:t>
      </w:r>
      <w:r w:rsidR="00176D9D" w:rsidRPr="0039509F">
        <w:rPr>
          <w:b/>
          <w:szCs w:val="22"/>
          <w:lang w:val="es-ES"/>
        </w:rPr>
        <w:t>normativa</w:t>
      </w:r>
      <w:r w:rsidR="00A26E10" w:rsidRPr="0039509F">
        <w:rPr>
          <w:b/>
          <w:szCs w:val="22"/>
          <w:lang w:val="es-ES"/>
        </w:rPr>
        <w:t xml:space="preserve"> internacional en el ámbito de la propiedad intelectual:  ¿qué lecciones se han aprendido para negociar un instrumento internacional sobre expresiones culturales tradicionales?</w:t>
      </w:r>
      <w:r w:rsidR="00D71B7E" w:rsidRPr="0039509F">
        <w:rPr>
          <w:b/>
          <w:szCs w:val="22"/>
          <w:lang w:val="es-ES"/>
        </w:rPr>
        <w:t xml:space="preserve"> </w:t>
      </w:r>
    </w:p>
    <w:p w14:paraId="6C93E3E7" w14:textId="77777777" w:rsidR="00D71B7E" w:rsidRPr="0039509F" w:rsidRDefault="00D71B7E" w:rsidP="00D71B7E">
      <w:pPr>
        <w:ind w:left="2880" w:hanging="2880"/>
        <w:rPr>
          <w:b/>
          <w:szCs w:val="22"/>
          <w:lang w:val="es-ES"/>
        </w:rPr>
      </w:pPr>
    </w:p>
    <w:p w14:paraId="009B08B0" w14:textId="02B50356" w:rsidR="00D71B7E" w:rsidRPr="0039509F" w:rsidRDefault="00D71B7E" w:rsidP="0039509F">
      <w:pPr>
        <w:tabs>
          <w:tab w:val="left" w:pos="567"/>
        </w:tabs>
        <w:rPr>
          <w:szCs w:val="22"/>
          <w:lang w:val="es-ES"/>
        </w:rPr>
      </w:pPr>
      <w:r w:rsidRPr="0039509F">
        <w:rPr>
          <w:szCs w:val="22"/>
          <w:lang w:val="es-ES"/>
        </w:rPr>
        <w:fldChar w:fldCharType="begin"/>
      </w:r>
      <w:r w:rsidRPr="0039509F">
        <w:rPr>
          <w:szCs w:val="22"/>
          <w:lang w:val="es-ES"/>
        </w:rPr>
        <w:instrText xml:space="preserve"> AUTONUM  </w:instrText>
      </w:r>
      <w:r w:rsidRPr="0039509F">
        <w:rPr>
          <w:szCs w:val="22"/>
          <w:lang w:val="es-ES"/>
        </w:rPr>
        <w:fldChar w:fldCharType="end"/>
      </w:r>
      <w:r w:rsidRPr="0039509F">
        <w:rPr>
          <w:szCs w:val="22"/>
          <w:lang w:val="es-ES"/>
        </w:rPr>
        <w:tab/>
      </w:r>
      <w:r w:rsidR="0048190D" w:rsidRPr="0039509F">
        <w:rPr>
          <w:szCs w:val="22"/>
          <w:lang w:val="es-ES"/>
        </w:rPr>
        <w:t xml:space="preserve">En diferentes foros internacionales, incluida la OMPI, se han adoptado instrumentos jurídicos o se han llevado a cabo </w:t>
      </w:r>
      <w:r w:rsidR="00306C9B" w:rsidRPr="0039509F">
        <w:rPr>
          <w:szCs w:val="22"/>
          <w:lang w:val="es-ES"/>
        </w:rPr>
        <w:t>actividades</w:t>
      </w:r>
      <w:r w:rsidR="0048190D" w:rsidRPr="0039509F">
        <w:rPr>
          <w:szCs w:val="22"/>
          <w:lang w:val="es-ES"/>
        </w:rPr>
        <w:t xml:space="preserve"> normativas en relación con la propiedad intelectual o en relación con los RR.GG., los CC.TT. y las ECT</w:t>
      </w:r>
      <w:r w:rsidRPr="0039509F">
        <w:rPr>
          <w:szCs w:val="22"/>
          <w:lang w:val="es-ES"/>
        </w:rPr>
        <w:t xml:space="preserve">.  </w:t>
      </w:r>
    </w:p>
    <w:p w14:paraId="56A8ED7A" w14:textId="77777777" w:rsidR="00D71B7E" w:rsidRPr="0039509F" w:rsidRDefault="00D71B7E" w:rsidP="00D71B7E">
      <w:pPr>
        <w:rPr>
          <w:szCs w:val="22"/>
          <w:lang w:val="es-ES"/>
        </w:rPr>
      </w:pPr>
    </w:p>
    <w:p w14:paraId="29AB3B3D" w14:textId="42A35FC6" w:rsidR="00D71B7E" w:rsidRPr="0039509F" w:rsidRDefault="00D71B7E" w:rsidP="0039509F">
      <w:pPr>
        <w:tabs>
          <w:tab w:val="left" w:pos="567"/>
        </w:tabs>
        <w:rPr>
          <w:szCs w:val="22"/>
          <w:lang w:val="es-ES"/>
        </w:rPr>
      </w:pPr>
      <w:r w:rsidRPr="0039509F">
        <w:rPr>
          <w:szCs w:val="22"/>
          <w:lang w:val="es-ES"/>
        </w:rPr>
        <w:fldChar w:fldCharType="begin"/>
      </w:r>
      <w:r w:rsidRPr="0039509F">
        <w:rPr>
          <w:szCs w:val="22"/>
          <w:lang w:val="es-ES"/>
        </w:rPr>
        <w:instrText xml:space="preserve"> AUTONUM  </w:instrText>
      </w:r>
      <w:r w:rsidRPr="0039509F">
        <w:rPr>
          <w:szCs w:val="22"/>
          <w:lang w:val="es-ES"/>
        </w:rPr>
        <w:fldChar w:fldCharType="end"/>
      </w:r>
      <w:r w:rsidRPr="0039509F">
        <w:rPr>
          <w:szCs w:val="22"/>
          <w:lang w:val="es-ES"/>
        </w:rPr>
        <w:tab/>
      </w:r>
      <w:r w:rsidR="0048190D" w:rsidRPr="0039509F">
        <w:rPr>
          <w:szCs w:val="22"/>
          <w:lang w:val="es-ES"/>
        </w:rPr>
        <w:t xml:space="preserve">En esta mesa redonda, los oradores podrán describir algunos de los procesos que han tenido como consecuencia la adopción de esos instrumentos jurídicos.  También podrán intercambiar la experiencia adquirida en la negociación de anteriores instrumentos jurídicos </w:t>
      </w:r>
      <w:r w:rsidR="00306C9B" w:rsidRPr="0039509F">
        <w:rPr>
          <w:szCs w:val="22"/>
          <w:lang w:val="es-ES"/>
        </w:rPr>
        <w:t>de</w:t>
      </w:r>
      <w:r w:rsidR="0048190D" w:rsidRPr="0039509F">
        <w:rPr>
          <w:szCs w:val="22"/>
          <w:lang w:val="es-ES"/>
        </w:rPr>
        <w:t xml:space="preserve"> interés para las actuales negociaciones del CIG</w:t>
      </w:r>
      <w:r w:rsidRPr="0039509F">
        <w:rPr>
          <w:szCs w:val="22"/>
          <w:lang w:val="es-ES"/>
        </w:rPr>
        <w:t xml:space="preserve">. </w:t>
      </w:r>
    </w:p>
    <w:p w14:paraId="290C50E7" w14:textId="77777777" w:rsidR="00D71B7E" w:rsidRPr="0039509F" w:rsidRDefault="00D71B7E" w:rsidP="00D71B7E">
      <w:pPr>
        <w:rPr>
          <w:b/>
          <w:szCs w:val="22"/>
          <w:lang w:val="es-ES"/>
        </w:rPr>
      </w:pPr>
    </w:p>
    <w:p w14:paraId="58887B2B" w14:textId="2FE8EAB0" w:rsidR="00D71B7E" w:rsidRPr="0039509F" w:rsidRDefault="00A26E10" w:rsidP="00D71B7E">
      <w:pPr>
        <w:rPr>
          <w:b/>
          <w:szCs w:val="22"/>
          <w:lang w:val="es-ES"/>
        </w:rPr>
      </w:pPr>
      <w:r w:rsidRPr="0039509F">
        <w:rPr>
          <w:b/>
          <w:szCs w:val="22"/>
          <w:lang w:val="es-ES"/>
        </w:rPr>
        <w:t>Discurso</w:t>
      </w:r>
      <w:r w:rsidR="005D1F50" w:rsidRPr="0039509F">
        <w:rPr>
          <w:b/>
          <w:szCs w:val="22"/>
          <w:lang w:val="es-ES"/>
        </w:rPr>
        <w:t xml:space="preserve"> de clausura</w:t>
      </w:r>
      <w:r w:rsidR="00D71B7E" w:rsidRPr="0039509F">
        <w:rPr>
          <w:b/>
          <w:szCs w:val="22"/>
          <w:lang w:val="es-ES"/>
        </w:rPr>
        <w:t xml:space="preserve">:  </w:t>
      </w:r>
      <w:r w:rsidRPr="0039509F">
        <w:rPr>
          <w:b/>
          <w:szCs w:val="22"/>
          <w:lang w:val="es-ES"/>
        </w:rPr>
        <w:t>Reflexiones sobre el camino a seguir</w:t>
      </w:r>
    </w:p>
    <w:p w14:paraId="06EA04E1" w14:textId="77777777" w:rsidR="00D71B7E" w:rsidRPr="0039509F" w:rsidRDefault="00D71B7E" w:rsidP="00D71B7E">
      <w:pPr>
        <w:rPr>
          <w:b/>
          <w:szCs w:val="22"/>
          <w:lang w:val="es-ES"/>
        </w:rPr>
      </w:pPr>
    </w:p>
    <w:p w14:paraId="5AC9E090" w14:textId="5183203F" w:rsidR="00D71B7E" w:rsidRPr="0039509F" w:rsidRDefault="00D71B7E" w:rsidP="0039509F">
      <w:pPr>
        <w:tabs>
          <w:tab w:val="left" w:pos="567"/>
        </w:tabs>
        <w:rPr>
          <w:szCs w:val="22"/>
          <w:lang w:val="es-ES"/>
        </w:rPr>
      </w:pPr>
      <w:r w:rsidRPr="0039509F">
        <w:rPr>
          <w:szCs w:val="22"/>
          <w:lang w:val="es-ES"/>
        </w:rPr>
        <w:fldChar w:fldCharType="begin"/>
      </w:r>
      <w:r w:rsidRPr="0039509F">
        <w:rPr>
          <w:szCs w:val="22"/>
          <w:lang w:val="es-ES"/>
        </w:rPr>
        <w:instrText xml:space="preserve"> AUTONUM  </w:instrText>
      </w:r>
      <w:r w:rsidRPr="0039509F">
        <w:rPr>
          <w:szCs w:val="22"/>
          <w:lang w:val="es-ES"/>
        </w:rPr>
        <w:fldChar w:fldCharType="end"/>
      </w:r>
      <w:r w:rsidRPr="0039509F">
        <w:rPr>
          <w:szCs w:val="22"/>
          <w:lang w:val="es-ES"/>
        </w:rPr>
        <w:tab/>
      </w:r>
      <w:r w:rsidR="0048190D" w:rsidRPr="0039509F">
        <w:rPr>
          <w:szCs w:val="22"/>
          <w:lang w:val="es-ES"/>
        </w:rPr>
        <w:t xml:space="preserve">Habida cuenta de que el mandato del CIG se acerca a su término, en el discurso de clausura se recordarán algunos de los ámbitos fundamentales en que el CIG ha hecho progresos desde su </w:t>
      </w:r>
      <w:r w:rsidR="00392E7A" w:rsidRPr="0039509F">
        <w:rPr>
          <w:szCs w:val="22"/>
          <w:lang w:val="es-ES"/>
        </w:rPr>
        <w:t>creación</w:t>
      </w:r>
      <w:r w:rsidR="0048190D" w:rsidRPr="0039509F">
        <w:rPr>
          <w:szCs w:val="22"/>
          <w:lang w:val="es-ES"/>
        </w:rPr>
        <w:t xml:space="preserve">, y, en particular, en el presente bienio.  El orador ofrecerá algunas ideas personales sobre el camino a seguir y </w:t>
      </w:r>
      <w:r w:rsidR="00005EB2" w:rsidRPr="0039509F">
        <w:rPr>
          <w:szCs w:val="22"/>
          <w:lang w:val="es-ES"/>
        </w:rPr>
        <w:t>expondrá las diferentes opciones o escenarios que los Estados miembros podrían tener en cuenta</w:t>
      </w:r>
      <w:r w:rsidRPr="0039509F">
        <w:rPr>
          <w:szCs w:val="22"/>
          <w:lang w:val="es-ES"/>
        </w:rPr>
        <w:t xml:space="preserve">.  </w:t>
      </w:r>
    </w:p>
    <w:p w14:paraId="0DB8D054" w14:textId="77777777" w:rsidR="00D71B7E" w:rsidRPr="0039509F" w:rsidRDefault="00D71B7E" w:rsidP="00D71B7E">
      <w:pPr>
        <w:rPr>
          <w:szCs w:val="22"/>
          <w:lang w:val="es-ES"/>
        </w:rPr>
      </w:pPr>
    </w:p>
    <w:p w14:paraId="061CDC18" w14:textId="77777777" w:rsidR="00D71B7E" w:rsidRPr="0039509F" w:rsidRDefault="00D71B7E" w:rsidP="00D71B7E">
      <w:pPr>
        <w:rPr>
          <w:szCs w:val="22"/>
          <w:lang w:val="es-ES"/>
        </w:rPr>
      </w:pPr>
    </w:p>
    <w:p w14:paraId="1C343354" w14:textId="77777777" w:rsidR="00D71B7E" w:rsidRPr="0039509F" w:rsidRDefault="00D71B7E" w:rsidP="00D71B7E">
      <w:pPr>
        <w:rPr>
          <w:szCs w:val="22"/>
          <w:lang w:val="es-ES"/>
        </w:rPr>
      </w:pPr>
    </w:p>
    <w:p w14:paraId="11FD6AEA" w14:textId="707CD5C0" w:rsidR="00361597" w:rsidRPr="0039509F" w:rsidRDefault="00D71B7E" w:rsidP="00D71B7E">
      <w:pPr>
        <w:ind w:left="5610"/>
        <w:rPr>
          <w:lang w:val="es-ES"/>
        </w:rPr>
      </w:pPr>
      <w:r w:rsidRPr="0039509F">
        <w:rPr>
          <w:lang w:val="es-ES"/>
        </w:rPr>
        <w:t>[</w:t>
      </w:r>
      <w:r w:rsidR="00A26E10" w:rsidRPr="0039509F">
        <w:rPr>
          <w:lang w:val="es-ES"/>
        </w:rPr>
        <w:t>Fin del documento</w:t>
      </w:r>
      <w:r w:rsidRPr="0039509F">
        <w:rPr>
          <w:lang w:val="es-ES"/>
        </w:rPr>
        <w:t>]</w:t>
      </w:r>
    </w:p>
    <w:sectPr w:rsidR="00361597" w:rsidRPr="0039509F" w:rsidSect="00AC0E54">
      <w:headerReference w:type="default" r:id="rId11"/>
      <w:pgSz w:w="11907" w:h="16840" w:code="9"/>
      <w:pgMar w:top="567" w:right="851"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4497E" w14:textId="77777777" w:rsidR="00564CFD" w:rsidRDefault="00564CFD">
      <w:r>
        <w:separator/>
      </w:r>
    </w:p>
  </w:endnote>
  <w:endnote w:type="continuationSeparator" w:id="0">
    <w:p w14:paraId="2E7ACB93" w14:textId="77777777" w:rsidR="00564CFD" w:rsidRDefault="00564CFD">
      <w:r>
        <w:continuationSeparator/>
      </w:r>
    </w:p>
  </w:endnote>
  <w:endnote w:type="continuationNotice" w:id="1">
    <w:p w14:paraId="3C8D7D6F" w14:textId="77777777" w:rsidR="00564CFD" w:rsidRDefault="00564C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0412E" w14:textId="77777777" w:rsidR="00564CFD" w:rsidRDefault="00564CFD">
      <w:r>
        <w:separator/>
      </w:r>
    </w:p>
  </w:footnote>
  <w:footnote w:type="continuationSeparator" w:id="0">
    <w:p w14:paraId="792EC099" w14:textId="77777777" w:rsidR="00564CFD" w:rsidRDefault="00564CFD">
      <w:r>
        <w:continuationSeparator/>
      </w:r>
    </w:p>
  </w:footnote>
  <w:footnote w:type="continuationNotice" w:id="1">
    <w:p w14:paraId="355C4F75" w14:textId="77777777" w:rsidR="00564CFD" w:rsidRDefault="00564CFD"/>
  </w:footnote>
  <w:footnote w:id="2">
    <w:p w14:paraId="6FBEB33C" w14:textId="73A34D18" w:rsidR="00D71B7E" w:rsidRPr="00A26E10" w:rsidRDefault="00D71B7E" w:rsidP="00D71B7E">
      <w:pPr>
        <w:pStyle w:val="FootnoteText"/>
        <w:rPr>
          <w:szCs w:val="18"/>
          <w:lang w:val="es-ES"/>
        </w:rPr>
      </w:pPr>
      <w:r w:rsidRPr="00D26D74">
        <w:rPr>
          <w:rStyle w:val="FootnoteReference"/>
          <w:szCs w:val="18"/>
        </w:rPr>
        <w:footnoteRef/>
      </w:r>
      <w:r w:rsidRPr="00A26E10">
        <w:rPr>
          <w:szCs w:val="18"/>
          <w:lang w:val="es-ES"/>
        </w:rPr>
        <w:t xml:space="preserve">  </w:t>
      </w:r>
      <w:r w:rsidR="00A26E10" w:rsidRPr="00A26E10">
        <w:rPr>
          <w:szCs w:val="18"/>
          <w:lang w:val="es-ES"/>
        </w:rPr>
        <w:t>Véase el documento</w:t>
      </w:r>
      <w:r w:rsidRPr="00A26E10">
        <w:rPr>
          <w:szCs w:val="18"/>
          <w:lang w:val="es-ES"/>
        </w:rPr>
        <w:t xml:space="preserve"> WIPO/GRTKF/IC/34/7, </w:t>
      </w:r>
      <w:r w:rsidR="00A26E10" w:rsidRPr="00A26E10">
        <w:rPr>
          <w:lang w:val="es-ES"/>
        </w:rPr>
        <w:t>disponible en</w:t>
      </w:r>
      <w:r w:rsidRPr="00A26E10">
        <w:rPr>
          <w:lang w:val="es-ES"/>
        </w:rPr>
        <w:t xml:space="preserve">:  </w:t>
      </w:r>
      <w:hyperlink r:id="rId1" w:history="1">
        <w:r w:rsidR="00C63C1C" w:rsidRPr="00F375B3">
          <w:rPr>
            <w:rStyle w:val="Hyperlink"/>
            <w:lang w:val="es-ES"/>
          </w:rPr>
          <w:t>http://www.wipo.int/tk/es/igc/preparation/</w:t>
        </w:r>
      </w:hyperlink>
      <w:r w:rsidRPr="00A26E10">
        <w:rPr>
          <w:szCs w:val="18"/>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6D75C" w14:textId="606D3E20" w:rsidR="00B0315A" w:rsidRPr="00AD6623" w:rsidRDefault="00646E9D" w:rsidP="00A3645C">
    <w:pPr>
      <w:jc w:val="right"/>
      <w:rPr>
        <w:lang w:val="es-ES"/>
      </w:rPr>
    </w:pPr>
    <w:r w:rsidRPr="00AD6623">
      <w:rPr>
        <w:lang w:val="es-ES"/>
      </w:rPr>
      <w:t>WIPO/IPTK/GE/</w:t>
    </w:r>
    <w:r w:rsidR="0084103C" w:rsidRPr="00AD6623">
      <w:rPr>
        <w:lang w:val="es-ES"/>
      </w:rPr>
      <w:t>17</w:t>
    </w:r>
    <w:r w:rsidR="00271DDE" w:rsidRPr="00AD6623">
      <w:rPr>
        <w:lang w:val="es-ES"/>
      </w:rPr>
      <w:t>/</w:t>
    </w:r>
    <w:r w:rsidRPr="00AD6623">
      <w:rPr>
        <w:lang w:val="es-ES"/>
      </w:rPr>
      <w:t>INF/</w:t>
    </w:r>
    <w:r w:rsidR="00F77498" w:rsidRPr="00AD6623">
      <w:rPr>
        <w:lang w:val="es-ES"/>
      </w:rPr>
      <w:t>2</w:t>
    </w:r>
  </w:p>
  <w:p w14:paraId="57F0AE56" w14:textId="481FCF64" w:rsidR="00361597" w:rsidRPr="00AD6623" w:rsidRDefault="00EF2A9B" w:rsidP="00A3645C">
    <w:pPr>
      <w:jc w:val="right"/>
      <w:rPr>
        <w:lang w:val="es-ES"/>
      </w:rPr>
    </w:pPr>
    <w:r w:rsidRPr="00EF2A9B">
      <w:rPr>
        <w:lang w:val="es-ES"/>
      </w:rPr>
      <w:t>página</w:t>
    </w:r>
    <w:r w:rsidR="00361597" w:rsidRPr="00AD6623">
      <w:rPr>
        <w:lang w:val="es-ES"/>
      </w:rPr>
      <w:t xml:space="preserve"> </w:t>
    </w:r>
    <w:r w:rsidR="00E561F5">
      <w:fldChar w:fldCharType="begin"/>
    </w:r>
    <w:r w:rsidR="00E561F5" w:rsidRPr="00AD6623">
      <w:rPr>
        <w:lang w:val="es-ES"/>
      </w:rPr>
      <w:instrText xml:space="preserve"> PAGE  \* MERGEFORMAT </w:instrText>
    </w:r>
    <w:r w:rsidR="00E561F5">
      <w:fldChar w:fldCharType="separate"/>
    </w:r>
    <w:r w:rsidR="0039509F">
      <w:rPr>
        <w:noProof/>
        <w:lang w:val="es-ES"/>
      </w:rPr>
      <w:t>3</w:t>
    </w:r>
    <w:r w:rsidR="00E561F5">
      <w:rPr>
        <w:noProof/>
      </w:rPr>
      <w:fldChar w:fldCharType="end"/>
    </w:r>
  </w:p>
  <w:p w14:paraId="475D0D88" w14:textId="77777777" w:rsidR="00361597" w:rsidRPr="00AD6623" w:rsidRDefault="00361597" w:rsidP="00A3645C">
    <w:pP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55548"/>
    <w:multiLevelType w:val="hybridMultilevel"/>
    <w:tmpl w:val="65AAB98C"/>
    <w:lvl w:ilvl="0" w:tplc="44A82D98">
      <w:start w:val="1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3758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604"/>
    <w:rsid w:val="00000F82"/>
    <w:rsid w:val="00000FB5"/>
    <w:rsid w:val="00001A7F"/>
    <w:rsid w:val="00001F6A"/>
    <w:rsid w:val="0000227F"/>
    <w:rsid w:val="00003D46"/>
    <w:rsid w:val="0000420E"/>
    <w:rsid w:val="00004C71"/>
    <w:rsid w:val="000050EF"/>
    <w:rsid w:val="00005A25"/>
    <w:rsid w:val="00005EB2"/>
    <w:rsid w:val="000113D7"/>
    <w:rsid w:val="00027052"/>
    <w:rsid w:val="00033AC1"/>
    <w:rsid w:val="00035883"/>
    <w:rsid w:val="000369F4"/>
    <w:rsid w:val="00037CB5"/>
    <w:rsid w:val="0004287D"/>
    <w:rsid w:val="0004324F"/>
    <w:rsid w:val="000444B4"/>
    <w:rsid w:val="00046A5A"/>
    <w:rsid w:val="00046FB5"/>
    <w:rsid w:val="00050995"/>
    <w:rsid w:val="00050BB0"/>
    <w:rsid w:val="00051A9E"/>
    <w:rsid w:val="00054FAD"/>
    <w:rsid w:val="00062C83"/>
    <w:rsid w:val="00062FD8"/>
    <w:rsid w:val="0006398E"/>
    <w:rsid w:val="00063B1E"/>
    <w:rsid w:val="00064FAD"/>
    <w:rsid w:val="0006503D"/>
    <w:rsid w:val="000650A2"/>
    <w:rsid w:val="00067A3A"/>
    <w:rsid w:val="000725BF"/>
    <w:rsid w:val="00073AF7"/>
    <w:rsid w:val="000775A8"/>
    <w:rsid w:val="00080D74"/>
    <w:rsid w:val="00085094"/>
    <w:rsid w:val="00087039"/>
    <w:rsid w:val="000879DE"/>
    <w:rsid w:val="000938B7"/>
    <w:rsid w:val="00093923"/>
    <w:rsid w:val="00097034"/>
    <w:rsid w:val="000973BC"/>
    <w:rsid w:val="000A3BAC"/>
    <w:rsid w:val="000A46A9"/>
    <w:rsid w:val="000A4CCE"/>
    <w:rsid w:val="000A5698"/>
    <w:rsid w:val="000A7B52"/>
    <w:rsid w:val="000B006E"/>
    <w:rsid w:val="000B01AB"/>
    <w:rsid w:val="000B2EDB"/>
    <w:rsid w:val="000B611A"/>
    <w:rsid w:val="000C06D4"/>
    <w:rsid w:val="000C3D30"/>
    <w:rsid w:val="000E0529"/>
    <w:rsid w:val="000E170D"/>
    <w:rsid w:val="000E6426"/>
    <w:rsid w:val="000E76D8"/>
    <w:rsid w:val="000E7D85"/>
    <w:rsid w:val="000F2249"/>
    <w:rsid w:val="000F2ED2"/>
    <w:rsid w:val="0010079F"/>
    <w:rsid w:val="0010166A"/>
    <w:rsid w:val="00103E18"/>
    <w:rsid w:val="00104077"/>
    <w:rsid w:val="00104622"/>
    <w:rsid w:val="00106249"/>
    <w:rsid w:val="00106DFC"/>
    <w:rsid w:val="00117286"/>
    <w:rsid w:val="001174A0"/>
    <w:rsid w:val="0012459E"/>
    <w:rsid w:val="001333AA"/>
    <w:rsid w:val="00134F67"/>
    <w:rsid w:val="00144B0A"/>
    <w:rsid w:val="001505F2"/>
    <w:rsid w:val="0015448A"/>
    <w:rsid w:val="00154635"/>
    <w:rsid w:val="00156968"/>
    <w:rsid w:val="00160A2B"/>
    <w:rsid w:val="001659EE"/>
    <w:rsid w:val="00166AFE"/>
    <w:rsid w:val="001703DE"/>
    <w:rsid w:val="001732CF"/>
    <w:rsid w:val="0017351A"/>
    <w:rsid w:val="00173E56"/>
    <w:rsid w:val="00173E85"/>
    <w:rsid w:val="001740ED"/>
    <w:rsid w:val="0017517E"/>
    <w:rsid w:val="00176D9D"/>
    <w:rsid w:val="00180FF4"/>
    <w:rsid w:val="001811FD"/>
    <w:rsid w:val="001832A6"/>
    <w:rsid w:val="001856CA"/>
    <w:rsid w:val="001907ED"/>
    <w:rsid w:val="001955DC"/>
    <w:rsid w:val="00196DC4"/>
    <w:rsid w:val="001970C3"/>
    <w:rsid w:val="001A098A"/>
    <w:rsid w:val="001A0C72"/>
    <w:rsid w:val="001A1C64"/>
    <w:rsid w:val="001A466F"/>
    <w:rsid w:val="001A64E6"/>
    <w:rsid w:val="001C6305"/>
    <w:rsid w:val="001D2F29"/>
    <w:rsid w:val="001D7430"/>
    <w:rsid w:val="001E019C"/>
    <w:rsid w:val="001E374C"/>
    <w:rsid w:val="001E3E5E"/>
    <w:rsid w:val="001E672F"/>
    <w:rsid w:val="001F1297"/>
    <w:rsid w:val="001F1EA3"/>
    <w:rsid w:val="001F472B"/>
    <w:rsid w:val="001F49E2"/>
    <w:rsid w:val="001F5751"/>
    <w:rsid w:val="001F57D3"/>
    <w:rsid w:val="00201DDB"/>
    <w:rsid w:val="002022B7"/>
    <w:rsid w:val="002026B8"/>
    <w:rsid w:val="00202CBB"/>
    <w:rsid w:val="002119AD"/>
    <w:rsid w:val="00214FCA"/>
    <w:rsid w:val="00216B77"/>
    <w:rsid w:val="002203DB"/>
    <w:rsid w:val="002245E3"/>
    <w:rsid w:val="00226C40"/>
    <w:rsid w:val="00227B54"/>
    <w:rsid w:val="00231276"/>
    <w:rsid w:val="00233018"/>
    <w:rsid w:val="00233795"/>
    <w:rsid w:val="002339E9"/>
    <w:rsid w:val="00235A7D"/>
    <w:rsid w:val="002363D0"/>
    <w:rsid w:val="00237122"/>
    <w:rsid w:val="0024303E"/>
    <w:rsid w:val="00245189"/>
    <w:rsid w:val="00255638"/>
    <w:rsid w:val="0026094F"/>
    <w:rsid w:val="002612D0"/>
    <w:rsid w:val="002620E0"/>
    <w:rsid w:val="002621F4"/>
    <w:rsid w:val="002622FE"/>
    <w:rsid w:val="002650A7"/>
    <w:rsid w:val="00267AF8"/>
    <w:rsid w:val="00271DDE"/>
    <w:rsid w:val="00277882"/>
    <w:rsid w:val="00277F9E"/>
    <w:rsid w:val="002809BF"/>
    <w:rsid w:val="002817A6"/>
    <w:rsid w:val="002844C9"/>
    <w:rsid w:val="002920C2"/>
    <w:rsid w:val="00296EA7"/>
    <w:rsid w:val="00296F3A"/>
    <w:rsid w:val="002A35B2"/>
    <w:rsid w:val="002A5B47"/>
    <w:rsid w:val="002A6631"/>
    <w:rsid w:val="002B155F"/>
    <w:rsid w:val="002B1DA9"/>
    <w:rsid w:val="002C5502"/>
    <w:rsid w:val="002C5D64"/>
    <w:rsid w:val="002D2626"/>
    <w:rsid w:val="002D3187"/>
    <w:rsid w:val="002D5DD6"/>
    <w:rsid w:val="002E03CC"/>
    <w:rsid w:val="002E1261"/>
    <w:rsid w:val="002E4C38"/>
    <w:rsid w:val="002E597E"/>
    <w:rsid w:val="002F173E"/>
    <w:rsid w:val="002F6DE4"/>
    <w:rsid w:val="002F7954"/>
    <w:rsid w:val="002F7BAC"/>
    <w:rsid w:val="002F7D8B"/>
    <w:rsid w:val="00300B60"/>
    <w:rsid w:val="003041B2"/>
    <w:rsid w:val="0030482D"/>
    <w:rsid w:val="00306C9B"/>
    <w:rsid w:val="00311155"/>
    <w:rsid w:val="00311EEB"/>
    <w:rsid w:val="00316DE5"/>
    <w:rsid w:val="00317166"/>
    <w:rsid w:val="00320FF4"/>
    <w:rsid w:val="00324931"/>
    <w:rsid w:val="003275C6"/>
    <w:rsid w:val="00327F7A"/>
    <w:rsid w:val="00331B1B"/>
    <w:rsid w:val="00334344"/>
    <w:rsid w:val="00337B72"/>
    <w:rsid w:val="00340DD7"/>
    <w:rsid w:val="0034745E"/>
    <w:rsid w:val="00353970"/>
    <w:rsid w:val="00355B37"/>
    <w:rsid w:val="00360AA1"/>
    <w:rsid w:val="00361597"/>
    <w:rsid w:val="003627B0"/>
    <w:rsid w:val="00365267"/>
    <w:rsid w:val="003677BB"/>
    <w:rsid w:val="00371067"/>
    <w:rsid w:val="003845C1"/>
    <w:rsid w:val="00385E69"/>
    <w:rsid w:val="0039230F"/>
    <w:rsid w:val="00392E7A"/>
    <w:rsid w:val="00393CAC"/>
    <w:rsid w:val="00393F77"/>
    <w:rsid w:val="0039509F"/>
    <w:rsid w:val="003955D0"/>
    <w:rsid w:val="003A0046"/>
    <w:rsid w:val="003A48DE"/>
    <w:rsid w:val="003A6F72"/>
    <w:rsid w:val="003B1CAB"/>
    <w:rsid w:val="003B2289"/>
    <w:rsid w:val="003B6139"/>
    <w:rsid w:val="003B7B9B"/>
    <w:rsid w:val="003C04CB"/>
    <w:rsid w:val="003C2380"/>
    <w:rsid w:val="003C2F76"/>
    <w:rsid w:val="003C31C0"/>
    <w:rsid w:val="003C4BBD"/>
    <w:rsid w:val="003C4D99"/>
    <w:rsid w:val="003C554B"/>
    <w:rsid w:val="003D00F2"/>
    <w:rsid w:val="003D0B21"/>
    <w:rsid w:val="003D1977"/>
    <w:rsid w:val="003D1ED0"/>
    <w:rsid w:val="003D6C2A"/>
    <w:rsid w:val="003E0871"/>
    <w:rsid w:val="003E5E1A"/>
    <w:rsid w:val="003F078D"/>
    <w:rsid w:val="003F2ED2"/>
    <w:rsid w:val="003F6152"/>
    <w:rsid w:val="003F6CC7"/>
    <w:rsid w:val="00401FC8"/>
    <w:rsid w:val="00402625"/>
    <w:rsid w:val="00403FCD"/>
    <w:rsid w:val="004070A8"/>
    <w:rsid w:val="004101EE"/>
    <w:rsid w:val="004156FF"/>
    <w:rsid w:val="004170D4"/>
    <w:rsid w:val="004177A2"/>
    <w:rsid w:val="004208CC"/>
    <w:rsid w:val="004211BC"/>
    <w:rsid w:val="00422204"/>
    <w:rsid w:val="0042225F"/>
    <w:rsid w:val="00423886"/>
    <w:rsid w:val="00423FE9"/>
    <w:rsid w:val="00431719"/>
    <w:rsid w:val="00435293"/>
    <w:rsid w:val="00442728"/>
    <w:rsid w:val="004456A2"/>
    <w:rsid w:val="00445A6D"/>
    <w:rsid w:val="00445EAD"/>
    <w:rsid w:val="004472A7"/>
    <w:rsid w:val="00450960"/>
    <w:rsid w:val="00450B9B"/>
    <w:rsid w:val="004526E1"/>
    <w:rsid w:val="00454B17"/>
    <w:rsid w:val="00457B3D"/>
    <w:rsid w:val="00461CC9"/>
    <w:rsid w:val="00462722"/>
    <w:rsid w:val="00463B4B"/>
    <w:rsid w:val="00463E9F"/>
    <w:rsid w:val="00463EB9"/>
    <w:rsid w:val="0046484D"/>
    <w:rsid w:val="004702CE"/>
    <w:rsid w:val="00471F0A"/>
    <w:rsid w:val="00473C32"/>
    <w:rsid w:val="00474E61"/>
    <w:rsid w:val="004774E4"/>
    <w:rsid w:val="00477F54"/>
    <w:rsid w:val="0048190D"/>
    <w:rsid w:val="00483D6E"/>
    <w:rsid w:val="004858B4"/>
    <w:rsid w:val="00485CE1"/>
    <w:rsid w:val="00490A20"/>
    <w:rsid w:val="00493A7C"/>
    <w:rsid w:val="00494C27"/>
    <w:rsid w:val="004A04F9"/>
    <w:rsid w:val="004A2604"/>
    <w:rsid w:val="004A2F8C"/>
    <w:rsid w:val="004A4E64"/>
    <w:rsid w:val="004B2B07"/>
    <w:rsid w:val="004B45AC"/>
    <w:rsid w:val="004B4DA6"/>
    <w:rsid w:val="004B516E"/>
    <w:rsid w:val="004B580B"/>
    <w:rsid w:val="004C0059"/>
    <w:rsid w:val="004C0342"/>
    <w:rsid w:val="004C08C3"/>
    <w:rsid w:val="004C2B19"/>
    <w:rsid w:val="004C4B39"/>
    <w:rsid w:val="004C6AF8"/>
    <w:rsid w:val="004C6D0A"/>
    <w:rsid w:val="004D1D6E"/>
    <w:rsid w:val="004D5351"/>
    <w:rsid w:val="004D65FA"/>
    <w:rsid w:val="004D7CD1"/>
    <w:rsid w:val="004E0F5A"/>
    <w:rsid w:val="004E189E"/>
    <w:rsid w:val="004E1F7B"/>
    <w:rsid w:val="004E33C0"/>
    <w:rsid w:val="004E52AB"/>
    <w:rsid w:val="004E5C21"/>
    <w:rsid w:val="004F2059"/>
    <w:rsid w:val="004F20D1"/>
    <w:rsid w:val="004F32B9"/>
    <w:rsid w:val="004F3BBF"/>
    <w:rsid w:val="004F4D9B"/>
    <w:rsid w:val="004F5076"/>
    <w:rsid w:val="004F5567"/>
    <w:rsid w:val="004F6CBF"/>
    <w:rsid w:val="004F7F3B"/>
    <w:rsid w:val="00500E2A"/>
    <w:rsid w:val="005013DE"/>
    <w:rsid w:val="005027E5"/>
    <w:rsid w:val="00502D4D"/>
    <w:rsid w:val="0050496C"/>
    <w:rsid w:val="00514C7A"/>
    <w:rsid w:val="00520B92"/>
    <w:rsid w:val="00522783"/>
    <w:rsid w:val="005231CD"/>
    <w:rsid w:val="00523A13"/>
    <w:rsid w:val="00531598"/>
    <w:rsid w:val="0053307C"/>
    <w:rsid w:val="00533320"/>
    <w:rsid w:val="00535CD5"/>
    <w:rsid w:val="0054355B"/>
    <w:rsid w:val="00543DA9"/>
    <w:rsid w:val="00546692"/>
    <w:rsid w:val="00556B34"/>
    <w:rsid w:val="005636B0"/>
    <w:rsid w:val="00564CFD"/>
    <w:rsid w:val="0056762E"/>
    <w:rsid w:val="00570BFA"/>
    <w:rsid w:val="00571703"/>
    <w:rsid w:val="005726EA"/>
    <w:rsid w:val="005728B6"/>
    <w:rsid w:val="00572CD9"/>
    <w:rsid w:val="005763F2"/>
    <w:rsid w:val="0057717F"/>
    <w:rsid w:val="0058222C"/>
    <w:rsid w:val="005836FF"/>
    <w:rsid w:val="00592372"/>
    <w:rsid w:val="005931AF"/>
    <w:rsid w:val="0059540E"/>
    <w:rsid w:val="00595DB8"/>
    <w:rsid w:val="00597DD1"/>
    <w:rsid w:val="005A2188"/>
    <w:rsid w:val="005A3977"/>
    <w:rsid w:val="005A48D8"/>
    <w:rsid w:val="005B0714"/>
    <w:rsid w:val="005B0D53"/>
    <w:rsid w:val="005B3563"/>
    <w:rsid w:val="005B385D"/>
    <w:rsid w:val="005B4FAD"/>
    <w:rsid w:val="005B6CF5"/>
    <w:rsid w:val="005B6D15"/>
    <w:rsid w:val="005C0EF1"/>
    <w:rsid w:val="005C7BB3"/>
    <w:rsid w:val="005D157F"/>
    <w:rsid w:val="005D1F50"/>
    <w:rsid w:val="005D3EB8"/>
    <w:rsid w:val="005E34AE"/>
    <w:rsid w:val="005E4408"/>
    <w:rsid w:val="005E4B4D"/>
    <w:rsid w:val="005F62C1"/>
    <w:rsid w:val="00604080"/>
    <w:rsid w:val="00605827"/>
    <w:rsid w:val="0060739B"/>
    <w:rsid w:val="00623CFA"/>
    <w:rsid w:val="006241A2"/>
    <w:rsid w:val="00624828"/>
    <w:rsid w:val="00624A82"/>
    <w:rsid w:val="00627785"/>
    <w:rsid w:val="006327F2"/>
    <w:rsid w:val="006331F3"/>
    <w:rsid w:val="00634064"/>
    <w:rsid w:val="0063411D"/>
    <w:rsid w:val="006348CD"/>
    <w:rsid w:val="00636BDD"/>
    <w:rsid w:val="00636E3C"/>
    <w:rsid w:val="00640582"/>
    <w:rsid w:val="006423F4"/>
    <w:rsid w:val="00645EC7"/>
    <w:rsid w:val="006469F0"/>
    <w:rsid w:val="00646E9D"/>
    <w:rsid w:val="0065046D"/>
    <w:rsid w:val="00652BE5"/>
    <w:rsid w:val="00657A11"/>
    <w:rsid w:val="00663104"/>
    <w:rsid w:val="00663455"/>
    <w:rsid w:val="0067503A"/>
    <w:rsid w:val="00675D54"/>
    <w:rsid w:val="00675EE2"/>
    <w:rsid w:val="00675F71"/>
    <w:rsid w:val="00676BA0"/>
    <w:rsid w:val="00676DA1"/>
    <w:rsid w:val="006819C2"/>
    <w:rsid w:val="006849A7"/>
    <w:rsid w:val="00686676"/>
    <w:rsid w:val="00692FE8"/>
    <w:rsid w:val="006936F7"/>
    <w:rsid w:val="00696641"/>
    <w:rsid w:val="006A2719"/>
    <w:rsid w:val="006A67ED"/>
    <w:rsid w:val="006A7E5F"/>
    <w:rsid w:val="006B0CD0"/>
    <w:rsid w:val="006B2213"/>
    <w:rsid w:val="006C1BE2"/>
    <w:rsid w:val="006C22BC"/>
    <w:rsid w:val="006C3692"/>
    <w:rsid w:val="006C3ACC"/>
    <w:rsid w:val="006C5194"/>
    <w:rsid w:val="006C73E6"/>
    <w:rsid w:val="006D670B"/>
    <w:rsid w:val="006D6A7F"/>
    <w:rsid w:val="006D6AEE"/>
    <w:rsid w:val="006D77CD"/>
    <w:rsid w:val="006E292D"/>
    <w:rsid w:val="006E5E0E"/>
    <w:rsid w:val="006E625D"/>
    <w:rsid w:val="006F14E4"/>
    <w:rsid w:val="006F61F1"/>
    <w:rsid w:val="0070361E"/>
    <w:rsid w:val="00704722"/>
    <w:rsid w:val="00705BB6"/>
    <w:rsid w:val="00706DE5"/>
    <w:rsid w:val="007111EF"/>
    <w:rsid w:val="00721245"/>
    <w:rsid w:val="00721708"/>
    <w:rsid w:val="007233DB"/>
    <w:rsid w:val="00724E14"/>
    <w:rsid w:val="0072673F"/>
    <w:rsid w:val="007269E9"/>
    <w:rsid w:val="007272FC"/>
    <w:rsid w:val="00727C89"/>
    <w:rsid w:val="007307A7"/>
    <w:rsid w:val="00736A68"/>
    <w:rsid w:val="00736D87"/>
    <w:rsid w:val="007405EC"/>
    <w:rsid w:val="00740861"/>
    <w:rsid w:val="00745264"/>
    <w:rsid w:val="00745A25"/>
    <w:rsid w:val="00747AAB"/>
    <w:rsid w:val="00757E37"/>
    <w:rsid w:val="0076483F"/>
    <w:rsid w:val="00770793"/>
    <w:rsid w:val="00771A29"/>
    <w:rsid w:val="007766B3"/>
    <w:rsid w:val="00780935"/>
    <w:rsid w:val="0078155E"/>
    <w:rsid w:val="00781ADC"/>
    <w:rsid w:val="007906F2"/>
    <w:rsid w:val="00791462"/>
    <w:rsid w:val="0079596B"/>
    <w:rsid w:val="00795EFA"/>
    <w:rsid w:val="0079750E"/>
    <w:rsid w:val="007A2B46"/>
    <w:rsid w:val="007A6BB8"/>
    <w:rsid w:val="007B120E"/>
    <w:rsid w:val="007B2AD0"/>
    <w:rsid w:val="007B2E42"/>
    <w:rsid w:val="007B6E4A"/>
    <w:rsid w:val="007B7D72"/>
    <w:rsid w:val="007C06E3"/>
    <w:rsid w:val="007C26C9"/>
    <w:rsid w:val="007C3451"/>
    <w:rsid w:val="007C3BEA"/>
    <w:rsid w:val="007C4B94"/>
    <w:rsid w:val="007C5E26"/>
    <w:rsid w:val="007D128F"/>
    <w:rsid w:val="007D3606"/>
    <w:rsid w:val="007D4933"/>
    <w:rsid w:val="007D62C2"/>
    <w:rsid w:val="007D6BB3"/>
    <w:rsid w:val="007E2F0D"/>
    <w:rsid w:val="007E4142"/>
    <w:rsid w:val="007F3717"/>
    <w:rsid w:val="007F4D6B"/>
    <w:rsid w:val="007F5ADE"/>
    <w:rsid w:val="00800821"/>
    <w:rsid w:val="00802A13"/>
    <w:rsid w:val="00804B94"/>
    <w:rsid w:val="00805428"/>
    <w:rsid w:val="00805DA1"/>
    <w:rsid w:val="00810E47"/>
    <w:rsid w:val="0081571A"/>
    <w:rsid w:val="008173AF"/>
    <w:rsid w:val="008225E7"/>
    <w:rsid w:val="00822928"/>
    <w:rsid w:val="008229A5"/>
    <w:rsid w:val="008250E6"/>
    <w:rsid w:val="00825B95"/>
    <w:rsid w:val="008261E0"/>
    <w:rsid w:val="0083278B"/>
    <w:rsid w:val="00836AB9"/>
    <w:rsid w:val="00837DE5"/>
    <w:rsid w:val="0084103C"/>
    <w:rsid w:val="008420FE"/>
    <w:rsid w:val="00842884"/>
    <w:rsid w:val="008435FA"/>
    <w:rsid w:val="00844944"/>
    <w:rsid w:val="00855D8B"/>
    <w:rsid w:val="00862213"/>
    <w:rsid w:val="00865F25"/>
    <w:rsid w:val="00867DB8"/>
    <w:rsid w:val="00871A87"/>
    <w:rsid w:val="00872066"/>
    <w:rsid w:val="00881B49"/>
    <w:rsid w:val="00885049"/>
    <w:rsid w:val="008939DB"/>
    <w:rsid w:val="00894958"/>
    <w:rsid w:val="00896AE4"/>
    <w:rsid w:val="008A0BB0"/>
    <w:rsid w:val="008A29FD"/>
    <w:rsid w:val="008A5AA1"/>
    <w:rsid w:val="008A6648"/>
    <w:rsid w:val="008A6E75"/>
    <w:rsid w:val="008B2CC1"/>
    <w:rsid w:val="008B6943"/>
    <w:rsid w:val="008B7050"/>
    <w:rsid w:val="008C1A95"/>
    <w:rsid w:val="008C516A"/>
    <w:rsid w:val="008C7D40"/>
    <w:rsid w:val="008D096A"/>
    <w:rsid w:val="008D1CB7"/>
    <w:rsid w:val="008D5CD8"/>
    <w:rsid w:val="008E066A"/>
    <w:rsid w:val="008E119C"/>
    <w:rsid w:val="008E11C6"/>
    <w:rsid w:val="008E251C"/>
    <w:rsid w:val="008E3626"/>
    <w:rsid w:val="008E37C8"/>
    <w:rsid w:val="008E4218"/>
    <w:rsid w:val="008E5620"/>
    <w:rsid w:val="008E621C"/>
    <w:rsid w:val="008F006A"/>
    <w:rsid w:val="008F0F39"/>
    <w:rsid w:val="008F1D8D"/>
    <w:rsid w:val="008F39A4"/>
    <w:rsid w:val="008F3F62"/>
    <w:rsid w:val="008F7952"/>
    <w:rsid w:val="0090731E"/>
    <w:rsid w:val="0091128C"/>
    <w:rsid w:val="00912951"/>
    <w:rsid w:val="00913D25"/>
    <w:rsid w:val="00915749"/>
    <w:rsid w:val="009171CE"/>
    <w:rsid w:val="009241D4"/>
    <w:rsid w:val="0092683E"/>
    <w:rsid w:val="0094015B"/>
    <w:rsid w:val="0094447E"/>
    <w:rsid w:val="009461AE"/>
    <w:rsid w:val="009477B0"/>
    <w:rsid w:val="00951685"/>
    <w:rsid w:val="0095229A"/>
    <w:rsid w:val="00952A08"/>
    <w:rsid w:val="0095452C"/>
    <w:rsid w:val="00955375"/>
    <w:rsid w:val="00957005"/>
    <w:rsid w:val="0095757F"/>
    <w:rsid w:val="009709FC"/>
    <w:rsid w:val="00972B05"/>
    <w:rsid w:val="009750E6"/>
    <w:rsid w:val="00975E0F"/>
    <w:rsid w:val="00975FF9"/>
    <w:rsid w:val="00976EE7"/>
    <w:rsid w:val="00990120"/>
    <w:rsid w:val="009927D8"/>
    <w:rsid w:val="00992A6E"/>
    <w:rsid w:val="00994B65"/>
    <w:rsid w:val="00996B1E"/>
    <w:rsid w:val="009A0ED0"/>
    <w:rsid w:val="009A1193"/>
    <w:rsid w:val="009A215B"/>
    <w:rsid w:val="009A2D87"/>
    <w:rsid w:val="009A45F3"/>
    <w:rsid w:val="009B2799"/>
    <w:rsid w:val="009B2911"/>
    <w:rsid w:val="009B370D"/>
    <w:rsid w:val="009B5A80"/>
    <w:rsid w:val="009C4ACD"/>
    <w:rsid w:val="009C4E0B"/>
    <w:rsid w:val="009D0E6A"/>
    <w:rsid w:val="009D15AD"/>
    <w:rsid w:val="009D3F6A"/>
    <w:rsid w:val="009D57EB"/>
    <w:rsid w:val="009E4252"/>
    <w:rsid w:val="009E6765"/>
    <w:rsid w:val="009E68C8"/>
    <w:rsid w:val="009E7793"/>
    <w:rsid w:val="009F68AA"/>
    <w:rsid w:val="00A0053D"/>
    <w:rsid w:val="00A033CD"/>
    <w:rsid w:val="00A039C6"/>
    <w:rsid w:val="00A04BF3"/>
    <w:rsid w:val="00A109CF"/>
    <w:rsid w:val="00A14BF9"/>
    <w:rsid w:val="00A15D34"/>
    <w:rsid w:val="00A16176"/>
    <w:rsid w:val="00A16DD0"/>
    <w:rsid w:val="00A1783F"/>
    <w:rsid w:val="00A21D55"/>
    <w:rsid w:val="00A26838"/>
    <w:rsid w:val="00A26E10"/>
    <w:rsid w:val="00A3118B"/>
    <w:rsid w:val="00A31AD7"/>
    <w:rsid w:val="00A31AD9"/>
    <w:rsid w:val="00A33205"/>
    <w:rsid w:val="00A34EC2"/>
    <w:rsid w:val="00A3645C"/>
    <w:rsid w:val="00A427DA"/>
    <w:rsid w:val="00A437B0"/>
    <w:rsid w:val="00A44A9F"/>
    <w:rsid w:val="00A45C8D"/>
    <w:rsid w:val="00A4615B"/>
    <w:rsid w:val="00A46401"/>
    <w:rsid w:val="00A51DF0"/>
    <w:rsid w:val="00A52E3F"/>
    <w:rsid w:val="00A53574"/>
    <w:rsid w:val="00A573E5"/>
    <w:rsid w:val="00A654AB"/>
    <w:rsid w:val="00A722A2"/>
    <w:rsid w:val="00A75A05"/>
    <w:rsid w:val="00A75FCC"/>
    <w:rsid w:val="00A8195A"/>
    <w:rsid w:val="00A83DDC"/>
    <w:rsid w:val="00A83EA3"/>
    <w:rsid w:val="00A8559E"/>
    <w:rsid w:val="00A9165D"/>
    <w:rsid w:val="00A92793"/>
    <w:rsid w:val="00A9420C"/>
    <w:rsid w:val="00AA3D3E"/>
    <w:rsid w:val="00AA4FA5"/>
    <w:rsid w:val="00AA5952"/>
    <w:rsid w:val="00AB0D60"/>
    <w:rsid w:val="00AB1ECB"/>
    <w:rsid w:val="00AB39D4"/>
    <w:rsid w:val="00AB457A"/>
    <w:rsid w:val="00AB684D"/>
    <w:rsid w:val="00AC0E54"/>
    <w:rsid w:val="00AC1691"/>
    <w:rsid w:val="00AC1E95"/>
    <w:rsid w:val="00AC2E3D"/>
    <w:rsid w:val="00AC372E"/>
    <w:rsid w:val="00AC37E0"/>
    <w:rsid w:val="00AD0975"/>
    <w:rsid w:val="00AD3655"/>
    <w:rsid w:val="00AD61B2"/>
    <w:rsid w:val="00AD6623"/>
    <w:rsid w:val="00AD669E"/>
    <w:rsid w:val="00AE0D31"/>
    <w:rsid w:val="00AE10E0"/>
    <w:rsid w:val="00AE1311"/>
    <w:rsid w:val="00AF0F5E"/>
    <w:rsid w:val="00AF4EC7"/>
    <w:rsid w:val="00AF6E5D"/>
    <w:rsid w:val="00B02571"/>
    <w:rsid w:val="00B0315A"/>
    <w:rsid w:val="00B03692"/>
    <w:rsid w:val="00B06419"/>
    <w:rsid w:val="00B10D5F"/>
    <w:rsid w:val="00B11DA6"/>
    <w:rsid w:val="00B12109"/>
    <w:rsid w:val="00B128DE"/>
    <w:rsid w:val="00B13BE5"/>
    <w:rsid w:val="00B14287"/>
    <w:rsid w:val="00B14A24"/>
    <w:rsid w:val="00B16E08"/>
    <w:rsid w:val="00B17C72"/>
    <w:rsid w:val="00B2053F"/>
    <w:rsid w:val="00B23369"/>
    <w:rsid w:val="00B25E1B"/>
    <w:rsid w:val="00B278C9"/>
    <w:rsid w:val="00B30E78"/>
    <w:rsid w:val="00B35C22"/>
    <w:rsid w:val="00B361E2"/>
    <w:rsid w:val="00B41E8D"/>
    <w:rsid w:val="00B42779"/>
    <w:rsid w:val="00B45907"/>
    <w:rsid w:val="00B4689C"/>
    <w:rsid w:val="00B51DE6"/>
    <w:rsid w:val="00B53499"/>
    <w:rsid w:val="00B53FE9"/>
    <w:rsid w:val="00B57346"/>
    <w:rsid w:val="00B62037"/>
    <w:rsid w:val="00B621D1"/>
    <w:rsid w:val="00B63912"/>
    <w:rsid w:val="00B658BB"/>
    <w:rsid w:val="00B71214"/>
    <w:rsid w:val="00B737EF"/>
    <w:rsid w:val="00B75B4C"/>
    <w:rsid w:val="00B77628"/>
    <w:rsid w:val="00B776BC"/>
    <w:rsid w:val="00B77CB8"/>
    <w:rsid w:val="00B82003"/>
    <w:rsid w:val="00B833F2"/>
    <w:rsid w:val="00B83AF6"/>
    <w:rsid w:val="00B87408"/>
    <w:rsid w:val="00B90D03"/>
    <w:rsid w:val="00B919B4"/>
    <w:rsid w:val="00B92CE3"/>
    <w:rsid w:val="00B9410D"/>
    <w:rsid w:val="00B95EBA"/>
    <w:rsid w:val="00B977CC"/>
    <w:rsid w:val="00B97D96"/>
    <w:rsid w:val="00BA0DB9"/>
    <w:rsid w:val="00BA3B6A"/>
    <w:rsid w:val="00BA54A9"/>
    <w:rsid w:val="00BB0B2F"/>
    <w:rsid w:val="00BB1EDA"/>
    <w:rsid w:val="00BB375A"/>
    <w:rsid w:val="00BB3A17"/>
    <w:rsid w:val="00BB77B3"/>
    <w:rsid w:val="00BC1675"/>
    <w:rsid w:val="00BC25F2"/>
    <w:rsid w:val="00BC5377"/>
    <w:rsid w:val="00BC5A1C"/>
    <w:rsid w:val="00BD1135"/>
    <w:rsid w:val="00BD1E9D"/>
    <w:rsid w:val="00BD1EC0"/>
    <w:rsid w:val="00BD3A3C"/>
    <w:rsid w:val="00BD3AAD"/>
    <w:rsid w:val="00BD5F03"/>
    <w:rsid w:val="00BD60C2"/>
    <w:rsid w:val="00BD6D7D"/>
    <w:rsid w:val="00BE281B"/>
    <w:rsid w:val="00BE4B83"/>
    <w:rsid w:val="00BE55CA"/>
    <w:rsid w:val="00BE7AD6"/>
    <w:rsid w:val="00BF1973"/>
    <w:rsid w:val="00BF2827"/>
    <w:rsid w:val="00BF2AC8"/>
    <w:rsid w:val="00BF43D9"/>
    <w:rsid w:val="00BF4F9C"/>
    <w:rsid w:val="00C03AE1"/>
    <w:rsid w:val="00C0757F"/>
    <w:rsid w:val="00C07F3D"/>
    <w:rsid w:val="00C12DBE"/>
    <w:rsid w:val="00C1307D"/>
    <w:rsid w:val="00C136C6"/>
    <w:rsid w:val="00C15339"/>
    <w:rsid w:val="00C158FB"/>
    <w:rsid w:val="00C17FC5"/>
    <w:rsid w:val="00C253E6"/>
    <w:rsid w:val="00C26466"/>
    <w:rsid w:val="00C2667F"/>
    <w:rsid w:val="00C278D8"/>
    <w:rsid w:val="00C27B72"/>
    <w:rsid w:val="00C314BE"/>
    <w:rsid w:val="00C31C7A"/>
    <w:rsid w:val="00C322D4"/>
    <w:rsid w:val="00C34C0F"/>
    <w:rsid w:val="00C36F96"/>
    <w:rsid w:val="00C43D4D"/>
    <w:rsid w:val="00C44AF0"/>
    <w:rsid w:val="00C44D5C"/>
    <w:rsid w:val="00C45FD5"/>
    <w:rsid w:val="00C50404"/>
    <w:rsid w:val="00C504E0"/>
    <w:rsid w:val="00C50504"/>
    <w:rsid w:val="00C51831"/>
    <w:rsid w:val="00C52355"/>
    <w:rsid w:val="00C55EBA"/>
    <w:rsid w:val="00C60BBA"/>
    <w:rsid w:val="00C6217B"/>
    <w:rsid w:val="00C62ADC"/>
    <w:rsid w:val="00C63C1C"/>
    <w:rsid w:val="00C63C23"/>
    <w:rsid w:val="00C6759B"/>
    <w:rsid w:val="00C67AD8"/>
    <w:rsid w:val="00C7268C"/>
    <w:rsid w:val="00C73C36"/>
    <w:rsid w:val="00C740CF"/>
    <w:rsid w:val="00C77DB2"/>
    <w:rsid w:val="00C85922"/>
    <w:rsid w:val="00C87319"/>
    <w:rsid w:val="00C90E3C"/>
    <w:rsid w:val="00C912C2"/>
    <w:rsid w:val="00CA1917"/>
    <w:rsid w:val="00CA2775"/>
    <w:rsid w:val="00CA46E0"/>
    <w:rsid w:val="00CA55CC"/>
    <w:rsid w:val="00CA6E80"/>
    <w:rsid w:val="00CA70AE"/>
    <w:rsid w:val="00CA7EC9"/>
    <w:rsid w:val="00CB0271"/>
    <w:rsid w:val="00CB0366"/>
    <w:rsid w:val="00CB1413"/>
    <w:rsid w:val="00CB48FD"/>
    <w:rsid w:val="00CB6CD9"/>
    <w:rsid w:val="00CB701A"/>
    <w:rsid w:val="00CB7558"/>
    <w:rsid w:val="00CC0CFC"/>
    <w:rsid w:val="00CC24D7"/>
    <w:rsid w:val="00CC5592"/>
    <w:rsid w:val="00CC5BD7"/>
    <w:rsid w:val="00CC7236"/>
    <w:rsid w:val="00CC7AAB"/>
    <w:rsid w:val="00CD6D28"/>
    <w:rsid w:val="00CE0999"/>
    <w:rsid w:val="00CE60B2"/>
    <w:rsid w:val="00CF123F"/>
    <w:rsid w:val="00CF4113"/>
    <w:rsid w:val="00CF7A8B"/>
    <w:rsid w:val="00CF7F82"/>
    <w:rsid w:val="00D01980"/>
    <w:rsid w:val="00D020C1"/>
    <w:rsid w:val="00D043D6"/>
    <w:rsid w:val="00D10B00"/>
    <w:rsid w:val="00D113BC"/>
    <w:rsid w:val="00D14069"/>
    <w:rsid w:val="00D20116"/>
    <w:rsid w:val="00D2117B"/>
    <w:rsid w:val="00D2124D"/>
    <w:rsid w:val="00D21C04"/>
    <w:rsid w:val="00D22759"/>
    <w:rsid w:val="00D23C31"/>
    <w:rsid w:val="00D252D3"/>
    <w:rsid w:val="00D32479"/>
    <w:rsid w:val="00D37E81"/>
    <w:rsid w:val="00D4223F"/>
    <w:rsid w:val="00D42DD5"/>
    <w:rsid w:val="00D437AC"/>
    <w:rsid w:val="00D44376"/>
    <w:rsid w:val="00D4600A"/>
    <w:rsid w:val="00D50920"/>
    <w:rsid w:val="00D525F8"/>
    <w:rsid w:val="00D5302B"/>
    <w:rsid w:val="00D55A7F"/>
    <w:rsid w:val="00D55B4E"/>
    <w:rsid w:val="00D674E9"/>
    <w:rsid w:val="00D70B88"/>
    <w:rsid w:val="00D71B7E"/>
    <w:rsid w:val="00D71BED"/>
    <w:rsid w:val="00D71F20"/>
    <w:rsid w:val="00D72187"/>
    <w:rsid w:val="00D735F1"/>
    <w:rsid w:val="00D7518F"/>
    <w:rsid w:val="00D76008"/>
    <w:rsid w:val="00D76C58"/>
    <w:rsid w:val="00D830F1"/>
    <w:rsid w:val="00D90379"/>
    <w:rsid w:val="00D90F2B"/>
    <w:rsid w:val="00D92399"/>
    <w:rsid w:val="00D93BC3"/>
    <w:rsid w:val="00D94C13"/>
    <w:rsid w:val="00D95DB4"/>
    <w:rsid w:val="00D964CE"/>
    <w:rsid w:val="00D97B17"/>
    <w:rsid w:val="00DA2B92"/>
    <w:rsid w:val="00DA2EC9"/>
    <w:rsid w:val="00DA4D02"/>
    <w:rsid w:val="00DA6730"/>
    <w:rsid w:val="00DB4000"/>
    <w:rsid w:val="00DB5558"/>
    <w:rsid w:val="00DC0A5E"/>
    <w:rsid w:val="00DC0E3F"/>
    <w:rsid w:val="00DC1AA4"/>
    <w:rsid w:val="00DC47F0"/>
    <w:rsid w:val="00DC5373"/>
    <w:rsid w:val="00DD4039"/>
    <w:rsid w:val="00DE0BAB"/>
    <w:rsid w:val="00DE4D5F"/>
    <w:rsid w:val="00DE6AAD"/>
    <w:rsid w:val="00DF2C03"/>
    <w:rsid w:val="00DF469B"/>
    <w:rsid w:val="00DF7A86"/>
    <w:rsid w:val="00DF7D7E"/>
    <w:rsid w:val="00E00D1D"/>
    <w:rsid w:val="00E01A47"/>
    <w:rsid w:val="00E01AE3"/>
    <w:rsid w:val="00E03A8C"/>
    <w:rsid w:val="00E05F12"/>
    <w:rsid w:val="00E06979"/>
    <w:rsid w:val="00E10520"/>
    <w:rsid w:val="00E12834"/>
    <w:rsid w:val="00E17C21"/>
    <w:rsid w:val="00E26F90"/>
    <w:rsid w:val="00E33329"/>
    <w:rsid w:val="00E35038"/>
    <w:rsid w:val="00E3530C"/>
    <w:rsid w:val="00E40DB0"/>
    <w:rsid w:val="00E430AE"/>
    <w:rsid w:val="00E43B80"/>
    <w:rsid w:val="00E4597E"/>
    <w:rsid w:val="00E50504"/>
    <w:rsid w:val="00E51F87"/>
    <w:rsid w:val="00E52DA4"/>
    <w:rsid w:val="00E561F5"/>
    <w:rsid w:val="00E56E51"/>
    <w:rsid w:val="00E6273B"/>
    <w:rsid w:val="00E627B7"/>
    <w:rsid w:val="00E63074"/>
    <w:rsid w:val="00E666CB"/>
    <w:rsid w:val="00E74D2E"/>
    <w:rsid w:val="00E8588F"/>
    <w:rsid w:val="00E85D3F"/>
    <w:rsid w:val="00E962D9"/>
    <w:rsid w:val="00E97596"/>
    <w:rsid w:val="00EA1A85"/>
    <w:rsid w:val="00EA43D2"/>
    <w:rsid w:val="00EA566D"/>
    <w:rsid w:val="00EC08C2"/>
    <w:rsid w:val="00EC230F"/>
    <w:rsid w:val="00EC4BB0"/>
    <w:rsid w:val="00ED1E18"/>
    <w:rsid w:val="00ED258D"/>
    <w:rsid w:val="00ED2D83"/>
    <w:rsid w:val="00ED3EFE"/>
    <w:rsid w:val="00ED643F"/>
    <w:rsid w:val="00ED76C1"/>
    <w:rsid w:val="00ED783D"/>
    <w:rsid w:val="00ED7905"/>
    <w:rsid w:val="00ED7BE3"/>
    <w:rsid w:val="00EE02AF"/>
    <w:rsid w:val="00EE22F5"/>
    <w:rsid w:val="00EE3C01"/>
    <w:rsid w:val="00EE497C"/>
    <w:rsid w:val="00EE7D39"/>
    <w:rsid w:val="00EF2615"/>
    <w:rsid w:val="00EF2A9B"/>
    <w:rsid w:val="00EF4EE4"/>
    <w:rsid w:val="00EF63A1"/>
    <w:rsid w:val="00F014DD"/>
    <w:rsid w:val="00F11955"/>
    <w:rsid w:val="00F20630"/>
    <w:rsid w:val="00F2156C"/>
    <w:rsid w:val="00F228BB"/>
    <w:rsid w:val="00F23856"/>
    <w:rsid w:val="00F33644"/>
    <w:rsid w:val="00F33668"/>
    <w:rsid w:val="00F346A7"/>
    <w:rsid w:val="00F358DC"/>
    <w:rsid w:val="00F3627B"/>
    <w:rsid w:val="00F3791C"/>
    <w:rsid w:val="00F40D79"/>
    <w:rsid w:val="00F4177E"/>
    <w:rsid w:val="00F42038"/>
    <w:rsid w:val="00F43266"/>
    <w:rsid w:val="00F44231"/>
    <w:rsid w:val="00F45ADC"/>
    <w:rsid w:val="00F460ED"/>
    <w:rsid w:val="00F510C6"/>
    <w:rsid w:val="00F510DC"/>
    <w:rsid w:val="00F51599"/>
    <w:rsid w:val="00F532F0"/>
    <w:rsid w:val="00F55349"/>
    <w:rsid w:val="00F5755F"/>
    <w:rsid w:val="00F61105"/>
    <w:rsid w:val="00F61319"/>
    <w:rsid w:val="00F618A1"/>
    <w:rsid w:val="00F6240B"/>
    <w:rsid w:val="00F63226"/>
    <w:rsid w:val="00F6406E"/>
    <w:rsid w:val="00F653AF"/>
    <w:rsid w:val="00F66689"/>
    <w:rsid w:val="00F66946"/>
    <w:rsid w:val="00F71386"/>
    <w:rsid w:val="00F73B75"/>
    <w:rsid w:val="00F77072"/>
    <w:rsid w:val="00F77498"/>
    <w:rsid w:val="00F91405"/>
    <w:rsid w:val="00F91E22"/>
    <w:rsid w:val="00F926F8"/>
    <w:rsid w:val="00F94489"/>
    <w:rsid w:val="00FA02C7"/>
    <w:rsid w:val="00FA2884"/>
    <w:rsid w:val="00FA2D79"/>
    <w:rsid w:val="00FA3C77"/>
    <w:rsid w:val="00FA597B"/>
    <w:rsid w:val="00FB1EBE"/>
    <w:rsid w:val="00FB2D87"/>
    <w:rsid w:val="00FC15A4"/>
    <w:rsid w:val="00FC253D"/>
    <w:rsid w:val="00FC3CE1"/>
    <w:rsid w:val="00FC560D"/>
    <w:rsid w:val="00FD0C95"/>
    <w:rsid w:val="00FD2037"/>
    <w:rsid w:val="00FD2F54"/>
    <w:rsid w:val="00FD39E3"/>
    <w:rsid w:val="00FD4418"/>
    <w:rsid w:val="00FD7D95"/>
    <w:rsid w:val="00FE0066"/>
    <w:rsid w:val="00FE0972"/>
    <w:rsid w:val="00FE29E1"/>
    <w:rsid w:val="00FE4A75"/>
    <w:rsid w:val="00FE60A2"/>
    <w:rsid w:val="00FE68B1"/>
    <w:rsid w:val="00FE726D"/>
    <w:rsid w:val="00FF2CB5"/>
    <w:rsid w:val="00FF3893"/>
    <w:rsid w:val="00FF4C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758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CB7"/>
    <w:rPr>
      <w:rFonts w:ascii="Arial" w:eastAsia="SimSun" w:hAnsi="Arial" w:cs="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A260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A260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A2604"/>
    <w:rPr>
      <w:rFonts w:ascii="Tahoma" w:eastAsia="SimSun" w:hAnsi="Tahoma" w:cs="Tahoma"/>
      <w:sz w:val="16"/>
      <w:szCs w:val="16"/>
      <w:lang w:eastAsia="zh-CN"/>
    </w:rPr>
  </w:style>
  <w:style w:type="character" w:styleId="CommentReference">
    <w:name w:val="annotation reference"/>
    <w:basedOn w:val="DefaultParagraphFont"/>
    <w:uiPriority w:val="99"/>
    <w:semiHidden/>
    <w:rsid w:val="006C73E6"/>
    <w:rPr>
      <w:rFonts w:cs="Times New Roman"/>
      <w:sz w:val="16"/>
      <w:szCs w:val="16"/>
    </w:rPr>
  </w:style>
  <w:style w:type="paragraph" w:styleId="CommentText">
    <w:name w:val="annotation text"/>
    <w:basedOn w:val="Normal"/>
    <w:link w:val="CommentTextChar"/>
    <w:uiPriority w:val="99"/>
    <w:semiHidden/>
    <w:rsid w:val="006C73E6"/>
    <w:rPr>
      <w:sz w:val="20"/>
    </w:rPr>
  </w:style>
  <w:style w:type="character" w:customStyle="1" w:styleId="CommentTextChar">
    <w:name w:val="Comment Text Char"/>
    <w:basedOn w:val="DefaultParagraphFont"/>
    <w:link w:val="CommentText"/>
    <w:uiPriority w:val="99"/>
    <w:semiHidden/>
    <w:locked/>
    <w:rsid w:val="006C73E6"/>
    <w:rPr>
      <w:rFonts w:ascii="Arial" w:eastAsia="SimSun" w:hAnsi="Arial" w:cs="Arial"/>
      <w:sz w:val="20"/>
      <w:szCs w:val="20"/>
      <w:lang w:eastAsia="zh-CN"/>
    </w:rPr>
  </w:style>
  <w:style w:type="paragraph" w:styleId="CommentSubject">
    <w:name w:val="annotation subject"/>
    <w:basedOn w:val="CommentText"/>
    <w:next w:val="CommentText"/>
    <w:link w:val="CommentSubjectChar"/>
    <w:uiPriority w:val="99"/>
    <w:semiHidden/>
    <w:rsid w:val="006C73E6"/>
    <w:rPr>
      <w:b/>
      <w:bCs/>
    </w:rPr>
  </w:style>
  <w:style w:type="character" w:customStyle="1" w:styleId="CommentSubjectChar">
    <w:name w:val="Comment Subject Char"/>
    <w:basedOn w:val="CommentTextChar"/>
    <w:link w:val="CommentSubject"/>
    <w:uiPriority w:val="99"/>
    <w:semiHidden/>
    <w:locked/>
    <w:rsid w:val="006C73E6"/>
    <w:rPr>
      <w:rFonts w:ascii="Arial" w:eastAsia="SimSun" w:hAnsi="Arial" w:cs="Arial"/>
      <w:b/>
      <w:bCs/>
      <w:sz w:val="20"/>
      <w:szCs w:val="20"/>
      <w:lang w:eastAsia="zh-CN"/>
    </w:rPr>
  </w:style>
  <w:style w:type="paragraph" w:styleId="Header">
    <w:name w:val="header"/>
    <w:basedOn w:val="Normal"/>
    <w:link w:val="HeaderChar"/>
    <w:uiPriority w:val="99"/>
    <w:rsid w:val="007E2F0D"/>
    <w:pPr>
      <w:tabs>
        <w:tab w:val="center" w:pos="4680"/>
        <w:tab w:val="right" w:pos="9360"/>
      </w:tabs>
    </w:pPr>
  </w:style>
  <w:style w:type="character" w:customStyle="1" w:styleId="HeaderChar">
    <w:name w:val="Header Char"/>
    <w:basedOn w:val="DefaultParagraphFont"/>
    <w:link w:val="Header"/>
    <w:uiPriority w:val="99"/>
    <w:locked/>
    <w:rsid w:val="007E2F0D"/>
    <w:rPr>
      <w:rFonts w:ascii="Arial" w:eastAsia="SimSun" w:hAnsi="Arial" w:cs="Arial"/>
      <w:sz w:val="20"/>
      <w:szCs w:val="20"/>
      <w:lang w:eastAsia="zh-CN"/>
    </w:rPr>
  </w:style>
  <w:style w:type="paragraph" w:styleId="Footer">
    <w:name w:val="footer"/>
    <w:basedOn w:val="Normal"/>
    <w:link w:val="FooterChar"/>
    <w:uiPriority w:val="99"/>
    <w:rsid w:val="007E2F0D"/>
    <w:pPr>
      <w:tabs>
        <w:tab w:val="center" w:pos="4680"/>
        <w:tab w:val="right" w:pos="9360"/>
      </w:tabs>
    </w:pPr>
  </w:style>
  <w:style w:type="character" w:customStyle="1" w:styleId="FooterChar">
    <w:name w:val="Footer Char"/>
    <w:basedOn w:val="DefaultParagraphFont"/>
    <w:link w:val="Footer"/>
    <w:uiPriority w:val="99"/>
    <w:locked/>
    <w:rsid w:val="007E2F0D"/>
    <w:rPr>
      <w:rFonts w:ascii="Arial" w:eastAsia="SimSun" w:hAnsi="Arial" w:cs="Arial"/>
      <w:sz w:val="20"/>
      <w:szCs w:val="20"/>
      <w:lang w:eastAsia="zh-CN"/>
    </w:rPr>
  </w:style>
  <w:style w:type="paragraph" w:styleId="ListParagraph">
    <w:name w:val="List Paragraph"/>
    <w:basedOn w:val="Normal"/>
    <w:uiPriority w:val="34"/>
    <w:qFormat/>
    <w:rsid w:val="00117286"/>
    <w:pPr>
      <w:ind w:left="720"/>
      <w:contextualSpacing/>
    </w:pPr>
  </w:style>
  <w:style w:type="paragraph" w:styleId="FootnoteText">
    <w:name w:val="footnote text"/>
    <w:basedOn w:val="Normal"/>
    <w:link w:val="FootnoteTextChar"/>
    <w:uiPriority w:val="99"/>
    <w:semiHidden/>
    <w:unhideWhenUsed/>
    <w:rsid w:val="001740ED"/>
    <w:rPr>
      <w:sz w:val="20"/>
    </w:rPr>
  </w:style>
  <w:style w:type="character" w:customStyle="1" w:styleId="FootnoteTextChar">
    <w:name w:val="Footnote Text Char"/>
    <w:basedOn w:val="DefaultParagraphFont"/>
    <w:link w:val="FootnoteText"/>
    <w:uiPriority w:val="99"/>
    <w:semiHidden/>
    <w:rsid w:val="001740ED"/>
    <w:rPr>
      <w:rFonts w:ascii="Arial" w:eastAsia="SimSun" w:hAnsi="Arial" w:cs="Arial"/>
      <w:sz w:val="20"/>
      <w:szCs w:val="20"/>
      <w:lang w:eastAsia="zh-CN"/>
    </w:rPr>
  </w:style>
  <w:style w:type="character" w:styleId="FootnoteReference">
    <w:name w:val="footnote reference"/>
    <w:basedOn w:val="DefaultParagraphFont"/>
    <w:uiPriority w:val="99"/>
    <w:unhideWhenUsed/>
    <w:rsid w:val="001740ED"/>
    <w:rPr>
      <w:vertAlign w:val="superscript"/>
    </w:rPr>
  </w:style>
  <w:style w:type="character" w:styleId="Hyperlink">
    <w:name w:val="Hyperlink"/>
    <w:uiPriority w:val="99"/>
    <w:unhideWhenUsed/>
    <w:rsid w:val="00D71B7E"/>
    <w:rPr>
      <w:color w:val="0000FF"/>
      <w:u w:val="single"/>
    </w:rPr>
  </w:style>
  <w:style w:type="character" w:styleId="FollowedHyperlink">
    <w:name w:val="FollowedHyperlink"/>
    <w:basedOn w:val="DefaultParagraphFont"/>
    <w:uiPriority w:val="99"/>
    <w:semiHidden/>
    <w:unhideWhenUsed/>
    <w:rsid w:val="00C63C1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CB7"/>
    <w:rPr>
      <w:rFonts w:ascii="Arial" w:eastAsia="SimSun" w:hAnsi="Arial" w:cs="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A260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A260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A2604"/>
    <w:rPr>
      <w:rFonts w:ascii="Tahoma" w:eastAsia="SimSun" w:hAnsi="Tahoma" w:cs="Tahoma"/>
      <w:sz w:val="16"/>
      <w:szCs w:val="16"/>
      <w:lang w:eastAsia="zh-CN"/>
    </w:rPr>
  </w:style>
  <w:style w:type="character" w:styleId="CommentReference">
    <w:name w:val="annotation reference"/>
    <w:basedOn w:val="DefaultParagraphFont"/>
    <w:uiPriority w:val="99"/>
    <w:semiHidden/>
    <w:rsid w:val="006C73E6"/>
    <w:rPr>
      <w:rFonts w:cs="Times New Roman"/>
      <w:sz w:val="16"/>
      <w:szCs w:val="16"/>
    </w:rPr>
  </w:style>
  <w:style w:type="paragraph" w:styleId="CommentText">
    <w:name w:val="annotation text"/>
    <w:basedOn w:val="Normal"/>
    <w:link w:val="CommentTextChar"/>
    <w:uiPriority w:val="99"/>
    <w:semiHidden/>
    <w:rsid w:val="006C73E6"/>
    <w:rPr>
      <w:sz w:val="20"/>
    </w:rPr>
  </w:style>
  <w:style w:type="character" w:customStyle="1" w:styleId="CommentTextChar">
    <w:name w:val="Comment Text Char"/>
    <w:basedOn w:val="DefaultParagraphFont"/>
    <w:link w:val="CommentText"/>
    <w:uiPriority w:val="99"/>
    <w:semiHidden/>
    <w:locked/>
    <w:rsid w:val="006C73E6"/>
    <w:rPr>
      <w:rFonts w:ascii="Arial" w:eastAsia="SimSun" w:hAnsi="Arial" w:cs="Arial"/>
      <w:sz w:val="20"/>
      <w:szCs w:val="20"/>
      <w:lang w:eastAsia="zh-CN"/>
    </w:rPr>
  </w:style>
  <w:style w:type="paragraph" w:styleId="CommentSubject">
    <w:name w:val="annotation subject"/>
    <w:basedOn w:val="CommentText"/>
    <w:next w:val="CommentText"/>
    <w:link w:val="CommentSubjectChar"/>
    <w:uiPriority w:val="99"/>
    <w:semiHidden/>
    <w:rsid w:val="006C73E6"/>
    <w:rPr>
      <w:b/>
      <w:bCs/>
    </w:rPr>
  </w:style>
  <w:style w:type="character" w:customStyle="1" w:styleId="CommentSubjectChar">
    <w:name w:val="Comment Subject Char"/>
    <w:basedOn w:val="CommentTextChar"/>
    <w:link w:val="CommentSubject"/>
    <w:uiPriority w:val="99"/>
    <w:semiHidden/>
    <w:locked/>
    <w:rsid w:val="006C73E6"/>
    <w:rPr>
      <w:rFonts w:ascii="Arial" w:eastAsia="SimSun" w:hAnsi="Arial" w:cs="Arial"/>
      <w:b/>
      <w:bCs/>
      <w:sz w:val="20"/>
      <w:szCs w:val="20"/>
      <w:lang w:eastAsia="zh-CN"/>
    </w:rPr>
  </w:style>
  <w:style w:type="paragraph" w:styleId="Header">
    <w:name w:val="header"/>
    <w:basedOn w:val="Normal"/>
    <w:link w:val="HeaderChar"/>
    <w:uiPriority w:val="99"/>
    <w:rsid w:val="007E2F0D"/>
    <w:pPr>
      <w:tabs>
        <w:tab w:val="center" w:pos="4680"/>
        <w:tab w:val="right" w:pos="9360"/>
      </w:tabs>
    </w:pPr>
  </w:style>
  <w:style w:type="character" w:customStyle="1" w:styleId="HeaderChar">
    <w:name w:val="Header Char"/>
    <w:basedOn w:val="DefaultParagraphFont"/>
    <w:link w:val="Header"/>
    <w:uiPriority w:val="99"/>
    <w:locked/>
    <w:rsid w:val="007E2F0D"/>
    <w:rPr>
      <w:rFonts w:ascii="Arial" w:eastAsia="SimSun" w:hAnsi="Arial" w:cs="Arial"/>
      <w:sz w:val="20"/>
      <w:szCs w:val="20"/>
      <w:lang w:eastAsia="zh-CN"/>
    </w:rPr>
  </w:style>
  <w:style w:type="paragraph" w:styleId="Footer">
    <w:name w:val="footer"/>
    <w:basedOn w:val="Normal"/>
    <w:link w:val="FooterChar"/>
    <w:uiPriority w:val="99"/>
    <w:rsid w:val="007E2F0D"/>
    <w:pPr>
      <w:tabs>
        <w:tab w:val="center" w:pos="4680"/>
        <w:tab w:val="right" w:pos="9360"/>
      </w:tabs>
    </w:pPr>
  </w:style>
  <w:style w:type="character" w:customStyle="1" w:styleId="FooterChar">
    <w:name w:val="Footer Char"/>
    <w:basedOn w:val="DefaultParagraphFont"/>
    <w:link w:val="Footer"/>
    <w:uiPriority w:val="99"/>
    <w:locked/>
    <w:rsid w:val="007E2F0D"/>
    <w:rPr>
      <w:rFonts w:ascii="Arial" w:eastAsia="SimSun" w:hAnsi="Arial" w:cs="Arial"/>
      <w:sz w:val="20"/>
      <w:szCs w:val="20"/>
      <w:lang w:eastAsia="zh-CN"/>
    </w:rPr>
  </w:style>
  <w:style w:type="paragraph" w:styleId="ListParagraph">
    <w:name w:val="List Paragraph"/>
    <w:basedOn w:val="Normal"/>
    <w:uiPriority w:val="34"/>
    <w:qFormat/>
    <w:rsid w:val="00117286"/>
    <w:pPr>
      <w:ind w:left="720"/>
      <w:contextualSpacing/>
    </w:pPr>
  </w:style>
  <w:style w:type="paragraph" w:styleId="FootnoteText">
    <w:name w:val="footnote text"/>
    <w:basedOn w:val="Normal"/>
    <w:link w:val="FootnoteTextChar"/>
    <w:uiPriority w:val="99"/>
    <w:semiHidden/>
    <w:unhideWhenUsed/>
    <w:rsid w:val="001740ED"/>
    <w:rPr>
      <w:sz w:val="20"/>
    </w:rPr>
  </w:style>
  <w:style w:type="character" w:customStyle="1" w:styleId="FootnoteTextChar">
    <w:name w:val="Footnote Text Char"/>
    <w:basedOn w:val="DefaultParagraphFont"/>
    <w:link w:val="FootnoteText"/>
    <w:uiPriority w:val="99"/>
    <w:semiHidden/>
    <w:rsid w:val="001740ED"/>
    <w:rPr>
      <w:rFonts w:ascii="Arial" w:eastAsia="SimSun" w:hAnsi="Arial" w:cs="Arial"/>
      <w:sz w:val="20"/>
      <w:szCs w:val="20"/>
      <w:lang w:eastAsia="zh-CN"/>
    </w:rPr>
  </w:style>
  <w:style w:type="character" w:styleId="FootnoteReference">
    <w:name w:val="footnote reference"/>
    <w:basedOn w:val="DefaultParagraphFont"/>
    <w:uiPriority w:val="99"/>
    <w:unhideWhenUsed/>
    <w:rsid w:val="001740ED"/>
    <w:rPr>
      <w:vertAlign w:val="superscript"/>
    </w:rPr>
  </w:style>
  <w:style w:type="character" w:styleId="Hyperlink">
    <w:name w:val="Hyperlink"/>
    <w:uiPriority w:val="99"/>
    <w:unhideWhenUsed/>
    <w:rsid w:val="00D71B7E"/>
    <w:rPr>
      <w:color w:val="0000FF"/>
      <w:u w:val="single"/>
    </w:rPr>
  </w:style>
  <w:style w:type="character" w:styleId="FollowedHyperlink">
    <w:name w:val="FollowedHyperlink"/>
    <w:basedOn w:val="DefaultParagraphFont"/>
    <w:uiPriority w:val="99"/>
    <w:semiHidden/>
    <w:unhideWhenUsed/>
    <w:rsid w:val="00C63C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6242">
      <w:bodyDiv w:val="1"/>
      <w:marLeft w:val="0"/>
      <w:marRight w:val="0"/>
      <w:marTop w:val="0"/>
      <w:marBottom w:val="0"/>
      <w:divBdr>
        <w:top w:val="none" w:sz="0" w:space="0" w:color="auto"/>
        <w:left w:val="none" w:sz="0" w:space="0" w:color="auto"/>
        <w:bottom w:val="none" w:sz="0" w:space="0" w:color="auto"/>
        <w:right w:val="none" w:sz="0" w:space="0" w:color="auto"/>
      </w:divBdr>
    </w:div>
    <w:div w:id="316539589">
      <w:bodyDiv w:val="1"/>
      <w:marLeft w:val="0"/>
      <w:marRight w:val="0"/>
      <w:marTop w:val="0"/>
      <w:marBottom w:val="0"/>
      <w:divBdr>
        <w:top w:val="none" w:sz="0" w:space="0" w:color="auto"/>
        <w:left w:val="none" w:sz="0" w:space="0" w:color="auto"/>
        <w:bottom w:val="none" w:sz="0" w:space="0" w:color="auto"/>
        <w:right w:val="none" w:sz="0" w:space="0" w:color="auto"/>
      </w:divBdr>
    </w:div>
    <w:div w:id="337662828">
      <w:bodyDiv w:val="1"/>
      <w:marLeft w:val="0"/>
      <w:marRight w:val="0"/>
      <w:marTop w:val="0"/>
      <w:marBottom w:val="0"/>
      <w:divBdr>
        <w:top w:val="none" w:sz="0" w:space="0" w:color="auto"/>
        <w:left w:val="none" w:sz="0" w:space="0" w:color="auto"/>
        <w:bottom w:val="none" w:sz="0" w:space="0" w:color="auto"/>
        <w:right w:val="none" w:sz="0" w:space="0" w:color="auto"/>
      </w:divBdr>
    </w:div>
    <w:div w:id="446239370">
      <w:bodyDiv w:val="1"/>
      <w:marLeft w:val="0"/>
      <w:marRight w:val="0"/>
      <w:marTop w:val="0"/>
      <w:marBottom w:val="0"/>
      <w:divBdr>
        <w:top w:val="none" w:sz="0" w:space="0" w:color="auto"/>
        <w:left w:val="none" w:sz="0" w:space="0" w:color="auto"/>
        <w:bottom w:val="none" w:sz="0" w:space="0" w:color="auto"/>
        <w:right w:val="none" w:sz="0" w:space="0" w:color="auto"/>
      </w:divBdr>
      <w:divsChild>
        <w:div w:id="33232384">
          <w:marLeft w:val="0"/>
          <w:marRight w:val="0"/>
          <w:marTop w:val="100"/>
          <w:marBottom w:val="100"/>
          <w:divBdr>
            <w:top w:val="none" w:sz="0" w:space="0" w:color="auto"/>
            <w:left w:val="none" w:sz="0" w:space="0" w:color="auto"/>
            <w:bottom w:val="none" w:sz="0" w:space="0" w:color="auto"/>
            <w:right w:val="none" w:sz="0" w:space="0" w:color="auto"/>
          </w:divBdr>
          <w:divsChild>
            <w:div w:id="380180201">
              <w:marLeft w:val="0"/>
              <w:marRight w:val="0"/>
              <w:marTop w:val="0"/>
              <w:marBottom w:val="0"/>
              <w:divBdr>
                <w:top w:val="none" w:sz="0" w:space="0" w:color="auto"/>
                <w:left w:val="none" w:sz="0" w:space="0" w:color="auto"/>
                <w:bottom w:val="none" w:sz="0" w:space="0" w:color="auto"/>
                <w:right w:val="none" w:sz="0" w:space="0" w:color="auto"/>
              </w:divBdr>
              <w:divsChild>
                <w:div w:id="1365908152">
                  <w:marLeft w:val="0"/>
                  <w:marRight w:val="0"/>
                  <w:marTop w:val="0"/>
                  <w:marBottom w:val="0"/>
                  <w:divBdr>
                    <w:top w:val="none" w:sz="0" w:space="0" w:color="auto"/>
                    <w:left w:val="none" w:sz="0" w:space="0" w:color="auto"/>
                    <w:bottom w:val="none" w:sz="0" w:space="0" w:color="auto"/>
                    <w:right w:val="none" w:sz="0" w:space="0" w:color="auto"/>
                  </w:divBdr>
                  <w:divsChild>
                    <w:div w:id="19042926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567069">
      <w:bodyDiv w:val="1"/>
      <w:marLeft w:val="0"/>
      <w:marRight w:val="0"/>
      <w:marTop w:val="0"/>
      <w:marBottom w:val="0"/>
      <w:divBdr>
        <w:top w:val="none" w:sz="0" w:space="0" w:color="auto"/>
        <w:left w:val="none" w:sz="0" w:space="0" w:color="auto"/>
        <w:bottom w:val="none" w:sz="0" w:space="0" w:color="auto"/>
        <w:right w:val="none" w:sz="0" w:space="0" w:color="auto"/>
      </w:divBdr>
    </w:div>
    <w:div w:id="1375694694">
      <w:bodyDiv w:val="1"/>
      <w:marLeft w:val="0"/>
      <w:marRight w:val="0"/>
      <w:marTop w:val="0"/>
      <w:marBottom w:val="0"/>
      <w:divBdr>
        <w:top w:val="none" w:sz="0" w:space="0" w:color="auto"/>
        <w:left w:val="none" w:sz="0" w:space="0" w:color="auto"/>
        <w:bottom w:val="none" w:sz="0" w:space="0" w:color="auto"/>
        <w:right w:val="none" w:sz="0" w:space="0" w:color="auto"/>
      </w:divBdr>
    </w:div>
    <w:div w:id="1382705168">
      <w:bodyDiv w:val="1"/>
      <w:marLeft w:val="0"/>
      <w:marRight w:val="0"/>
      <w:marTop w:val="0"/>
      <w:marBottom w:val="0"/>
      <w:divBdr>
        <w:top w:val="none" w:sz="0" w:space="0" w:color="auto"/>
        <w:left w:val="none" w:sz="0" w:space="0" w:color="auto"/>
        <w:bottom w:val="none" w:sz="0" w:space="0" w:color="auto"/>
        <w:right w:val="none" w:sz="0" w:space="0" w:color="auto"/>
      </w:divBdr>
    </w:div>
    <w:div w:id="1657303191">
      <w:bodyDiv w:val="1"/>
      <w:marLeft w:val="0"/>
      <w:marRight w:val="0"/>
      <w:marTop w:val="0"/>
      <w:marBottom w:val="0"/>
      <w:divBdr>
        <w:top w:val="none" w:sz="0" w:space="0" w:color="auto"/>
        <w:left w:val="none" w:sz="0" w:space="0" w:color="auto"/>
        <w:bottom w:val="none" w:sz="0" w:space="0" w:color="auto"/>
        <w:right w:val="none" w:sz="0" w:space="0" w:color="auto"/>
      </w:divBdr>
    </w:div>
    <w:div w:id="1717897489">
      <w:bodyDiv w:val="1"/>
      <w:marLeft w:val="0"/>
      <w:marRight w:val="0"/>
      <w:marTop w:val="0"/>
      <w:marBottom w:val="0"/>
      <w:divBdr>
        <w:top w:val="none" w:sz="0" w:space="0" w:color="auto"/>
        <w:left w:val="none" w:sz="0" w:space="0" w:color="auto"/>
        <w:bottom w:val="none" w:sz="0" w:space="0" w:color="auto"/>
        <w:right w:val="none" w:sz="0" w:space="0" w:color="auto"/>
      </w:divBdr>
    </w:div>
    <w:div w:id="1873228263">
      <w:bodyDiv w:val="1"/>
      <w:marLeft w:val="0"/>
      <w:marRight w:val="0"/>
      <w:marTop w:val="0"/>
      <w:marBottom w:val="0"/>
      <w:divBdr>
        <w:top w:val="none" w:sz="0" w:space="0" w:color="auto"/>
        <w:left w:val="none" w:sz="0" w:space="0" w:color="auto"/>
        <w:bottom w:val="none" w:sz="0" w:space="0" w:color="auto"/>
        <w:right w:val="none" w:sz="0" w:space="0" w:color="auto"/>
      </w:divBdr>
      <w:divsChild>
        <w:div w:id="172648388">
          <w:marLeft w:val="0"/>
          <w:marRight w:val="0"/>
          <w:marTop w:val="0"/>
          <w:marBottom w:val="0"/>
          <w:divBdr>
            <w:top w:val="none" w:sz="0" w:space="0" w:color="auto"/>
            <w:left w:val="none" w:sz="0" w:space="0" w:color="auto"/>
            <w:bottom w:val="none" w:sz="0" w:space="0" w:color="auto"/>
            <w:right w:val="none" w:sz="0" w:space="0" w:color="auto"/>
          </w:divBdr>
        </w:div>
        <w:div w:id="65687727">
          <w:marLeft w:val="0"/>
          <w:marRight w:val="0"/>
          <w:marTop w:val="0"/>
          <w:marBottom w:val="300"/>
          <w:divBdr>
            <w:top w:val="none" w:sz="0" w:space="0" w:color="auto"/>
            <w:left w:val="none" w:sz="0" w:space="0" w:color="auto"/>
            <w:bottom w:val="none" w:sz="0" w:space="0" w:color="auto"/>
            <w:right w:val="none" w:sz="0" w:space="0" w:color="auto"/>
          </w:divBdr>
        </w:div>
      </w:divsChild>
    </w:div>
    <w:div w:id="194218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tk/es/igc/prepa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BBEB0-487F-4244-9937-696AF9AFD1C6}">
  <ds:schemaRefs>
    <ds:schemaRef ds:uri="http://schemas.openxmlformats.org/officeDocument/2006/bibliography"/>
  </ds:schemaRefs>
</ds:datastoreItem>
</file>

<file path=customXml/itemProps2.xml><?xml version="1.0" encoding="utf-8"?>
<ds:datastoreItem xmlns:ds="http://schemas.openxmlformats.org/officeDocument/2006/customXml" ds:itemID="{CCF4389A-2C7E-4C2D-815B-70E552501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WIPO/IPTK/GE/17/INF/2</vt:lpstr>
    </vt:vector>
  </TitlesOfParts>
  <Company>World Intellectual Property Organization</Company>
  <LinksUpToDate>false</LinksUpToDate>
  <CharactersWithSpaces>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WIPO/IPTK/GE/17/INF/2</dc:title>
  <dc:creator>DIAZ DE ATAURI MATAMALA Inés</dc:creator>
  <dc:description>ID - 2/6/2017</dc:description>
  <cp:lastModifiedBy>BOU LLORET Amparo</cp:lastModifiedBy>
  <cp:revision>3</cp:revision>
  <cp:lastPrinted>2017-06-02T14:48:00Z</cp:lastPrinted>
  <dcterms:created xsi:type="dcterms:W3CDTF">2017-06-02T15:19:00Z</dcterms:created>
  <dcterms:modified xsi:type="dcterms:W3CDTF">2017-06-02T15:21:00Z</dcterms:modified>
</cp:coreProperties>
</file>