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B4A81" w:rsidRPr="00DF78C8" w:rsidTr="000660D5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B4A81" w:rsidRPr="00DF78C8" w:rsidRDefault="005B4A81" w:rsidP="000660D5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B4A81" w:rsidRPr="00DF78C8" w:rsidRDefault="005B4A81" w:rsidP="000660D5">
            <w:pPr>
              <w:rPr>
                <w:lang w:val="fr-FR"/>
              </w:rPr>
            </w:pPr>
            <w:r w:rsidRPr="00DF78C8">
              <w:rPr>
                <w:lang w:val="fr-FR" w:eastAsia="fr-FR"/>
              </w:rPr>
              <w:drawing>
                <wp:inline distT="0" distB="0" distL="0" distR="0" wp14:anchorId="7837154C" wp14:editId="7438F73F">
                  <wp:extent cx="1854835" cy="1326515"/>
                  <wp:effectExtent l="0" t="0" r="0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B4A81" w:rsidRPr="00DF78C8" w:rsidRDefault="005B4A81" w:rsidP="000660D5">
            <w:pPr>
              <w:jc w:val="right"/>
              <w:rPr>
                <w:lang w:val="fr-FR"/>
              </w:rPr>
            </w:pPr>
            <w:r w:rsidRPr="00DF78C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B4A81" w:rsidRPr="00DF78C8" w:rsidTr="000660D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B4A81" w:rsidRPr="00DF78C8" w:rsidRDefault="005B4A81" w:rsidP="005B4A8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DF78C8">
              <w:rPr>
                <w:rFonts w:ascii="Arial Black" w:hAnsi="Arial Black"/>
                <w:caps/>
                <w:sz w:val="15"/>
                <w:lang w:val="fr-FR"/>
              </w:rPr>
              <w:t>WIPO</w:t>
            </w:r>
            <w:proofErr w:type="spellEnd"/>
            <w:r w:rsidRPr="00DF78C8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DF78C8">
              <w:rPr>
                <w:rFonts w:ascii="Arial Black" w:hAnsi="Arial Black"/>
                <w:caps/>
                <w:sz w:val="15"/>
                <w:lang w:val="fr-FR"/>
              </w:rPr>
              <w:t>GRTKF</w:t>
            </w:r>
            <w:proofErr w:type="spellEnd"/>
            <w:r w:rsidRPr="00DF78C8">
              <w:rPr>
                <w:rFonts w:ascii="Arial Black" w:hAnsi="Arial Black"/>
                <w:caps/>
                <w:sz w:val="15"/>
                <w:lang w:val="fr-FR"/>
              </w:rPr>
              <w:t>/IC/32/5</w:t>
            </w:r>
          </w:p>
        </w:tc>
      </w:tr>
      <w:tr w:rsidR="005B4A81" w:rsidRPr="00DF78C8" w:rsidTr="000660D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B4A81" w:rsidRPr="00DF78C8" w:rsidRDefault="005B4A81" w:rsidP="000660D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F78C8">
              <w:rPr>
                <w:rFonts w:ascii="Arial Black" w:hAnsi="Arial Black"/>
                <w:caps/>
                <w:sz w:val="15"/>
                <w:lang w:val="fr-FR"/>
              </w:rPr>
              <w:t>ORIGINAL </w:t>
            </w:r>
            <w:proofErr w:type="gramStart"/>
            <w:r w:rsidRPr="00DF78C8">
              <w:rPr>
                <w:rFonts w:ascii="Arial Black" w:hAnsi="Arial Black"/>
                <w:caps/>
                <w:sz w:val="15"/>
                <w:lang w:val="fr-FR"/>
              </w:rPr>
              <w:t>: anglais</w:t>
            </w:r>
            <w:proofErr w:type="gramEnd"/>
          </w:p>
        </w:tc>
      </w:tr>
      <w:tr w:rsidR="005B4A81" w:rsidRPr="00DF78C8" w:rsidTr="000660D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B4A81" w:rsidRPr="00DF78C8" w:rsidRDefault="005B4A81" w:rsidP="005B4A8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F78C8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DF78C8">
              <w:rPr>
                <w:rFonts w:ascii="Arial Black" w:hAnsi="Arial Black"/>
                <w:caps/>
                <w:sz w:val="15"/>
                <w:lang w:val="fr-FR"/>
              </w:rPr>
              <w:t>: 3</w:t>
            </w:r>
            <w:proofErr w:type="gramEnd"/>
            <w:r w:rsidRPr="00DF78C8">
              <w:rPr>
                <w:rFonts w:ascii="Arial Black" w:hAnsi="Arial Black"/>
                <w:caps/>
                <w:sz w:val="15"/>
                <w:lang w:val="fr-FR"/>
              </w:rPr>
              <w:t> octobre 2016</w:t>
            </w:r>
          </w:p>
        </w:tc>
      </w:tr>
    </w:tbl>
    <w:p w:rsidR="005B4A81" w:rsidRPr="00DF78C8" w:rsidRDefault="005B4A81" w:rsidP="005B4A81">
      <w:pPr>
        <w:rPr>
          <w:lang w:val="fr-FR"/>
        </w:rPr>
      </w:pPr>
    </w:p>
    <w:p w:rsidR="005B4A81" w:rsidRPr="00DF78C8" w:rsidRDefault="005B4A81" w:rsidP="005B4A81">
      <w:pPr>
        <w:rPr>
          <w:lang w:val="fr-FR"/>
        </w:rPr>
      </w:pPr>
    </w:p>
    <w:p w:rsidR="005B4A81" w:rsidRPr="00DF78C8" w:rsidRDefault="005B4A81" w:rsidP="005B4A81">
      <w:pPr>
        <w:rPr>
          <w:lang w:val="fr-FR"/>
        </w:rPr>
      </w:pPr>
    </w:p>
    <w:p w:rsidR="005B4A81" w:rsidRPr="00DF78C8" w:rsidRDefault="005B4A81" w:rsidP="005B4A81">
      <w:pPr>
        <w:rPr>
          <w:lang w:val="fr-FR"/>
        </w:rPr>
      </w:pPr>
    </w:p>
    <w:p w:rsidR="005B4A81" w:rsidRPr="00DF78C8" w:rsidRDefault="005B4A81" w:rsidP="005B4A81">
      <w:pPr>
        <w:rPr>
          <w:lang w:val="fr-FR"/>
        </w:rPr>
      </w:pPr>
    </w:p>
    <w:p w:rsidR="005B4A81" w:rsidRPr="00DF78C8" w:rsidRDefault="005B4A81" w:rsidP="005B4A81">
      <w:pPr>
        <w:rPr>
          <w:b/>
          <w:sz w:val="28"/>
          <w:szCs w:val="28"/>
          <w:lang w:val="fr-FR"/>
        </w:rPr>
      </w:pPr>
      <w:r w:rsidRPr="00DF78C8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5B4A81" w:rsidRPr="00DF78C8" w:rsidRDefault="005B4A81" w:rsidP="005B4A81">
      <w:pPr>
        <w:rPr>
          <w:lang w:val="fr-FR"/>
        </w:rPr>
      </w:pPr>
    </w:p>
    <w:p w:rsidR="005B4A81" w:rsidRPr="00DF78C8" w:rsidRDefault="005B4A81" w:rsidP="005B4A81">
      <w:pPr>
        <w:rPr>
          <w:lang w:val="fr-FR"/>
        </w:rPr>
      </w:pPr>
    </w:p>
    <w:p w:rsidR="005B4A81" w:rsidRPr="00DF78C8" w:rsidRDefault="005B4A81" w:rsidP="005B4A81">
      <w:pPr>
        <w:rPr>
          <w:b/>
          <w:sz w:val="24"/>
          <w:szCs w:val="24"/>
          <w:lang w:val="fr-FR"/>
        </w:rPr>
      </w:pPr>
      <w:r w:rsidRPr="00DF78C8">
        <w:rPr>
          <w:b/>
          <w:sz w:val="24"/>
          <w:szCs w:val="24"/>
          <w:lang w:val="fr-FR"/>
        </w:rPr>
        <w:t>Trentième</w:t>
      </w:r>
      <w:r w:rsidR="009E64AE" w:rsidRPr="00DF78C8">
        <w:rPr>
          <w:b/>
          <w:sz w:val="24"/>
          <w:szCs w:val="24"/>
          <w:lang w:val="fr-FR"/>
        </w:rPr>
        <w:t>-</w:t>
      </w:r>
      <w:r w:rsidRPr="00DF78C8">
        <w:rPr>
          <w:b/>
          <w:sz w:val="24"/>
          <w:szCs w:val="24"/>
          <w:lang w:val="fr-FR"/>
        </w:rPr>
        <w:t>deuxième </w:t>
      </w:r>
      <w:r w:rsidRPr="00DF78C8">
        <w:rPr>
          <w:b/>
          <w:sz w:val="24"/>
          <w:lang w:val="fr-FR"/>
        </w:rPr>
        <w:t>session</w:t>
      </w:r>
    </w:p>
    <w:p w:rsidR="005B4A81" w:rsidRPr="00DF78C8" w:rsidRDefault="005B4A81" w:rsidP="005B4A81">
      <w:pPr>
        <w:rPr>
          <w:b/>
          <w:sz w:val="24"/>
          <w:szCs w:val="24"/>
          <w:lang w:val="fr-FR"/>
        </w:rPr>
      </w:pPr>
      <w:r w:rsidRPr="00DF78C8">
        <w:rPr>
          <w:b/>
          <w:sz w:val="24"/>
          <w:szCs w:val="24"/>
          <w:lang w:val="fr-FR"/>
        </w:rPr>
        <w:t>Genève, 28 novembre</w:t>
      </w:r>
      <w:r w:rsidRPr="00DF78C8">
        <w:rPr>
          <w:b/>
          <w:sz w:val="24"/>
          <w:szCs w:val="22"/>
          <w:lang w:val="fr-FR"/>
        </w:rPr>
        <w:t xml:space="preserve"> – 2 décembre</w:t>
      </w:r>
      <w:r w:rsidRPr="00DF78C8">
        <w:rPr>
          <w:b/>
          <w:sz w:val="24"/>
          <w:szCs w:val="24"/>
          <w:lang w:val="fr-FR"/>
        </w:rPr>
        <w:t> 2016</w:t>
      </w:r>
    </w:p>
    <w:p w:rsidR="005B4A81" w:rsidRPr="00DF78C8" w:rsidRDefault="005B4A81" w:rsidP="005B4A81">
      <w:pPr>
        <w:rPr>
          <w:lang w:val="fr-FR"/>
        </w:rPr>
      </w:pPr>
    </w:p>
    <w:p w:rsidR="005B4A81" w:rsidRPr="00DF78C8" w:rsidRDefault="005B4A81" w:rsidP="005B4A81">
      <w:pPr>
        <w:rPr>
          <w:lang w:val="fr-FR"/>
        </w:rPr>
      </w:pPr>
    </w:p>
    <w:p w:rsidR="005B4A81" w:rsidRPr="00DF78C8" w:rsidRDefault="005B4A81" w:rsidP="005B4A81">
      <w:pPr>
        <w:rPr>
          <w:lang w:val="fr-FR"/>
        </w:rPr>
      </w:pPr>
    </w:p>
    <w:p w:rsidR="00302338" w:rsidRPr="00DF78C8" w:rsidRDefault="00EA4B4C" w:rsidP="00302338">
      <w:pPr>
        <w:rPr>
          <w:caps/>
          <w:szCs w:val="22"/>
          <w:lang w:val="fr-FR"/>
        </w:rPr>
      </w:pPr>
      <w:r w:rsidRPr="00DF78C8">
        <w:rPr>
          <w:caps/>
          <w:lang w:val="fr-FR"/>
        </w:rPr>
        <w:t>L</w:t>
      </w:r>
      <w:r w:rsidRPr="00DF78C8">
        <w:rPr>
          <w:caps/>
          <w:szCs w:val="22"/>
          <w:lang w:val="fr-FR"/>
        </w:rPr>
        <w:t xml:space="preserve">iste indicative des questions non résolues ou en suspens à traiter </w:t>
      </w:r>
      <w:r w:rsidR="00284E63" w:rsidRPr="00DF78C8">
        <w:rPr>
          <w:caps/>
          <w:szCs w:val="22"/>
          <w:lang w:val="fr-FR"/>
        </w:rPr>
        <w:br/>
      </w:r>
      <w:r w:rsidRPr="00DF78C8">
        <w:rPr>
          <w:caps/>
          <w:szCs w:val="22"/>
          <w:lang w:val="fr-FR"/>
        </w:rPr>
        <w:t>ou à régler</w:t>
      </w:r>
    </w:p>
    <w:p w:rsidR="00EA4B4C" w:rsidRPr="00DF78C8" w:rsidRDefault="00EA4B4C" w:rsidP="00302338">
      <w:pPr>
        <w:rPr>
          <w:lang w:val="fr-FR"/>
        </w:rPr>
      </w:pPr>
    </w:p>
    <w:p w:rsidR="00302338" w:rsidRPr="00DF78C8" w:rsidRDefault="00012DA6" w:rsidP="00302338">
      <w:pPr>
        <w:rPr>
          <w:i/>
          <w:lang w:val="fr-FR"/>
        </w:rPr>
      </w:pPr>
      <w:bookmarkStart w:id="1" w:name="Prepared"/>
      <w:bookmarkEnd w:id="1"/>
      <w:r w:rsidRPr="00DF78C8">
        <w:rPr>
          <w:i/>
          <w:lang w:val="fr-FR"/>
        </w:rPr>
        <w:t xml:space="preserve">Document </w:t>
      </w:r>
      <w:r w:rsidR="00EA4B4C" w:rsidRPr="00DF78C8">
        <w:rPr>
          <w:i/>
          <w:lang w:val="fr-FR"/>
        </w:rPr>
        <w:t>établi par le</w:t>
      </w:r>
      <w:r w:rsidR="00472D56" w:rsidRPr="00DF78C8">
        <w:rPr>
          <w:i/>
          <w:lang w:val="fr-FR"/>
        </w:rPr>
        <w:t xml:space="preserve"> Secr</w:t>
      </w:r>
      <w:r w:rsidR="00EA4B4C" w:rsidRPr="00DF78C8">
        <w:rPr>
          <w:i/>
          <w:lang w:val="fr-FR"/>
        </w:rPr>
        <w:t>é</w:t>
      </w:r>
      <w:r w:rsidR="00472D56" w:rsidRPr="00DF78C8">
        <w:rPr>
          <w:i/>
          <w:lang w:val="fr-FR"/>
        </w:rPr>
        <w:t>tariat</w:t>
      </w:r>
    </w:p>
    <w:p w:rsidR="00302338" w:rsidRPr="00DF78C8" w:rsidRDefault="00302338" w:rsidP="00302338">
      <w:pPr>
        <w:rPr>
          <w:lang w:val="fr-FR"/>
        </w:rPr>
      </w:pPr>
    </w:p>
    <w:p w:rsidR="00302338" w:rsidRPr="00DF78C8" w:rsidRDefault="00302338" w:rsidP="00302338">
      <w:pPr>
        <w:rPr>
          <w:lang w:val="fr-FR"/>
        </w:rPr>
      </w:pPr>
    </w:p>
    <w:p w:rsidR="00302338" w:rsidRPr="00DF78C8" w:rsidRDefault="00302338" w:rsidP="00302338">
      <w:pPr>
        <w:rPr>
          <w:lang w:val="fr-FR"/>
        </w:rPr>
      </w:pPr>
      <w:bookmarkStart w:id="2" w:name="_GoBack"/>
      <w:bookmarkEnd w:id="2"/>
    </w:p>
    <w:p w:rsidR="00302338" w:rsidRPr="00DF78C8" w:rsidRDefault="00302338" w:rsidP="00C64FAD">
      <w:pPr>
        <w:tabs>
          <w:tab w:val="left" w:pos="1710"/>
        </w:tabs>
        <w:rPr>
          <w:szCs w:val="22"/>
          <w:lang w:val="fr-FR"/>
        </w:rPr>
      </w:pPr>
    </w:p>
    <w:p w:rsidR="00B37CF9" w:rsidRPr="00DF78C8" w:rsidRDefault="00284E63" w:rsidP="00284E63">
      <w:pPr>
        <w:pStyle w:val="ONUMFS"/>
        <w:rPr>
          <w:lang w:val="fr-FR"/>
        </w:rPr>
      </w:pPr>
      <w:r w:rsidRPr="00DF78C8">
        <w:rPr>
          <w:lang w:val="fr-FR"/>
        </w:rPr>
        <w:t>À sa trente et </w:t>
      </w:r>
      <w:r w:rsidR="007A1D4D" w:rsidRPr="00DF78C8">
        <w:rPr>
          <w:lang w:val="fr-FR"/>
        </w:rPr>
        <w:t>unième</w:t>
      </w:r>
      <w:r w:rsidR="007C594D" w:rsidRPr="00DF78C8">
        <w:rPr>
          <w:lang w:val="fr-FR"/>
        </w:rPr>
        <w:t> </w:t>
      </w:r>
      <w:r w:rsidR="007A1D4D" w:rsidRPr="00DF78C8">
        <w:rPr>
          <w:lang w:val="fr-FR"/>
        </w:rPr>
        <w:t>s</w:t>
      </w:r>
      <w:r w:rsidR="00012DA6" w:rsidRPr="00DF78C8">
        <w:rPr>
          <w:lang w:val="fr-FR"/>
        </w:rPr>
        <w:t xml:space="preserve">ession, </w:t>
      </w:r>
      <w:r w:rsidR="007A1D4D" w:rsidRPr="00DF78C8">
        <w:rPr>
          <w:lang w:val="fr-FR"/>
        </w:rPr>
        <w:t>tenue du 19 au 23 s</w:t>
      </w:r>
      <w:r w:rsidR="000568DF" w:rsidRPr="00DF78C8">
        <w:rPr>
          <w:lang w:val="fr-FR"/>
        </w:rPr>
        <w:t>eptemb</w:t>
      </w:r>
      <w:r w:rsidR="007A1D4D" w:rsidRPr="00DF78C8">
        <w:rPr>
          <w:lang w:val="fr-FR"/>
        </w:rPr>
        <w:t>re </w:t>
      </w:r>
      <w:r w:rsidR="00EE50ED" w:rsidRPr="00DF78C8">
        <w:rPr>
          <w:lang w:val="fr-FR"/>
        </w:rPr>
        <w:t xml:space="preserve">2016, </w:t>
      </w:r>
      <w:r w:rsidR="007A1D4D" w:rsidRPr="00DF78C8">
        <w:rPr>
          <w:lang w:val="fr-FR"/>
        </w:rPr>
        <w:t>le</w:t>
      </w:r>
      <w:r w:rsidR="00012DA6" w:rsidRPr="00DF78C8">
        <w:rPr>
          <w:lang w:val="fr-FR"/>
        </w:rPr>
        <w:t xml:space="preserve"> </w:t>
      </w:r>
      <w:r w:rsidR="007A1D4D" w:rsidRPr="00DF78C8">
        <w:rPr>
          <w:lang w:val="fr-FR"/>
        </w:rPr>
        <w:t xml:space="preserve">Comité intergouvernemental de la propriété intellectuelle relative aux ressources génétiques, aux savoirs traditionnels et au folklore </w:t>
      </w:r>
      <w:r w:rsidR="00D87F5E" w:rsidRPr="00DF78C8">
        <w:rPr>
          <w:lang w:val="fr-FR"/>
        </w:rPr>
        <w:t>de l</w:t>
      </w:r>
      <w:r w:rsidR="009E64AE" w:rsidRPr="00DF78C8">
        <w:rPr>
          <w:lang w:val="fr-FR"/>
        </w:rPr>
        <w:t>’</w:t>
      </w:r>
      <w:r w:rsidR="00D87F5E" w:rsidRPr="00DF78C8">
        <w:rPr>
          <w:lang w:val="fr-FR"/>
        </w:rPr>
        <w:t>OMPI</w:t>
      </w:r>
      <w:r w:rsidR="00012DA6" w:rsidRPr="00DF78C8">
        <w:rPr>
          <w:lang w:val="fr-FR"/>
        </w:rPr>
        <w:t xml:space="preserve"> (</w:t>
      </w:r>
      <w:r w:rsidR="00221E27" w:rsidRPr="00DF78C8">
        <w:rPr>
          <w:lang w:val="fr-FR"/>
        </w:rPr>
        <w:t>“</w:t>
      </w:r>
      <w:r w:rsidR="00D87F5E" w:rsidRPr="00DF78C8">
        <w:rPr>
          <w:lang w:val="fr-FR"/>
        </w:rPr>
        <w:t>comité</w:t>
      </w:r>
      <w:r w:rsidR="00221E27" w:rsidRPr="00DF78C8">
        <w:rPr>
          <w:lang w:val="fr-FR"/>
        </w:rPr>
        <w:t>”</w:t>
      </w:r>
      <w:r w:rsidR="00012DA6" w:rsidRPr="00DF78C8">
        <w:rPr>
          <w:lang w:val="fr-FR"/>
        </w:rPr>
        <w:t xml:space="preserve">) </w:t>
      </w:r>
      <w:r w:rsidR="00D87F5E" w:rsidRPr="00DF78C8">
        <w:rPr>
          <w:lang w:val="fr-FR"/>
        </w:rPr>
        <w:t xml:space="preserve">a </w:t>
      </w:r>
      <w:r w:rsidR="00012DA6" w:rsidRPr="00DF78C8">
        <w:rPr>
          <w:lang w:val="fr-FR"/>
        </w:rPr>
        <w:t>d</w:t>
      </w:r>
      <w:r w:rsidR="00D87F5E" w:rsidRPr="00DF78C8">
        <w:rPr>
          <w:lang w:val="fr-FR"/>
        </w:rPr>
        <w:t>é</w:t>
      </w:r>
      <w:r w:rsidR="00012DA6" w:rsidRPr="00DF78C8">
        <w:rPr>
          <w:lang w:val="fr-FR"/>
        </w:rPr>
        <w:t>cid</w:t>
      </w:r>
      <w:r w:rsidR="00D87F5E" w:rsidRPr="00DF78C8">
        <w:rPr>
          <w:lang w:val="fr-FR"/>
        </w:rPr>
        <w:t xml:space="preserve">é </w:t>
      </w:r>
      <w:r w:rsidR="00012DA6" w:rsidRPr="00DF78C8">
        <w:rPr>
          <w:lang w:val="fr-FR"/>
        </w:rPr>
        <w:t>d</w:t>
      </w:r>
      <w:r w:rsidR="00D87F5E" w:rsidRPr="00DF78C8">
        <w:rPr>
          <w:lang w:val="fr-FR"/>
        </w:rPr>
        <w:t>e</w:t>
      </w:r>
      <w:r w:rsidR="00012DA6" w:rsidRPr="00DF78C8">
        <w:rPr>
          <w:lang w:val="fr-FR"/>
        </w:rPr>
        <w:t xml:space="preserve"> transm</w:t>
      </w:r>
      <w:r w:rsidRPr="00DF78C8">
        <w:rPr>
          <w:lang w:val="fr-FR"/>
        </w:rPr>
        <w:t>ettre à sa trente</w:t>
      </w:r>
      <w:r w:rsidR="005D7222">
        <w:rPr>
          <w:lang w:val="fr-FR"/>
        </w:rPr>
        <w:noBreakHyphen/>
      </w:r>
      <w:r w:rsidR="00D87F5E" w:rsidRPr="00DF78C8">
        <w:rPr>
          <w:lang w:val="fr-FR"/>
        </w:rPr>
        <w:t>deuxième</w:t>
      </w:r>
      <w:r w:rsidR="007C594D" w:rsidRPr="00DF78C8">
        <w:rPr>
          <w:lang w:val="fr-FR"/>
        </w:rPr>
        <w:t> </w:t>
      </w:r>
      <w:r w:rsidR="00D87F5E" w:rsidRPr="00DF78C8">
        <w:rPr>
          <w:lang w:val="fr-FR"/>
        </w:rPr>
        <w:t xml:space="preserve">session une </w:t>
      </w:r>
      <w:r w:rsidR="00012DA6" w:rsidRPr="00DF78C8">
        <w:rPr>
          <w:lang w:val="fr-FR"/>
        </w:rPr>
        <w:t>“</w:t>
      </w:r>
      <w:r w:rsidR="00D87F5E" w:rsidRPr="00DF78C8">
        <w:rPr>
          <w:lang w:val="fr-FR"/>
        </w:rPr>
        <w:t>L</w:t>
      </w:r>
      <w:r w:rsidR="00D87F5E" w:rsidRPr="00DF78C8">
        <w:rPr>
          <w:szCs w:val="22"/>
          <w:lang w:val="fr-FR"/>
        </w:rPr>
        <w:t>iste indicative des questions non résolues ou en suspens à traiter ou à régler à la prochaine session</w:t>
      </w:r>
      <w:r w:rsidR="00012DA6" w:rsidRPr="00DF78C8">
        <w:rPr>
          <w:lang w:val="fr-FR"/>
        </w:rPr>
        <w:t>”</w:t>
      </w:r>
      <w:r w:rsidR="00B86E49" w:rsidRPr="00DF78C8">
        <w:rPr>
          <w:lang w:val="fr-FR"/>
        </w:rPr>
        <w:t xml:space="preserve"> (“</w:t>
      </w:r>
      <w:r w:rsidR="00D87F5E" w:rsidRPr="00DF78C8">
        <w:rPr>
          <w:lang w:val="fr-FR"/>
        </w:rPr>
        <w:t>l</w:t>
      </w:r>
      <w:r w:rsidR="00B86E49" w:rsidRPr="00DF78C8">
        <w:rPr>
          <w:lang w:val="fr-FR"/>
        </w:rPr>
        <w:t>ist</w:t>
      </w:r>
      <w:r w:rsidR="00D87F5E" w:rsidRPr="00DF78C8">
        <w:rPr>
          <w:lang w:val="fr-FR"/>
        </w:rPr>
        <w:t>e</w:t>
      </w:r>
      <w:r w:rsidR="00B86E49" w:rsidRPr="00DF78C8">
        <w:rPr>
          <w:lang w:val="fr-FR"/>
        </w:rPr>
        <w:t>”)</w:t>
      </w:r>
      <w:r w:rsidR="00012DA6" w:rsidRPr="00DF78C8">
        <w:rPr>
          <w:lang w:val="fr-FR"/>
        </w:rPr>
        <w:t xml:space="preserve">, </w:t>
      </w:r>
      <w:r w:rsidR="00D87F5E" w:rsidRPr="00DF78C8">
        <w:rPr>
          <w:lang w:val="fr-FR"/>
        </w:rPr>
        <w:t>qui a été</w:t>
      </w:r>
      <w:r w:rsidR="00012DA6" w:rsidRPr="00DF78C8">
        <w:rPr>
          <w:lang w:val="fr-FR"/>
        </w:rPr>
        <w:t xml:space="preserve"> annex</w:t>
      </w:r>
      <w:r w:rsidR="00D87F5E" w:rsidRPr="00DF78C8">
        <w:rPr>
          <w:lang w:val="fr-FR"/>
        </w:rPr>
        <w:t>é</w:t>
      </w:r>
      <w:r w:rsidR="00012DA6" w:rsidRPr="00DF78C8">
        <w:rPr>
          <w:lang w:val="fr-FR"/>
        </w:rPr>
        <w:t>e</w:t>
      </w:r>
      <w:r w:rsidR="00D87F5E" w:rsidRPr="00DF78C8">
        <w:rPr>
          <w:lang w:val="fr-FR"/>
        </w:rPr>
        <w:t xml:space="preserve"> aux dé</w:t>
      </w:r>
      <w:r w:rsidR="00012DA6" w:rsidRPr="00DF78C8">
        <w:rPr>
          <w:lang w:val="fr-FR"/>
        </w:rPr>
        <w:t xml:space="preserve">cisions </w:t>
      </w:r>
      <w:r w:rsidR="00D87F5E" w:rsidRPr="00DF78C8">
        <w:rPr>
          <w:lang w:val="fr-FR"/>
        </w:rPr>
        <w:t>de la</w:t>
      </w:r>
      <w:r w:rsidR="00012DA6" w:rsidRPr="00DF78C8">
        <w:rPr>
          <w:lang w:val="fr-FR"/>
        </w:rPr>
        <w:t xml:space="preserve"> </w:t>
      </w:r>
      <w:r w:rsidRPr="00DF78C8">
        <w:rPr>
          <w:lang w:val="fr-FR"/>
        </w:rPr>
        <w:t>trente et </w:t>
      </w:r>
      <w:r w:rsidR="00D87F5E" w:rsidRPr="00DF78C8">
        <w:rPr>
          <w:lang w:val="fr-FR"/>
        </w:rPr>
        <w:t>unième</w:t>
      </w:r>
      <w:r w:rsidR="007C594D" w:rsidRPr="00DF78C8">
        <w:rPr>
          <w:lang w:val="fr-FR"/>
        </w:rPr>
        <w:t> </w:t>
      </w:r>
      <w:r w:rsidR="00D87F5E" w:rsidRPr="00DF78C8">
        <w:rPr>
          <w:lang w:val="fr-FR"/>
        </w:rPr>
        <w:t>session du comité.</w:t>
      </w:r>
    </w:p>
    <w:p w:rsidR="00012DA6" w:rsidRPr="00DF78C8" w:rsidRDefault="00D87F5E" w:rsidP="00284E63">
      <w:pPr>
        <w:pStyle w:val="ONUMFS"/>
        <w:rPr>
          <w:lang w:val="fr-FR"/>
        </w:rPr>
      </w:pPr>
      <w:r w:rsidRPr="00DF78C8">
        <w:rPr>
          <w:szCs w:val="22"/>
          <w:lang w:val="fr-FR"/>
        </w:rPr>
        <w:t>Conformément à la décision susmentionnée</w:t>
      </w:r>
      <w:r w:rsidR="00012DA6" w:rsidRPr="00DF78C8">
        <w:rPr>
          <w:lang w:val="fr-FR"/>
        </w:rPr>
        <w:t xml:space="preserve">, </w:t>
      </w:r>
      <w:r w:rsidRPr="00DF78C8">
        <w:rPr>
          <w:lang w:val="fr-FR"/>
        </w:rPr>
        <w:t>la liste est</w:t>
      </w:r>
      <w:r w:rsidR="00012DA6" w:rsidRPr="00DF78C8">
        <w:rPr>
          <w:lang w:val="fr-FR"/>
        </w:rPr>
        <w:t xml:space="preserve"> </w:t>
      </w:r>
      <w:r w:rsidRPr="00DF78C8">
        <w:rPr>
          <w:lang w:val="fr-FR"/>
        </w:rPr>
        <w:t>annexée au</w:t>
      </w:r>
      <w:r w:rsidR="00012DA6" w:rsidRPr="00DF78C8">
        <w:rPr>
          <w:lang w:val="fr-FR"/>
        </w:rPr>
        <w:t xml:space="preserve"> pr</w:t>
      </w:r>
      <w:r w:rsidRPr="00DF78C8">
        <w:rPr>
          <w:lang w:val="fr-FR"/>
        </w:rPr>
        <w:t>é</w:t>
      </w:r>
      <w:r w:rsidR="00012DA6" w:rsidRPr="00DF78C8">
        <w:rPr>
          <w:lang w:val="fr-FR"/>
        </w:rPr>
        <w:t>sent document.</w:t>
      </w:r>
    </w:p>
    <w:p w:rsidR="009E64AE" w:rsidRPr="00DF78C8" w:rsidRDefault="00D87F5E" w:rsidP="00284E63">
      <w:pPr>
        <w:pStyle w:val="ONUMFS"/>
        <w:ind w:left="5533"/>
        <w:rPr>
          <w:i/>
          <w:lang w:val="fr-FR"/>
        </w:rPr>
      </w:pPr>
      <w:r w:rsidRPr="00DF78C8">
        <w:rPr>
          <w:i/>
          <w:lang w:val="fr-FR"/>
        </w:rPr>
        <w:t>Le comité est</w:t>
      </w:r>
      <w:r w:rsidR="00012DA6" w:rsidRPr="00DF78C8">
        <w:rPr>
          <w:i/>
          <w:lang w:val="fr-FR"/>
        </w:rPr>
        <w:t xml:space="preserve"> </w:t>
      </w:r>
      <w:r w:rsidRPr="00DF78C8">
        <w:rPr>
          <w:i/>
          <w:lang w:val="fr-FR"/>
        </w:rPr>
        <w:t>invit</w:t>
      </w:r>
      <w:r w:rsidR="00262A9A">
        <w:rPr>
          <w:i/>
          <w:lang w:val="fr-FR"/>
        </w:rPr>
        <w:t>é</w:t>
      </w:r>
      <w:r w:rsidRPr="00DF78C8">
        <w:rPr>
          <w:i/>
          <w:lang w:val="fr-FR"/>
        </w:rPr>
        <w:t xml:space="preserve"> à prendre</w:t>
      </w:r>
      <w:r w:rsidR="00012DA6" w:rsidRPr="00DF78C8">
        <w:rPr>
          <w:i/>
          <w:lang w:val="fr-FR"/>
        </w:rPr>
        <w:t xml:space="preserve"> note </w:t>
      </w:r>
      <w:r w:rsidRPr="00DF78C8">
        <w:rPr>
          <w:i/>
          <w:lang w:val="fr-FR"/>
        </w:rPr>
        <w:t>de la l</w:t>
      </w:r>
      <w:r w:rsidR="0059616E" w:rsidRPr="00DF78C8">
        <w:rPr>
          <w:i/>
          <w:lang w:val="fr-FR"/>
        </w:rPr>
        <w:t>ist</w:t>
      </w:r>
      <w:r w:rsidRPr="00DF78C8">
        <w:rPr>
          <w:i/>
          <w:lang w:val="fr-FR"/>
        </w:rPr>
        <w:t>e</w:t>
      </w:r>
      <w:r w:rsidR="0059616E" w:rsidRPr="00DF78C8">
        <w:rPr>
          <w:i/>
          <w:lang w:val="fr-FR"/>
        </w:rPr>
        <w:t xml:space="preserve"> </w:t>
      </w:r>
      <w:r w:rsidR="00012DA6" w:rsidRPr="00DF78C8">
        <w:rPr>
          <w:i/>
          <w:lang w:val="fr-FR"/>
        </w:rPr>
        <w:t>conte</w:t>
      </w:r>
      <w:r w:rsidRPr="00DF78C8">
        <w:rPr>
          <w:i/>
          <w:lang w:val="fr-FR"/>
        </w:rPr>
        <w:t>nue dans l</w:t>
      </w:r>
      <w:r w:rsidR="009E64AE" w:rsidRPr="00DF78C8">
        <w:rPr>
          <w:i/>
          <w:lang w:val="fr-FR"/>
        </w:rPr>
        <w:t>’</w:t>
      </w:r>
      <w:r w:rsidRPr="00DF78C8">
        <w:rPr>
          <w:i/>
          <w:lang w:val="fr-FR"/>
        </w:rPr>
        <w:t>a</w:t>
      </w:r>
      <w:r w:rsidR="00012DA6" w:rsidRPr="00DF78C8">
        <w:rPr>
          <w:i/>
          <w:lang w:val="fr-FR"/>
        </w:rPr>
        <w:t>nnex</w:t>
      </w:r>
      <w:r w:rsidRPr="00DF78C8">
        <w:rPr>
          <w:i/>
          <w:lang w:val="fr-FR"/>
        </w:rPr>
        <w:t>e</w:t>
      </w:r>
      <w:r w:rsidR="0059616E" w:rsidRPr="00DF78C8">
        <w:rPr>
          <w:i/>
          <w:lang w:val="fr-FR"/>
        </w:rPr>
        <w:t>.</w:t>
      </w:r>
    </w:p>
    <w:p w:rsidR="00196D1F" w:rsidRPr="00DF78C8" w:rsidRDefault="00196D1F" w:rsidP="00284E63">
      <w:pPr>
        <w:rPr>
          <w:lang w:val="fr-FR"/>
        </w:rPr>
      </w:pPr>
    </w:p>
    <w:p w:rsidR="00284E63" w:rsidRPr="00DF78C8" w:rsidRDefault="00284E63" w:rsidP="00284E63">
      <w:pPr>
        <w:rPr>
          <w:lang w:val="fr-FR"/>
        </w:rPr>
      </w:pPr>
    </w:p>
    <w:p w:rsidR="00302338" w:rsidRPr="00DF78C8" w:rsidRDefault="007A26B9" w:rsidP="00284E63">
      <w:pPr>
        <w:pStyle w:val="Endofdocument-Annex"/>
        <w:rPr>
          <w:color w:val="000000"/>
          <w:szCs w:val="22"/>
          <w:lang w:val="fr-FR"/>
        </w:rPr>
      </w:pPr>
      <w:r w:rsidRPr="00DF78C8">
        <w:rPr>
          <w:szCs w:val="22"/>
          <w:lang w:val="fr-FR"/>
        </w:rPr>
        <w:t>[</w:t>
      </w:r>
      <w:r w:rsidR="00D87F5E" w:rsidRPr="00DF78C8">
        <w:rPr>
          <w:lang w:val="fr-FR"/>
        </w:rPr>
        <w:t>L</w:t>
      </w:r>
      <w:r w:rsidR="009E64AE" w:rsidRPr="00DF78C8">
        <w:rPr>
          <w:lang w:val="fr-FR"/>
        </w:rPr>
        <w:t>’</w:t>
      </w:r>
      <w:r w:rsidR="00D87F5E" w:rsidRPr="00DF78C8">
        <w:rPr>
          <w:lang w:val="fr-FR"/>
        </w:rPr>
        <w:t xml:space="preserve">annexe </w:t>
      </w:r>
      <w:r w:rsidR="00D87F5E" w:rsidRPr="00DF78C8">
        <w:rPr>
          <w:szCs w:val="22"/>
          <w:lang w:val="fr-FR"/>
        </w:rPr>
        <w:t>suit</w:t>
      </w:r>
      <w:r w:rsidRPr="00DF78C8">
        <w:rPr>
          <w:szCs w:val="22"/>
          <w:lang w:val="fr-FR"/>
        </w:rPr>
        <w:t>]</w:t>
      </w:r>
    </w:p>
    <w:p w:rsidR="00BD75DB" w:rsidRPr="00DF78C8" w:rsidRDefault="00BD75DB" w:rsidP="00284E63">
      <w:pPr>
        <w:pStyle w:val="Endofdocument-Annex"/>
        <w:rPr>
          <w:color w:val="000000"/>
          <w:szCs w:val="22"/>
          <w:lang w:val="fr-FR"/>
        </w:rPr>
        <w:sectPr w:rsidR="00BD75DB" w:rsidRPr="00DF78C8" w:rsidSect="00652E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81C72" w:rsidRPr="00DF78C8" w:rsidRDefault="00681C72" w:rsidP="00FE6C6B">
      <w:pPr>
        <w:tabs>
          <w:tab w:val="left" w:pos="1710"/>
        </w:tabs>
        <w:jc w:val="center"/>
        <w:rPr>
          <w:b/>
          <w:color w:val="000000"/>
          <w:szCs w:val="22"/>
          <w:lang w:val="fr-FR"/>
        </w:rPr>
      </w:pPr>
    </w:p>
    <w:p w:rsidR="00302338" w:rsidRPr="00DF78C8" w:rsidRDefault="00FE6C6B" w:rsidP="00FE6C6B">
      <w:pPr>
        <w:tabs>
          <w:tab w:val="left" w:pos="1710"/>
        </w:tabs>
        <w:jc w:val="center"/>
        <w:rPr>
          <w:b/>
          <w:color w:val="000000"/>
          <w:szCs w:val="22"/>
          <w:lang w:val="fr-FR"/>
        </w:rPr>
      </w:pPr>
      <w:r w:rsidRPr="00DF78C8">
        <w:rPr>
          <w:b/>
          <w:color w:val="000000"/>
          <w:szCs w:val="22"/>
          <w:lang w:val="fr-FR"/>
        </w:rPr>
        <w:t>ANNEX</w:t>
      </w:r>
      <w:r w:rsidR="00D87F5E" w:rsidRPr="00DF78C8">
        <w:rPr>
          <w:b/>
          <w:color w:val="000000"/>
          <w:szCs w:val="22"/>
          <w:lang w:val="fr-FR"/>
        </w:rPr>
        <w:t>E</w:t>
      </w:r>
    </w:p>
    <w:p w:rsidR="00FE6C6B" w:rsidRPr="00DF78C8" w:rsidRDefault="00FE6C6B" w:rsidP="00FE6C6B">
      <w:pPr>
        <w:tabs>
          <w:tab w:val="left" w:pos="1710"/>
        </w:tabs>
        <w:jc w:val="center"/>
        <w:rPr>
          <w:b/>
          <w:color w:val="000000"/>
          <w:szCs w:val="22"/>
          <w:lang w:val="fr-FR"/>
        </w:rPr>
      </w:pPr>
    </w:p>
    <w:p w:rsidR="00BD75DB" w:rsidRPr="00DF78C8" w:rsidRDefault="00D87F5E" w:rsidP="00FE6C6B">
      <w:pPr>
        <w:tabs>
          <w:tab w:val="left" w:pos="1710"/>
        </w:tabs>
        <w:jc w:val="center"/>
        <w:rPr>
          <w:b/>
          <w:color w:val="000000"/>
          <w:szCs w:val="22"/>
          <w:lang w:val="fr-FR"/>
        </w:rPr>
      </w:pPr>
      <w:r w:rsidRPr="00DF78C8">
        <w:rPr>
          <w:b/>
          <w:lang w:val="fr-FR"/>
        </w:rPr>
        <w:t>L</w:t>
      </w:r>
      <w:r w:rsidRPr="00DF78C8">
        <w:rPr>
          <w:b/>
          <w:szCs w:val="22"/>
          <w:lang w:val="fr-FR"/>
        </w:rPr>
        <w:t>iste indicative des questions non résolues ou en suspens à traiter ou à régler</w:t>
      </w:r>
    </w:p>
    <w:p w:rsidR="00BD75DB" w:rsidRPr="00DF78C8" w:rsidRDefault="00BD75DB" w:rsidP="00C64FAD">
      <w:pPr>
        <w:tabs>
          <w:tab w:val="left" w:pos="1710"/>
        </w:tabs>
        <w:rPr>
          <w:color w:val="000000"/>
          <w:szCs w:val="22"/>
          <w:lang w:val="fr-FR"/>
        </w:rPr>
      </w:pPr>
    </w:p>
    <w:p w:rsidR="00681C72" w:rsidRPr="00DF78C8" w:rsidRDefault="00681C72" w:rsidP="00C64FAD">
      <w:pPr>
        <w:tabs>
          <w:tab w:val="left" w:pos="1710"/>
        </w:tabs>
        <w:rPr>
          <w:color w:val="000000"/>
          <w:szCs w:val="22"/>
          <w:lang w:val="fr-FR"/>
        </w:rPr>
      </w:pPr>
    </w:p>
    <w:p w:rsidR="00A81A22" w:rsidRPr="00DF78C8" w:rsidRDefault="00A81A22" w:rsidP="00A81A22">
      <w:pPr>
        <w:tabs>
          <w:tab w:val="left" w:pos="2238"/>
        </w:tabs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Usage et signification de certains termes et concepts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Références à la “protection” et aux “savoirs traditionnels protégés” et lien avec les critères à remplir/l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étendue de la protection.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Références à l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“innovation” et à “la création et l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innovation fondées sur la tradition”.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9E64AE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Termes désignant la nature du dommage contre lequel une protection peut être demandée, tels qu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“appropriation illicite”, “utilisation illicite”, “usage non autorisé”, “appropriation illégale” et “appropriation illégitime”.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Termes décrivant ou concernant l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importance de la diffusion des savoirs traditionnels, tels que “domaine public”, “librement accessible”, “secret”, “sacré”, “peu diffusé” et “largement diffusé”.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9E64AE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Termes concernant les bénéficiaires, tels que “[Peuples [autochtones]]”.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Objet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Question de savoir où il convient d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inclure des critères à remplir et de quelle manière.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Question de savoir s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il convient de prévoir des exemples ou des “domaines” de savoirs traditionnels et, dans l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affirmative, lesquels.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Bénéficiaires</w:t>
      </w: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Question de savoir s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il y a lieu d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inclure les termes “nations” et/ou “États”.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Rôle et nature d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une “autorité compétente” en tant que bénéficiaire, le cas échéant.</w:t>
      </w:r>
    </w:p>
    <w:p w:rsidR="00B42F0C" w:rsidRPr="00DF78C8" w:rsidRDefault="00B42F0C" w:rsidP="00B42F0C">
      <w:pPr>
        <w:contextualSpacing/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contextualSpacing/>
        <w:rPr>
          <w:rFonts w:eastAsia="Calibri"/>
          <w:b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Étendue de la protection</w:t>
      </w: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Options “fondées sur des mesures” et/ou “fondées sur des droits”.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Question de savoir si une “approche progressive” est envisageable et, dans l</w:t>
      </w:r>
      <w:r w:rsidR="009E64AE" w:rsidRPr="00DF78C8">
        <w:rPr>
          <w:rFonts w:eastAsia="Calibri"/>
          <w:szCs w:val="22"/>
          <w:lang w:val="fr-FR" w:eastAsia="en-US"/>
        </w:rPr>
        <w:t>’</w:t>
      </w:r>
      <w:r w:rsidRPr="00DF78C8">
        <w:rPr>
          <w:rFonts w:eastAsia="Calibri"/>
          <w:szCs w:val="22"/>
          <w:lang w:val="fr-FR" w:eastAsia="en-US"/>
        </w:rPr>
        <w:t>affirmative, comment il convient de la formuler.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Droits économiques et/ou moraux.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 xml:space="preserve">Rôles, nature et conception des “mesures complémentaires”, </w:t>
      </w:r>
      <w:r w:rsidR="009E64AE" w:rsidRPr="00DF78C8">
        <w:rPr>
          <w:rFonts w:eastAsia="Calibri"/>
          <w:szCs w:val="22"/>
          <w:lang w:val="fr-FR" w:eastAsia="en-US"/>
        </w:rPr>
        <w:t>y compris</w:t>
      </w:r>
      <w:r w:rsidRPr="00DF78C8">
        <w:rPr>
          <w:rFonts w:eastAsia="Calibri"/>
          <w:szCs w:val="22"/>
          <w:lang w:val="fr-FR" w:eastAsia="en-US"/>
        </w:rPr>
        <w:t xml:space="preserve"> des bases de données, le cas échéant.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  <w:r w:rsidRPr="00DF78C8">
        <w:rPr>
          <w:rFonts w:eastAsia="Calibri"/>
          <w:szCs w:val="22"/>
          <w:lang w:val="fr-FR" w:eastAsia="en-US"/>
        </w:rPr>
        <w:t>Exigence de divulgation, et lien possible avec le texte relatif aux ressources génétiques.</w:t>
      </w:r>
    </w:p>
    <w:p w:rsidR="00B42F0C" w:rsidRPr="00DF78C8" w:rsidRDefault="00B42F0C" w:rsidP="00B42F0C">
      <w:pPr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keepNext/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lastRenderedPageBreak/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Exceptions et limitations</w:t>
      </w:r>
      <w:r w:rsidRPr="00DF78C8">
        <w:rPr>
          <w:rFonts w:eastAsia="Calibri"/>
          <w:b/>
          <w:szCs w:val="22"/>
          <w:vertAlign w:val="superscript"/>
          <w:lang w:val="fr-FR" w:eastAsia="en-US"/>
        </w:rPr>
        <w:footnoteReference w:id="2"/>
      </w:r>
    </w:p>
    <w:p w:rsidR="00B42F0C" w:rsidRPr="00DF78C8" w:rsidRDefault="00B42F0C" w:rsidP="00B42F0C">
      <w:pPr>
        <w:keepNext/>
        <w:contextualSpacing/>
        <w:rPr>
          <w:rFonts w:eastAsia="Calibri"/>
          <w:b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Sanctions, moyens de recours et exercice/application des droits</w:t>
      </w: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Administration des droits/intérêts</w:t>
      </w:r>
    </w:p>
    <w:p w:rsidR="00B42F0C" w:rsidRPr="00DF78C8" w:rsidRDefault="00B42F0C" w:rsidP="00B42F0C">
      <w:pPr>
        <w:contextualSpacing/>
        <w:rPr>
          <w:rFonts w:eastAsia="Calibri"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Durée de la protection/des droits</w:t>
      </w:r>
    </w:p>
    <w:p w:rsidR="00B42F0C" w:rsidRPr="00DF78C8" w:rsidRDefault="00B42F0C" w:rsidP="00B42F0C">
      <w:pPr>
        <w:contextualSpacing/>
        <w:rPr>
          <w:rFonts w:eastAsia="Calibri"/>
          <w:b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Formalités</w:t>
      </w:r>
    </w:p>
    <w:p w:rsidR="00B42F0C" w:rsidRPr="00DF78C8" w:rsidRDefault="00B42F0C" w:rsidP="00B42F0C">
      <w:pPr>
        <w:contextualSpacing/>
        <w:rPr>
          <w:rFonts w:eastAsia="Calibri"/>
          <w:b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Mesures de transition</w:t>
      </w:r>
    </w:p>
    <w:p w:rsidR="00B42F0C" w:rsidRPr="00DF78C8" w:rsidRDefault="00B42F0C" w:rsidP="00B42F0C">
      <w:pPr>
        <w:contextualSpacing/>
        <w:rPr>
          <w:rFonts w:eastAsia="Calibri"/>
          <w:b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Lien avec d</w:t>
      </w:r>
      <w:r w:rsidR="009E64AE" w:rsidRPr="00DF78C8">
        <w:rPr>
          <w:rFonts w:eastAsia="Calibri"/>
          <w:b/>
          <w:szCs w:val="22"/>
          <w:lang w:val="fr-FR" w:eastAsia="en-US"/>
        </w:rPr>
        <w:t>’</w:t>
      </w:r>
      <w:r w:rsidRPr="00DF78C8">
        <w:rPr>
          <w:rFonts w:eastAsia="Calibri"/>
          <w:b/>
          <w:szCs w:val="22"/>
          <w:lang w:val="fr-FR" w:eastAsia="en-US"/>
        </w:rPr>
        <w:t>autres arrangements internationaux</w:t>
      </w:r>
    </w:p>
    <w:p w:rsidR="00B42F0C" w:rsidRPr="00DF78C8" w:rsidRDefault="00B42F0C" w:rsidP="00B42F0C">
      <w:pPr>
        <w:contextualSpacing/>
        <w:rPr>
          <w:rFonts w:eastAsia="Calibri"/>
          <w:b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Traitement national</w:t>
      </w:r>
    </w:p>
    <w:p w:rsidR="00B42F0C" w:rsidRPr="00DF78C8" w:rsidRDefault="00B42F0C" w:rsidP="00B42F0C">
      <w:pPr>
        <w:contextualSpacing/>
        <w:rPr>
          <w:rFonts w:eastAsia="Calibri"/>
          <w:b/>
          <w:szCs w:val="22"/>
          <w:lang w:val="fr-FR" w:eastAsia="en-US"/>
        </w:rPr>
      </w:pPr>
    </w:p>
    <w:p w:rsidR="00B42F0C" w:rsidRPr="00DF78C8" w:rsidRDefault="00B42F0C" w:rsidP="00B42F0C">
      <w:pPr>
        <w:rPr>
          <w:rFonts w:eastAsia="Calibri"/>
          <w:b/>
          <w:szCs w:val="22"/>
          <w:lang w:val="fr-FR" w:eastAsia="en-US"/>
        </w:rPr>
      </w:pPr>
      <w:r w:rsidRPr="00DF78C8">
        <w:rPr>
          <w:rFonts w:eastAsia="Calibri"/>
          <w:b/>
          <w:szCs w:val="22"/>
          <w:lang w:val="fr-FR" w:eastAsia="en-US"/>
        </w:rPr>
        <w:fldChar w:fldCharType="begin"/>
      </w:r>
      <w:r w:rsidRPr="00DF78C8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DF78C8">
        <w:rPr>
          <w:rFonts w:eastAsia="Calibri"/>
          <w:b/>
          <w:szCs w:val="22"/>
          <w:lang w:val="fr-FR" w:eastAsia="en-US"/>
        </w:rPr>
        <w:fldChar w:fldCharType="end"/>
      </w:r>
      <w:r w:rsidRPr="00DF78C8">
        <w:rPr>
          <w:rFonts w:eastAsia="Calibri"/>
          <w:b/>
          <w:szCs w:val="22"/>
          <w:lang w:val="fr-FR" w:eastAsia="en-US"/>
        </w:rPr>
        <w:tab/>
        <w:t>Coopération transfrontière</w:t>
      </w:r>
    </w:p>
    <w:p w:rsidR="00B42F0C" w:rsidRPr="00DF78C8" w:rsidRDefault="00B42F0C" w:rsidP="00B42F0C">
      <w:pPr>
        <w:rPr>
          <w:lang w:val="fr-FR"/>
        </w:rPr>
      </w:pPr>
    </w:p>
    <w:p w:rsidR="00B42F0C" w:rsidRPr="00DF78C8" w:rsidRDefault="00B42F0C" w:rsidP="00B42F0C">
      <w:pPr>
        <w:rPr>
          <w:lang w:val="fr-FR"/>
        </w:rPr>
      </w:pPr>
    </w:p>
    <w:p w:rsidR="00B42F0C" w:rsidRPr="00DF78C8" w:rsidRDefault="00B42F0C" w:rsidP="00B42F0C">
      <w:pPr>
        <w:rPr>
          <w:lang w:val="fr-FR"/>
        </w:rPr>
      </w:pPr>
    </w:p>
    <w:p w:rsidR="00B42F0C" w:rsidRPr="00DF78C8" w:rsidRDefault="00B42F0C" w:rsidP="00B42F0C">
      <w:pPr>
        <w:pStyle w:val="Endofdocument-Annex"/>
        <w:rPr>
          <w:lang w:val="fr-FR"/>
        </w:rPr>
      </w:pPr>
      <w:r w:rsidRPr="00DF78C8">
        <w:rPr>
          <w:lang w:val="fr-FR"/>
        </w:rPr>
        <w:t>[Fin de l</w:t>
      </w:r>
      <w:r w:rsidR="009E64AE" w:rsidRPr="00DF78C8">
        <w:rPr>
          <w:lang w:val="fr-FR"/>
        </w:rPr>
        <w:t>’</w:t>
      </w:r>
      <w:r w:rsidRPr="00DF78C8">
        <w:rPr>
          <w:lang w:val="fr-FR"/>
        </w:rPr>
        <w:t>annexe et du document]</w:t>
      </w:r>
    </w:p>
    <w:p w:rsidR="00A81A22" w:rsidRPr="00DF78C8" w:rsidRDefault="00A81A22" w:rsidP="00A81A22">
      <w:pPr>
        <w:rPr>
          <w:rFonts w:eastAsia="Calibri"/>
          <w:b/>
          <w:szCs w:val="22"/>
          <w:lang w:val="fr-FR" w:eastAsia="en-US"/>
        </w:rPr>
      </w:pPr>
    </w:p>
    <w:sectPr w:rsidR="00A81A22" w:rsidRPr="00DF78C8" w:rsidSect="00254456">
      <w:headerReference w:type="default" r:id="rId16"/>
      <w:headerReference w:type="first" r:id="rId17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E6" w:rsidRDefault="00962DE6">
      <w:r>
        <w:separator/>
      </w:r>
    </w:p>
  </w:endnote>
  <w:endnote w:type="continuationSeparator" w:id="0">
    <w:p w:rsidR="00962DE6" w:rsidRDefault="00962DE6">
      <w:r>
        <w:continuationSeparator/>
      </w:r>
    </w:p>
  </w:endnote>
  <w:endnote w:type="continuationNotice" w:id="1">
    <w:p w:rsidR="00DF78C8" w:rsidRDefault="00DF7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9A" w:rsidRDefault="00262A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8" w:rsidRDefault="00DF78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9A" w:rsidRDefault="00262A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E6" w:rsidRDefault="00962DE6">
      <w:r>
        <w:separator/>
      </w:r>
    </w:p>
  </w:footnote>
  <w:footnote w:type="continuationSeparator" w:id="0">
    <w:p w:rsidR="00962DE6" w:rsidRDefault="00962DE6">
      <w:r>
        <w:continuationSeparator/>
      </w:r>
    </w:p>
  </w:footnote>
  <w:footnote w:type="continuationNotice" w:id="1">
    <w:p w:rsidR="00DF78C8" w:rsidRDefault="00DF78C8"/>
  </w:footnote>
  <w:footnote w:id="2">
    <w:p w:rsidR="00B42F0C" w:rsidRPr="00DC1D82" w:rsidRDefault="00B42F0C" w:rsidP="00B42F0C">
      <w:pPr>
        <w:pStyle w:val="FootnoteText"/>
        <w:rPr>
          <w:lang w:val="fr-CH"/>
        </w:rPr>
      </w:pPr>
      <w:r w:rsidRPr="00DC1D82">
        <w:rPr>
          <w:rStyle w:val="FootnoteReference"/>
          <w:lang w:val="fr-CH"/>
        </w:rPr>
        <w:footnoteRef/>
      </w:r>
      <w:r w:rsidRPr="00DC1D82">
        <w:rPr>
          <w:lang w:val="fr-CH"/>
        </w:rPr>
        <w:t xml:space="preserve"> </w:t>
      </w:r>
      <w:r>
        <w:rPr>
          <w:lang w:val="fr-CH"/>
        </w:rPr>
        <w:tab/>
      </w:r>
      <w:r w:rsidRPr="00DC1D82">
        <w:rPr>
          <w:lang w:val="fr-CH"/>
        </w:rPr>
        <w:t>Les points</w:t>
      </w:r>
      <w:r>
        <w:rPr>
          <w:lang w:val="fr-CH"/>
        </w:rPr>
        <w:t> </w:t>
      </w:r>
      <w:r w:rsidRPr="00DC1D82">
        <w:rPr>
          <w:lang w:val="fr-CH"/>
        </w:rPr>
        <w:t>5 à</w:t>
      </w:r>
      <w:r>
        <w:rPr>
          <w:lang w:val="fr-CH"/>
        </w:rPr>
        <w:t> </w:t>
      </w:r>
      <w:r w:rsidRPr="00DC1D82">
        <w:rPr>
          <w:lang w:val="fr-CH"/>
        </w:rPr>
        <w:t>13 n</w:t>
      </w:r>
      <w:r w:rsidR="00A50342">
        <w:rPr>
          <w:lang w:val="fr-CH"/>
        </w:rPr>
        <w:t>’</w:t>
      </w:r>
      <w:r w:rsidRPr="00DC1D82">
        <w:rPr>
          <w:lang w:val="fr-CH"/>
        </w:rPr>
        <w:t>ont pas été examinés à la trente</w:t>
      </w:r>
      <w:r>
        <w:rPr>
          <w:lang w:val="fr-CH"/>
        </w:rPr>
        <w:t> </w:t>
      </w:r>
      <w:r w:rsidRPr="00DC1D82">
        <w:rPr>
          <w:lang w:val="fr-CH"/>
        </w:rPr>
        <w:t>et</w:t>
      </w:r>
      <w:r>
        <w:rPr>
          <w:lang w:val="fr-CH"/>
        </w:rPr>
        <w:t> </w:t>
      </w:r>
      <w:r w:rsidRPr="00DC1D82">
        <w:rPr>
          <w:lang w:val="fr-CH"/>
        </w:rPr>
        <w:t>unième</w:t>
      </w:r>
      <w:r>
        <w:rPr>
          <w:lang w:val="fr-CH"/>
        </w:rPr>
        <w:t> </w:t>
      </w:r>
      <w:r w:rsidRPr="00DC1D82">
        <w:rPr>
          <w:lang w:val="fr-CH"/>
        </w:rPr>
        <w:t>session de l</w:t>
      </w:r>
      <w:r w:rsidR="00A50342">
        <w:rPr>
          <w:lang w:val="fr-CH"/>
        </w:rPr>
        <w:t>’</w:t>
      </w:r>
      <w:proofErr w:type="spellStart"/>
      <w:r w:rsidRPr="00DC1D82">
        <w:rPr>
          <w:lang w:val="fr-CH"/>
        </w:rPr>
        <w:t>IGC</w:t>
      </w:r>
      <w:proofErr w:type="spellEnd"/>
      <w:r w:rsidRPr="00DC1D82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9A" w:rsidRDefault="00262A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</w:t>
    </w:r>
    <w:r w:rsidR="00C85400">
      <w:t>IPO/</w:t>
    </w:r>
    <w:proofErr w:type="spellStart"/>
    <w:r w:rsidR="00C85400">
      <w:t>GRTKF</w:t>
    </w:r>
    <w:proofErr w:type="spellEnd"/>
    <w:r w:rsidR="00C85400">
      <w:t>/IC/30</w:t>
    </w:r>
    <w:r w:rsidR="00DC741C">
      <w:t>/INF/</w:t>
    </w:r>
    <w:r w:rsidR="00876D50">
      <w:t>10</w:t>
    </w:r>
  </w:p>
  <w:p w:rsidR="00B554CF" w:rsidRDefault="00B554CF" w:rsidP="00254151">
    <w:pPr>
      <w:jc w:val="right"/>
    </w:pPr>
    <w:proofErr w:type="gramStart"/>
    <w:r>
      <w:t>page</w:t>
    </w:r>
    <w:proofErr w:type="gramEnd"/>
    <w:r w:rsidR="00262A9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040AF">
      <w:rPr>
        <w:noProof/>
      </w:rPr>
      <w:t>1</w:t>
    </w:r>
    <w:r>
      <w:fldChar w:fldCharType="end"/>
    </w:r>
  </w:p>
  <w:p w:rsidR="00B554CF" w:rsidRDefault="00B554CF" w:rsidP="0025415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9A" w:rsidRDefault="00262A9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56" w:rsidRDefault="00254456" w:rsidP="00254151">
    <w:pPr>
      <w:jc w:val="right"/>
    </w:pPr>
    <w:r>
      <w:t>W</w:t>
    </w:r>
    <w:r w:rsidR="00A81A22">
      <w:t>IPO/</w:t>
    </w:r>
    <w:proofErr w:type="spellStart"/>
    <w:r w:rsidR="00A81A22">
      <w:t>GRTKF</w:t>
    </w:r>
    <w:proofErr w:type="spellEnd"/>
    <w:r w:rsidR="00A81A22">
      <w:t>/IC/32</w:t>
    </w:r>
    <w:r w:rsidR="00F9799A">
      <w:t>/</w:t>
    </w:r>
    <w:r w:rsidR="004C2E5C">
      <w:t>5</w:t>
    </w:r>
  </w:p>
  <w:p w:rsidR="00254456" w:rsidRDefault="002F5442" w:rsidP="00254151">
    <w:pPr>
      <w:jc w:val="right"/>
    </w:pPr>
    <w:proofErr w:type="spellStart"/>
    <w:r>
      <w:t>Annex</w:t>
    </w:r>
    <w:r w:rsidR="00284E63">
      <w:t>e</w:t>
    </w:r>
    <w:proofErr w:type="spellEnd"/>
    <w:r>
      <w:t xml:space="preserve">, </w:t>
    </w:r>
    <w:r w:rsidR="00254456">
      <w:t>page</w:t>
    </w:r>
    <w:r w:rsidR="00284E63">
      <w:t> </w:t>
    </w:r>
    <w:r w:rsidR="00254456">
      <w:fldChar w:fldCharType="begin"/>
    </w:r>
    <w:r w:rsidR="00254456">
      <w:instrText xml:space="preserve"> PAGE  \* MERGEFORMAT </w:instrText>
    </w:r>
    <w:r w:rsidR="00254456">
      <w:fldChar w:fldCharType="separate"/>
    </w:r>
    <w:r w:rsidR="005D7222">
      <w:rPr>
        <w:noProof/>
      </w:rPr>
      <w:t>2</w:t>
    </w:r>
    <w:r w:rsidR="00254456">
      <w:fldChar w:fldCharType="end"/>
    </w:r>
  </w:p>
  <w:p w:rsidR="007A006C" w:rsidRDefault="007A006C" w:rsidP="00254151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DB" w:rsidRDefault="00BD75DB">
    <w:pPr>
      <w:pStyle w:val="Header"/>
    </w:pPr>
  </w:p>
  <w:p w:rsidR="00BD75DB" w:rsidRDefault="00C85400" w:rsidP="00BD75DB">
    <w:pPr>
      <w:pStyle w:val="Header"/>
      <w:jc w:val="right"/>
    </w:pPr>
    <w:r>
      <w:t>WIPO</w:t>
    </w:r>
    <w:r w:rsidR="00A81A22">
      <w:t>/</w:t>
    </w:r>
    <w:proofErr w:type="spellStart"/>
    <w:r w:rsidR="00A81A22">
      <w:t>GRTKF</w:t>
    </w:r>
    <w:proofErr w:type="spellEnd"/>
    <w:r w:rsidR="00A81A22">
      <w:t>/IC/32</w:t>
    </w:r>
    <w:r w:rsidR="00F9799A">
      <w:t>/</w:t>
    </w:r>
    <w:r w:rsidR="00012DA6">
      <w:t>5</w:t>
    </w:r>
  </w:p>
  <w:p w:rsidR="00BD75DB" w:rsidRDefault="00254456" w:rsidP="00BD75DB">
    <w:pPr>
      <w:pStyle w:val="Header"/>
      <w:jc w:val="right"/>
    </w:pPr>
    <w:proofErr w:type="spellStart"/>
    <w:r>
      <w:t>ANNEX</w:t>
    </w:r>
    <w:r w:rsidR="00B42F0C">
      <w:t>E</w:t>
    </w:r>
    <w:proofErr w:type="spellEnd"/>
  </w:p>
  <w:p w:rsidR="00BD75DB" w:rsidRDefault="00BD75DB" w:rsidP="00BD75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EEC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81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11">
    <w:nsid w:val="75D11C28"/>
    <w:multiLevelType w:val="multilevel"/>
    <w:tmpl w:val="CCEAE01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12DA6"/>
    <w:rsid w:val="00014859"/>
    <w:rsid w:val="00015131"/>
    <w:rsid w:val="00015B1E"/>
    <w:rsid w:val="000179DF"/>
    <w:rsid w:val="00021326"/>
    <w:rsid w:val="00035147"/>
    <w:rsid w:val="000568DF"/>
    <w:rsid w:val="00067BE6"/>
    <w:rsid w:val="000751E6"/>
    <w:rsid w:val="00082CE5"/>
    <w:rsid w:val="00094BED"/>
    <w:rsid w:val="00094DB0"/>
    <w:rsid w:val="000A7863"/>
    <w:rsid w:val="000F5E56"/>
    <w:rsid w:val="00122DF0"/>
    <w:rsid w:val="00144226"/>
    <w:rsid w:val="00181F91"/>
    <w:rsid w:val="00194282"/>
    <w:rsid w:val="00196D1F"/>
    <w:rsid w:val="001D4831"/>
    <w:rsid w:val="001D6B66"/>
    <w:rsid w:val="001E6B0C"/>
    <w:rsid w:val="001E71FA"/>
    <w:rsid w:val="00221E27"/>
    <w:rsid w:val="00227F28"/>
    <w:rsid w:val="00237730"/>
    <w:rsid w:val="00247EB0"/>
    <w:rsid w:val="00254151"/>
    <w:rsid w:val="00254456"/>
    <w:rsid w:val="00262A9A"/>
    <w:rsid w:val="0027424D"/>
    <w:rsid w:val="00284E63"/>
    <w:rsid w:val="00286A5B"/>
    <w:rsid w:val="0029132D"/>
    <w:rsid w:val="002C2E20"/>
    <w:rsid w:val="002D7D9B"/>
    <w:rsid w:val="002E5A9C"/>
    <w:rsid w:val="002E6FFB"/>
    <w:rsid w:val="002F0D78"/>
    <w:rsid w:val="002F36EE"/>
    <w:rsid w:val="002F5442"/>
    <w:rsid w:val="00300E66"/>
    <w:rsid w:val="00302338"/>
    <w:rsid w:val="00321D0C"/>
    <w:rsid w:val="00322EBF"/>
    <w:rsid w:val="00337B8D"/>
    <w:rsid w:val="00353B44"/>
    <w:rsid w:val="00360FC1"/>
    <w:rsid w:val="003701F0"/>
    <w:rsid w:val="00383EE4"/>
    <w:rsid w:val="00395756"/>
    <w:rsid w:val="003A7431"/>
    <w:rsid w:val="003B1E1C"/>
    <w:rsid w:val="003C631D"/>
    <w:rsid w:val="003D778B"/>
    <w:rsid w:val="00420E89"/>
    <w:rsid w:val="00431118"/>
    <w:rsid w:val="00432381"/>
    <w:rsid w:val="004406CC"/>
    <w:rsid w:val="0044605A"/>
    <w:rsid w:val="0045393A"/>
    <w:rsid w:val="00461BBE"/>
    <w:rsid w:val="00472D56"/>
    <w:rsid w:val="0049441F"/>
    <w:rsid w:val="004C2E5C"/>
    <w:rsid w:val="004D1E94"/>
    <w:rsid w:val="004D66C5"/>
    <w:rsid w:val="004F1EE8"/>
    <w:rsid w:val="00501A0D"/>
    <w:rsid w:val="0050773F"/>
    <w:rsid w:val="00523B06"/>
    <w:rsid w:val="00535AF3"/>
    <w:rsid w:val="00544CAE"/>
    <w:rsid w:val="00551AA3"/>
    <w:rsid w:val="005540A9"/>
    <w:rsid w:val="0059616E"/>
    <w:rsid w:val="005A24B5"/>
    <w:rsid w:val="005B4A81"/>
    <w:rsid w:val="005C16F6"/>
    <w:rsid w:val="005C6173"/>
    <w:rsid w:val="005D0BEE"/>
    <w:rsid w:val="005D51DD"/>
    <w:rsid w:val="005D6E66"/>
    <w:rsid w:val="005D7222"/>
    <w:rsid w:val="005E7B07"/>
    <w:rsid w:val="00602B74"/>
    <w:rsid w:val="00606FE3"/>
    <w:rsid w:val="00627A7D"/>
    <w:rsid w:val="00637896"/>
    <w:rsid w:val="00644A2F"/>
    <w:rsid w:val="00651EE9"/>
    <w:rsid w:val="006521AF"/>
    <w:rsid w:val="00652E28"/>
    <w:rsid w:val="00665431"/>
    <w:rsid w:val="00674331"/>
    <w:rsid w:val="00675CC0"/>
    <w:rsid w:val="006775E8"/>
    <w:rsid w:val="00680C65"/>
    <w:rsid w:val="00681C72"/>
    <w:rsid w:val="0068489B"/>
    <w:rsid w:val="00687A88"/>
    <w:rsid w:val="00690E41"/>
    <w:rsid w:val="00691CBB"/>
    <w:rsid w:val="006A53DC"/>
    <w:rsid w:val="006B7E9D"/>
    <w:rsid w:val="006D0308"/>
    <w:rsid w:val="006E1AAE"/>
    <w:rsid w:val="006F44BF"/>
    <w:rsid w:val="00704A79"/>
    <w:rsid w:val="00731B4E"/>
    <w:rsid w:val="0073419F"/>
    <w:rsid w:val="00735934"/>
    <w:rsid w:val="007779AD"/>
    <w:rsid w:val="007A006C"/>
    <w:rsid w:val="007A1008"/>
    <w:rsid w:val="007A1D4D"/>
    <w:rsid w:val="007A1EDB"/>
    <w:rsid w:val="007A26B9"/>
    <w:rsid w:val="007A4D7F"/>
    <w:rsid w:val="007A6B90"/>
    <w:rsid w:val="007A6BEC"/>
    <w:rsid w:val="007B1607"/>
    <w:rsid w:val="007B240C"/>
    <w:rsid w:val="007C594D"/>
    <w:rsid w:val="007C6CF3"/>
    <w:rsid w:val="007C7BE0"/>
    <w:rsid w:val="007D469D"/>
    <w:rsid w:val="007D53C7"/>
    <w:rsid w:val="007D7E3E"/>
    <w:rsid w:val="007F51EE"/>
    <w:rsid w:val="00801B37"/>
    <w:rsid w:val="00804DB7"/>
    <w:rsid w:val="00807DFC"/>
    <w:rsid w:val="008246AA"/>
    <w:rsid w:val="00850506"/>
    <w:rsid w:val="008718D4"/>
    <w:rsid w:val="00876D50"/>
    <w:rsid w:val="00887CEB"/>
    <w:rsid w:val="00890CB5"/>
    <w:rsid w:val="008933E6"/>
    <w:rsid w:val="008965F9"/>
    <w:rsid w:val="008A3699"/>
    <w:rsid w:val="008A5CE8"/>
    <w:rsid w:val="008D515A"/>
    <w:rsid w:val="008D7485"/>
    <w:rsid w:val="008D7EE2"/>
    <w:rsid w:val="008F341D"/>
    <w:rsid w:val="008F4C33"/>
    <w:rsid w:val="009002B7"/>
    <w:rsid w:val="009054A3"/>
    <w:rsid w:val="00907722"/>
    <w:rsid w:val="009108E7"/>
    <w:rsid w:val="00924653"/>
    <w:rsid w:val="009277F7"/>
    <w:rsid w:val="00962DE6"/>
    <w:rsid w:val="00966839"/>
    <w:rsid w:val="0098646B"/>
    <w:rsid w:val="0098770C"/>
    <w:rsid w:val="009A16D0"/>
    <w:rsid w:val="009B3676"/>
    <w:rsid w:val="009D3475"/>
    <w:rsid w:val="009D7A5F"/>
    <w:rsid w:val="009E2349"/>
    <w:rsid w:val="009E4902"/>
    <w:rsid w:val="009E64AE"/>
    <w:rsid w:val="009F197B"/>
    <w:rsid w:val="00A13056"/>
    <w:rsid w:val="00A23D3F"/>
    <w:rsid w:val="00A25B71"/>
    <w:rsid w:val="00A261A7"/>
    <w:rsid w:val="00A272CE"/>
    <w:rsid w:val="00A45A0C"/>
    <w:rsid w:val="00A50342"/>
    <w:rsid w:val="00A54040"/>
    <w:rsid w:val="00A654D7"/>
    <w:rsid w:val="00A81A22"/>
    <w:rsid w:val="00A81D35"/>
    <w:rsid w:val="00A9758A"/>
    <w:rsid w:val="00AA064C"/>
    <w:rsid w:val="00AC0982"/>
    <w:rsid w:val="00AD1D1E"/>
    <w:rsid w:val="00AE75AA"/>
    <w:rsid w:val="00AF518D"/>
    <w:rsid w:val="00AF5FCC"/>
    <w:rsid w:val="00AF7FAF"/>
    <w:rsid w:val="00B040AF"/>
    <w:rsid w:val="00B04B82"/>
    <w:rsid w:val="00B129A0"/>
    <w:rsid w:val="00B32AD0"/>
    <w:rsid w:val="00B37CF9"/>
    <w:rsid w:val="00B41C4B"/>
    <w:rsid w:val="00B42DC6"/>
    <w:rsid w:val="00B42F0C"/>
    <w:rsid w:val="00B47038"/>
    <w:rsid w:val="00B554CF"/>
    <w:rsid w:val="00B55F29"/>
    <w:rsid w:val="00B7641F"/>
    <w:rsid w:val="00B7724D"/>
    <w:rsid w:val="00B824E7"/>
    <w:rsid w:val="00B827E5"/>
    <w:rsid w:val="00B84566"/>
    <w:rsid w:val="00B86E49"/>
    <w:rsid w:val="00BD75DB"/>
    <w:rsid w:val="00BE28F9"/>
    <w:rsid w:val="00BF0477"/>
    <w:rsid w:val="00BF31D2"/>
    <w:rsid w:val="00C10995"/>
    <w:rsid w:val="00C17D04"/>
    <w:rsid w:val="00C17FD0"/>
    <w:rsid w:val="00C20F26"/>
    <w:rsid w:val="00C451E7"/>
    <w:rsid w:val="00C47A5D"/>
    <w:rsid w:val="00C52F14"/>
    <w:rsid w:val="00C64FAD"/>
    <w:rsid w:val="00C85400"/>
    <w:rsid w:val="00C948E4"/>
    <w:rsid w:val="00CB185B"/>
    <w:rsid w:val="00CD51CE"/>
    <w:rsid w:val="00CD65AB"/>
    <w:rsid w:val="00CE5669"/>
    <w:rsid w:val="00CE5A88"/>
    <w:rsid w:val="00D21685"/>
    <w:rsid w:val="00D21781"/>
    <w:rsid w:val="00D319B9"/>
    <w:rsid w:val="00D34CBD"/>
    <w:rsid w:val="00D37D1F"/>
    <w:rsid w:val="00D43A36"/>
    <w:rsid w:val="00D542B1"/>
    <w:rsid w:val="00D61B5C"/>
    <w:rsid w:val="00D62EC4"/>
    <w:rsid w:val="00D734A0"/>
    <w:rsid w:val="00D740C6"/>
    <w:rsid w:val="00D87F5E"/>
    <w:rsid w:val="00DA0FAF"/>
    <w:rsid w:val="00DB3C04"/>
    <w:rsid w:val="00DC5988"/>
    <w:rsid w:val="00DC741C"/>
    <w:rsid w:val="00DD4D2C"/>
    <w:rsid w:val="00DF0DC2"/>
    <w:rsid w:val="00DF404E"/>
    <w:rsid w:val="00DF78C8"/>
    <w:rsid w:val="00E0131E"/>
    <w:rsid w:val="00E060D5"/>
    <w:rsid w:val="00E84318"/>
    <w:rsid w:val="00EA4B4C"/>
    <w:rsid w:val="00EB480A"/>
    <w:rsid w:val="00EC26DF"/>
    <w:rsid w:val="00EE2057"/>
    <w:rsid w:val="00EE41CA"/>
    <w:rsid w:val="00EE50ED"/>
    <w:rsid w:val="00F03CD6"/>
    <w:rsid w:val="00F214E8"/>
    <w:rsid w:val="00F24946"/>
    <w:rsid w:val="00F27D33"/>
    <w:rsid w:val="00F34D18"/>
    <w:rsid w:val="00F53F8E"/>
    <w:rsid w:val="00F61124"/>
    <w:rsid w:val="00F86F78"/>
    <w:rsid w:val="00F9799A"/>
    <w:rsid w:val="00FA0180"/>
    <w:rsid w:val="00FB1136"/>
    <w:rsid w:val="00FB3CD2"/>
    <w:rsid w:val="00FD3923"/>
    <w:rsid w:val="00FE3275"/>
    <w:rsid w:val="00FE6C6B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Endofdocument-Annex">
    <w:name w:val="[End of document - Annex]"/>
    <w:basedOn w:val="Normal"/>
    <w:rsid w:val="00B42F0C"/>
    <w:pPr>
      <w:ind w:left="5534"/>
    </w:pPr>
  </w:style>
  <w:style w:type="character" w:styleId="Hyperlink">
    <w:name w:val="Hyperlink"/>
    <w:basedOn w:val="DefaultParagraphFont"/>
    <w:rsid w:val="00DF78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Endofdocument-Annex">
    <w:name w:val="[End of document - Annex]"/>
    <w:basedOn w:val="Normal"/>
    <w:rsid w:val="00B42F0C"/>
    <w:pPr>
      <w:ind w:left="5534"/>
    </w:pPr>
  </w:style>
  <w:style w:type="character" w:styleId="Hyperlink">
    <w:name w:val="Hyperlink"/>
    <w:basedOn w:val="DefaultParagraphFont"/>
    <w:rsid w:val="00DF78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9A32-0C40-4014-81C8-0401C34E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OLIVIÉ Karen</cp:lastModifiedBy>
  <cp:revision>11</cp:revision>
  <cp:lastPrinted>2016-10-11T13:41:00Z</cp:lastPrinted>
  <dcterms:created xsi:type="dcterms:W3CDTF">2016-10-11T13:36:00Z</dcterms:created>
  <dcterms:modified xsi:type="dcterms:W3CDTF">2016-10-11T13:47:00Z</dcterms:modified>
</cp:coreProperties>
</file>