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eastAsia="fr-FR"/>
              </w:rPr>
              <w:drawing>
                <wp:inline distT="0" distB="0" distL="0" distR="0" wp14:anchorId="003C18CA" wp14:editId="1C8FA0C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WIPO/GRTKF/IC/</w:t>
            </w:r>
            <w:r w:rsidR="00AE5194" w:rsidRPr="00E8642C">
              <w:rPr>
                <w:rFonts w:ascii="Arial Black" w:hAnsi="Arial Black"/>
                <w:caps/>
                <w:sz w:val="15"/>
              </w:rPr>
              <w:t>3</w:t>
            </w:r>
            <w:r w:rsidR="002B36FC" w:rsidRPr="00E8642C">
              <w:rPr>
                <w:rFonts w:ascii="Arial Black" w:hAnsi="Arial Black"/>
                <w:caps/>
                <w:sz w:val="15"/>
              </w:rPr>
              <w:t>5</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C33F04" w:rsidRPr="00E8642C">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DATE</w:t>
            </w:r>
            <w:r w:rsidR="00C33F04" w:rsidRPr="00E8642C">
              <w:rPr>
                <w:rFonts w:ascii="Arial Black" w:hAnsi="Arial Black"/>
                <w:caps/>
                <w:sz w:val="15"/>
              </w:rPr>
              <w:t> :</w:t>
            </w:r>
            <w:r w:rsidRPr="00E8642C">
              <w:rPr>
                <w:rFonts w:ascii="Arial Black" w:hAnsi="Arial Black"/>
                <w:caps/>
                <w:sz w:val="15"/>
              </w:rPr>
              <w:t xml:space="preserve"> </w:t>
            </w:r>
            <w:r w:rsidR="002B36FC" w:rsidRPr="00E8642C">
              <w:rPr>
                <w:rFonts w:ascii="Arial Black" w:hAnsi="Arial Black"/>
                <w:caps/>
                <w:sz w:val="15"/>
              </w:rPr>
              <w:t>1</w:t>
            </w:r>
            <w:r w:rsidR="00C33F04" w:rsidRPr="00E8642C">
              <w:rPr>
                <w:rFonts w:ascii="Arial Black" w:hAnsi="Arial Black"/>
                <w:caps/>
                <w:sz w:val="15"/>
              </w:rPr>
              <w:t>6 janvier 20</w:t>
            </w:r>
            <w:r w:rsidR="00AE5194" w:rsidRPr="00E8642C">
              <w:rPr>
                <w:rFonts w:ascii="Arial Black" w:hAnsi="Arial Black"/>
                <w:caps/>
                <w:sz w:val="15"/>
              </w:rPr>
              <w:t>1</w:t>
            </w:r>
            <w:r w:rsidR="002B36FC" w:rsidRPr="00E8642C">
              <w:rPr>
                <w:rFonts w:ascii="Arial Black" w:hAnsi="Arial Black"/>
                <w:caps/>
                <w:sz w:val="15"/>
              </w:rPr>
              <w:t>8</w:t>
            </w:r>
          </w:p>
        </w:tc>
      </w:tr>
    </w:tbl>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rPr>
          <w:rFonts w:cs="Arial"/>
          <w:b/>
          <w:sz w:val="28"/>
          <w:szCs w:val="28"/>
        </w:rPr>
      </w:pPr>
      <w:r w:rsidRPr="00E8642C">
        <w:rPr>
          <w:rFonts w:cs="Arial"/>
          <w:b/>
          <w:sz w:val="28"/>
          <w:szCs w:val="28"/>
        </w:rPr>
        <w:t>Comité intergouvernemental de la propriété intellectuelle relative aux ressources génétiques, aux savoirs traditionnels et au folklore</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5D4EE8" w:rsidP="00EF6794">
      <w:pPr>
        <w:rPr>
          <w:rFonts w:cs="Arial"/>
          <w:b/>
          <w:sz w:val="24"/>
          <w:szCs w:val="24"/>
        </w:rPr>
      </w:pPr>
      <w:r w:rsidRPr="00E8642C">
        <w:rPr>
          <w:rFonts w:cs="Arial"/>
          <w:b/>
          <w:sz w:val="24"/>
          <w:szCs w:val="24"/>
        </w:rPr>
        <w:t>Trent</w:t>
      </w:r>
      <w:r w:rsidR="00AE66F5" w:rsidRPr="00E8642C">
        <w:rPr>
          <w:rFonts w:cs="Arial"/>
          <w:b/>
          <w:sz w:val="24"/>
          <w:szCs w:val="24"/>
        </w:rPr>
        <w:t>e</w:t>
      </w:r>
      <w:r w:rsidR="001039BD">
        <w:rPr>
          <w:rFonts w:cs="Arial"/>
          <w:b/>
          <w:sz w:val="24"/>
          <w:szCs w:val="24"/>
        </w:rPr>
        <w:noBreakHyphen/>
      </w:r>
      <w:r w:rsidR="002B36FC" w:rsidRPr="00E8642C">
        <w:rPr>
          <w:rFonts w:cs="Arial"/>
          <w:b/>
          <w:sz w:val="24"/>
          <w:szCs w:val="24"/>
        </w:rPr>
        <w:t>cinqu</w:t>
      </w:r>
      <w:r w:rsidR="00C33F04" w:rsidRPr="00E8642C">
        <w:rPr>
          <w:rFonts w:cs="Arial"/>
          <w:b/>
          <w:sz w:val="24"/>
          <w:szCs w:val="24"/>
        </w:rPr>
        <w:t>ième session</w:t>
      </w:r>
    </w:p>
    <w:p w:rsidR="00D05100" w:rsidRPr="00E8642C" w:rsidRDefault="00AF32FD" w:rsidP="00EF6794">
      <w:pPr>
        <w:rPr>
          <w:rFonts w:cs="Arial"/>
          <w:b/>
          <w:sz w:val="24"/>
          <w:szCs w:val="24"/>
        </w:rPr>
      </w:pPr>
      <w:r w:rsidRPr="00E8642C">
        <w:rPr>
          <w:rFonts w:cs="Arial"/>
          <w:b/>
          <w:sz w:val="24"/>
          <w:szCs w:val="24"/>
        </w:rPr>
        <w:t xml:space="preserve">Genève, </w:t>
      </w:r>
      <w:r w:rsidR="00AE5194" w:rsidRPr="00E8642C">
        <w:rPr>
          <w:rFonts w:cs="Arial"/>
          <w:b/>
          <w:sz w:val="24"/>
          <w:szCs w:val="24"/>
        </w:rPr>
        <w:t>1</w:t>
      </w:r>
      <w:r w:rsidR="002B36FC" w:rsidRPr="00E8642C">
        <w:rPr>
          <w:rFonts w:cs="Arial"/>
          <w:b/>
          <w:sz w:val="24"/>
          <w:szCs w:val="24"/>
        </w:rPr>
        <w:t>9</w:t>
      </w:r>
      <w:r w:rsidR="00AE5194" w:rsidRPr="00E8642C">
        <w:rPr>
          <w:rFonts w:cs="Arial"/>
          <w:b/>
          <w:sz w:val="24"/>
          <w:szCs w:val="24"/>
        </w:rPr>
        <w:t xml:space="preserve"> – </w:t>
      </w:r>
      <w:r w:rsidR="002B36FC" w:rsidRPr="00E8642C">
        <w:rPr>
          <w:rFonts w:cs="Arial"/>
          <w:b/>
          <w:sz w:val="24"/>
          <w:szCs w:val="24"/>
        </w:rPr>
        <w:t>2</w:t>
      </w:r>
      <w:r w:rsidR="00C33F04" w:rsidRPr="00E8642C">
        <w:rPr>
          <w:rFonts w:cs="Arial"/>
          <w:b/>
          <w:sz w:val="24"/>
          <w:szCs w:val="24"/>
        </w:rPr>
        <w:t>3 mars</w:t>
      </w:r>
      <w:r w:rsidR="00E667D8"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D05100" w:rsidP="00EF6794">
      <w:pPr>
        <w:pStyle w:val="Meetingdateplace"/>
        <w:spacing w:line="240" w:lineRule="auto"/>
        <w:ind w:left="0"/>
        <w:rPr>
          <w:b w:val="0"/>
          <w:sz w:val="22"/>
          <w:szCs w:val="22"/>
          <w:lang w:val="fr-FR"/>
        </w:rPr>
      </w:pPr>
    </w:p>
    <w:p w:rsidR="00D05100" w:rsidRPr="00E8642C" w:rsidRDefault="007019FF" w:rsidP="00EF6794">
      <w:pPr>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D05100" w:rsidP="00EF6794">
      <w:pPr>
        <w:pStyle w:val="Documenttitle"/>
        <w:spacing w:before="0" w:after="0" w:line="240" w:lineRule="auto"/>
        <w:ind w:left="0"/>
        <w:rPr>
          <w:szCs w:val="22"/>
        </w:rPr>
      </w:pPr>
    </w:p>
    <w:p w:rsidR="00D05100" w:rsidRPr="00E8642C" w:rsidRDefault="00AF32FD" w:rsidP="00EF6794">
      <w:pPr>
        <w:pStyle w:val="preparedby"/>
        <w:spacing w:after="0" w:line="240" w:lineRule="auto"/>
        <w:ind w:left="0"/>
        <w:rPr>
          <w:rFonts w:cs="Arial"/>
          <w:szCs w:val="22"/>
        </w:rPr>
      </w:pPr>
      <w:r w:rsidRPr="00E8642C">
        <w:rPr>
          <w:rFonts w:cs="Arial"/>
          <w:szCs w:val="22"/>
        </w:rPr>
        <w:t>Document établi par le Secrétariat</w:t>
      </w: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Pr="00E8642C" w:rsidRDefault="00D05100" w:rsidP="00EF6794">
      <w:pPr>
        <w:rPr>
          <w:rFonts w:cs="Arial"/>
          <w:szCs w:val="22"/>
          <w:lang w:eastAsia="en-US"/>
        </w:rPr>
      </w:pPr>
    </w:p>
    <w:p w:rsidR="00D05100" w:rsidRPr="00E8642C" w:rsidRDefault="0051068B" w:rsidP="00EF6794">
      <w:pPr>
        <w:pStyle w:val="Heading1"/>
        <w:rPr>
          <w:b/>
        </w:rPr>
      </w:pPr>
      <w:r w:rsidRPr="00E8642C">
        <w:rPr>
          <w:b/>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0" w:name="Code"/>
      <w:bookmarkStart w:id="1" w:name="Original"/>
      <w:bookmarkStart w:id="2" w:name="Date"/>
      <w:bookmarkStart w:id="3" w:name="TitleOfDoc"/>
      <w:bookmarkStart w:id="4" w:name="Prepared"/>
      <w:bookmarkEnd w:id="0"/>
      <w:bookmarkEnd w:id="1"/>
      <w:bookmarkEnd w:id="2"/>
      <w:bookmarkEnd w:id="3"/>
      <w:bookmarkEnd w:id="4"/>
      <w:r w:rsidRPr="00E8642C">
        <w:t>À ses seizième et dix</w:t>
      </w:r>
      <w:r w:rsidR="001039BD">
        <w:noBreakHyphen/>
      </w:r>
      <w:r w:rsidRPr="00E8642C">
        <w:t>sept</w:t>
      </w:r>
      <w:r w:rsidR="00C33F04" w:rsidRPr="00E8642C">
        <w:t>ième session</w:t>
      </w:r>
      <w:r w:rsidRPr="00E8642C">
        <w:t>s, tenues du 3 au 7 mai 2010 et du 6 au 10 décembre 2010 respectivement, le Comité intergouvernemental de la propriété intellectuelle relative aux ressources génétiques, aux savoirs traditionnels et au folklore (ci</w:t>
      </w:r>
      <w:r w:rsidR="001039BD">
        <w:noBreakHyphen/>
      </w:r>
      <w:r w:rsidRPr="00E8642C">
        <w:t>après dénommé “IGC”) a demandé au Secrétariat d</w:t>
      </w:r>
      <w:r w:rsidR="00C33F04" w:rsidRPr="00E8642C">
        <w:t>’</w:t>
      </w:r>
      <w:r w:rsidRPr="00E8642C">
        <w:t xml:space="preserve">élaborer, en tant que </w:t>
      </w:r>
      <w:r w:rsidRPr="00E8642C">
        <w:rPr>
          <w:lang w:eastAsia="en-US" w:bidi="th-TH"/>
        </w:rPr>
        <w:t>documents d</w:t>
      </w:r>
      <w:r w:rsidR="00C33F04" w:rsidRPr="00E8642C">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C33F04" w:rsidRPr="00E8642C">
        <w:t>’</w:t>
      </w:r>
      <w:r w:rsidRPr="00E8642C">
        <w:t>IGC.</w:t>
      </w:r>
    </w:p>
    <w:p w:rsidR="00D05100" w:rsidRPr="00E8642C" w:rsidRDefault="007019FF" w:rsidP="00EF6794">
      <w:pPr>
        <w:pStyle w:val="ONUMFS"/>
        <w:rPr>
          <w:szCs w:val="22"/>
          <w:lang w:eastAsia="en-US"/>
        </w:rPr>
      </w:pPr>
      <w:r w:rsidRPr="00E8642C">
        <w:t>À sa dix</w:t>
      </w:r>
      <w:r w:rsidR="001039BD">
        <w:noBreakHyphen/>
      </w:r>
      <w:r w:rsidRPr="00E8642C">
        <w:t>neuv</w:t>
      </w:r>
      <w:r w:rsidR="00C33F04" w:rsidRPr="00E8642C">
        <w:t>ième session</w:t>
      </w:r>
      <w:r w:rsidR="00C72D25" w:rsidRPr="00E8642C">
        <w:t>,</w:t>
      </w:r>
      <w:r w:rsidRPr="00E8642C">
        <w:t xml:space="preserve"> tenue du 18 au 22 juillet </w:t>
      </w:r>
      <w:r w:rsidR="00C72D25" w:rsidRPr="00E8642C">
        <w:t>2011, l</w:t>
      </w:r>
      <w:r w:rsidR="00C33F04" w:rsidRPr="00E8642C">
        <w:t>’</w:t>
      </w:r>
      <w:r w:rsidR="00C72D25" w:rsidRPr="00E8642C">
        <w:t xml:space="preserve">IGC a invité le Secrétariat à mettre à jour les glossaires disponibles dans les </w:t>
      </w:r>
      <w:r w:rsidR="00C33F04" w:rsidRPr="00E8642C">
        <w:t>documents 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C33F04" w:rsidRPr="00E8642C">
        <w:rPr>
          <w:szCs w:val="22"/>
          <w:lang w:eastAsia="en-US"/>
        </w:rPr>
        <w:t>’</w:t>
      </w:r>
      <w:r w:rsidRPr="00E8642C">
        <w:rPr>
          <w:szCs w:val="22"/>
          <w:lang w:eastAsia="en-US"/>
        </w:rPr>
        <w:t>un document d</w:t>
      </w:r>
      <w:r w:rsidR="00C33F04" w:rsidRPr="00E8642C">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50392E" w:rsidRPr="00E8642C">
        <w:t xml:space="preserve">nt.  </w:t>
      </w:r>
      <w:r w:rsidR="0050392E"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C33F04" w:rsidRPr="00E8642C">
        <w:t>’</w:t>
      </w:r>
      <w:r w:rsidR="00FC3D53" w:rsidRPr="00E8642C">
        <w:t>information aux</w:t>
      </w:r>
      <w:r w:rsidRPr="00E8642C">
        <w:t xml:space="preserve"> précédentes</w:t>
      </w:r>
      <w:r w:rsidR="00FC3D53" w:rsidRPr="00E8642C">
        <w:t xml:space="preserve"> sessions de l</w:t>
      </w:r>
      <w:r w:rsidR="00C33F04" w:rsidRPr="00E8642C">
        <w:t>’</w:t>
      </w:r>
      <w:r w:rsidR="0050392E" w:rsidRPr="00E8642C">
        <w:t>IGC.  La</w:t>
      </w:r>
      <w:r w:rsidR="005645B0" w:rsidRPr="00E8642C">
        <w:t xml:space="preserve"> version mise à jour du</w:t>
      </w:r>
      <w:r w:rsidR="00AF32FD" w:rsidRPr="00E8642C">
        <w:rPr>
          <w:lang w:eastAsia="en-US"/>
        </w:rPr>
        <w:t xml:space="preserve"> </w:t>
      </w:r>
      <w:r w:rsidR="00AF32FD" w:rsidRPr="00E8642C">
        <w:t>glossaire fait l</w:t>
      </w:r>
      <w:r w:rsidR="00C33F04" w:rsidRPr="00E8642C">
        <w:t>’</w:t>
      </w:r>
      <w:r w:rsidR="00AF32FD" w:rsidRPr="00E8642C">
        <w:t>objet de l</w:t>
      </w:r>
      <w:r w:rsidR="00C33F04" w:rsidRPr="00E8642C">
        <w:t>’</w:t>
      </w:r>
      <w:r w:rsidR="00AF32FD" w:rsidRPr="00E8642C">
        <w:t>annexe du présent document</w:t>
      </w:r>
      <w:r w:rsidR="00717B33" w:rsidRPr="00E8642C">
        <w:t>.</w:t>
      </w:r>
    </w:p>
    <w:p w:rsidR="00D05100" w:rsidRPr="00E8642C" w:rsidRDefault="00AF32FD" w:rsidP="00EF6794">
      <w:pPr>
        <w:pStyle w:val="ONUMFS"/>
      </w:pPr>
      <w:r w:rsidRPr="00E8642C">
        <w:t>Le glossaire s</w:t>
      </w:r>
      <w:r w:rsidR="00C33F04" w:rsidRPr="00E8642C">
        <w:t>’</w:t>
      </w:r>
      <w:r w:rsidRPr="00E8642C">
        <w:t>inspire autant que possible des précédents glossaires établis par l</w:t>
      </w:r>
      <w:r w:rsidR="00C33F04" w:rsidRPr="00E8642C">
        <w:t>’</w:t>
      </w:r>
      <w:r w:rsidRPr="00E8642C">
        <w:t xml:space="preserve">IGC et des instruments existants des </w:t>
      </w:r>
      <w:r w:rsidR="00C33F04" w:rsidRPr="00E8642C">
        <w:t>Nations Unies</w:t>
      </w:r>
      <w:r w:rsidRPr="00E8642C">
        <w:t xml:space="preserve"> et d</w:t>
      </w:r>
      <w:r w:rsidR="00C33F04" w:rsidRPr="00E8642C">
        <w:t>’</w:t>
      </w:r>
      <w:r w:rsidRPr="00E8642C">
        <w:t>autres instruments internationa</w:t>
      </w:r>
      <w:r w:rsidR="0050392E" w:rsidRPr="00E8642C">
        <w:t>ux.  Il</w:t>
      </w:r>
      <w:r w:rsidRPr="00E8642C">
        <w:t xml:space="preserve"> tient également compte des définitions et des glossaires que l</w:t>
      </w:r>
      <w:r w:rsidR="00C33F04" w:rsidRPr="00E8642C">
        <w:t>’</w:t>
      </w:r>
      <w:r w:rsidRPr="00E8642C">
        <w:t>on peut trouver dans les lois et projets de lois nationales et régionales, les instruments multilatéraux, dans les autres organisations et processus ainsi que dans les dictionnair</w:t>
      </w:r>
      <w:r w:rsidR="0050392E" w:rsidRPr="00E8642C">
        <w:t>es.  Pa</w:t>
      </w:r>
      <w:r w:rsidRPr="00E8642C">
        <w:t>r ailleurs, les définitions sont fondées sur les documents de travail de l</w:t>
      </w:r>
      <w:r w:rsidR="00C33F04" w:rsidRPr="00E8642C">
        <w:t>’</w:t>
      </w:r>
      <w:r w:rsidRPr="00E8642C">
        <w:t>IGC, sur d</w:t>
      </w:r>
      <w:r w:rsidR="00C33F04" w:rsidRPr="00E8642C">
        <w:t>’</w:t>
      </w:r>
      <w:r w:rsidRPr="00E8642C">
        <w:t>autres documents de l</w:t>
      </w:r>
      <w:r w:rsidR="00C33F04" w:rsidRPr="00E8642C">
        <w:t>’</w:t>
      </w:r>
      <w:r w:rsidRPr="00E8642C">
        <w:t>OMPI et sur les documents établis au titre d</w:t>
      </w:r>
      <w:r w:rsidR="00C33F04" w:rsidRPr="00E8642C">
        <w:t>’</w:t>
      </w:r>
      <w:r w:rsidRPr="00E8642C">
        <w:t>autres programmes de travail de l</w:t>
      </w:r>
      <w:r w:rsidR="00C33F04" w:rsidRPr="00E8642C">
        <w:t>’</w:t>
      </w:r>
      <w:r w:rsidRPr="00E8642C">
        <w:t>O</w:t>
      </w:r>
      <w:r w:rsidR="0050392E" w:rsidRPr="00E8642C">
        <w:t>MPI.  Ce</w:t>
      </w:r>
      <w:r w:rsidRPr="00E8642C">
        <w:t>la étant, les définitions proposées ne sont pas exhaustiv</w:t>
      </w:r>
      <w:r w:rsidR="0050392E" w:rsidRPr="00E8642C">
        <w:t>es.  D’a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C33F04" w:rsidRPr="00E8642C">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C33F04" w:rsidRPr="00E8642C">
        <w:t>’</w:t>
      </w:r>
      <w:r w:rsidR="00BE7E0E" w:rsidRPr="00E8642C">
        <w:t>IGC</w:t>
      </w:r>
      <w:r w:rsidRPr="00E8642C">
        <w:t xml:space="preserve"> et d</w:t>
      </w:r>
      <w:r w:rsidR="00C33F04" w:rsidRPr="00E8642C">
        <w:t>’</w:t>
      </w:r>
      <w:r w:rsidRPr="00E8642C">
        <w:t>autres documents connex</w:t>
      </w:r>
      <w:r w:rsidR="0050392E" w:rsidRPr="00E8642C">
        <w:t>es.  Le</w:t>
      </w:r>
      <w:r w:rsidRPr="00E8642C">
        <w:t xml:space="preserve"> choix et la définition des termes indiqués dans l</w:t>
      </w:r>
      <w:r w:rsidR="00C33F04" w:rsidRPr="00E8642C">
        <w:t>’</w:t>
      </w:r>
      <w:r w:rsidRPr="00E8642C">
        <w:t>annexe sont sans préjudice de tout autre glossaire ou définition figurant dans de précédents documents de l</w:t>
      </w:r>
      <w:r w:rsidR="00C33F04" w:rsidRPr="00E8642C">
        <w:t>’</w:t>
      </w:r>
      <w:r w:rsidRPr="00E8642C">
        <w:t>IGC ou provenant de tout autre instrument ou organisme international, régional ou nation</w:t>
      </w:r>
      <w:r w:rsidR="0050392E" w:rsidRPr="00E8642C">
        <w:t>al.  Il</w:t>
      </w:r>
      <w:r w:rsidRPr="00E8642C">
        <w:t>s ne doivent pas être interprétés comme étant nécessairement approuvés par les participants de l</w:t>
      </w:r>
      <w:r w:rsidR="00C33F04" w:rsidRPr="00E8642C">
        <w:t>’</w:t>
      </w:r>
      <w:r w:rsidR="0050392E" w:rsidRPr="00E8642C">
        <w:t>IGC.  Il</w:t>
      </w:r>
      <w:r w:rsidRPr="00E8642C">
        <w:t xml:space="preserve"> s</w:t>
      </w:r>
      <w:r w:rsidR="00C33F04" w:rsidRPr="00E8642C">
        <w:t>’</w:t>
      </w:r>
      <w:r w:rsidRPr="00E8642C">
        <w:t>agit d</w:t>
      </w:r>
      <w:r w:rsidR="00C33F04" w:rsidRPr="00E8642C">
        <w:t>’</w:t>
      </w:r>
      <w:r w:rsidRPr="00E8642C">
        <w:t>un document d</w:t>
      </w:r>
      <w:r w:rsidR="00C33F04" w:rsidRPr="00E8642C">
        <w:t>’</w:t>
      </w:r>
      <w:r w:rsidRPr="00E8642C">
        <w:t>information et l</w:t>
      </w:r>
      <w:r w:rsidR="00C33F04" w:rsidRPr="00E8642C">
        <w:t>’</w:t>
      </w:r>
      <w:r w:rsidRPr="00E8642C">
        <w:t>IGC n</w:t>
      </w:r>
      <w:r w:rsidR="00C33F04" w:rsidRPr="00E8642C">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C33F04" w:rsidRPr="00E8642C">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pStyle w:val="Endofdocument"/>
        <w:spacing w:after="0" w:line="240" w:lineRule="auto"/>
        <w:ind w:left="5533"/>
      </w:pPr>
      <w:r w:rsidRPr="00E8642C">
        <w:rPr>
          <w:szCs w:val="22"/>
        </w:rPr>
        <w:t>[L</w:t>
      </w:r>
      <w:r w:rsidR="00C33F04" w:rsidRPr="00E8642C">
        <w:rPr>
          <w:szCs w:val="22"/>
        </w:rPr>
        <w:t>’</w:t>
      </w:r>
      <w:r w:rsidRPr="00E8642C">
        <w:rPr>
          <w:szCs w:val="22"/>
        </w:rPr>
        <w:t>annexe suit]</w:t>
      </w:r>
    </w:p>
    <w:p w:rsidR="00AF32FD" w:rsidRPr="00E8642C" w:rsidRDefault="00AF32FD" w:rsidP="00EF6794">
      <w:pPr>
        <w:pStyle w:val="Endofdocument"/>
        <w:spacing w:after="0" w:line="240" w:lineRule="auto"/>
        <w:ind w:left="0"/>
        <w:rPr>
          <w:rFonts w:cs="Arial"/>
          <w:szCs w:val="22"/>
        </w:rPr>
        <w:sectPr w:rsidR="00AF32FD" w:rsidRPr="00E8642C"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Pr="00E8642C" w:rsidRDefault="00D05100" w:rsidP="00EF6794">
      <w:pPr>
        <w:rPr>
          <w:rFonts w:cs="Arial"/>
          <w:szCs w:val="22"/>
        </w:rPr>
      </w:pPr>
    </w:p>
    <w:p w:rsidR="00D05100" w:rsidRPr="00E8642C" w:rsidRDefault="00D05100" w:rsidP="00EF6794"/>
    <w:p w:rsidR="00D05100" w:rsidRPr="00E8642C" w:rsidRDefault="00D05100" w:rsidP="00EF6794">
      <w:pPr>
        <w:pStyle w:val="Heading1"/>
        <w:keepNext w:val="0"/>
        <w:rPr>
          <w:rFonts w:cs="Arial"/>
          <w:caps w:val="0"/>
          <w:szCs w:val="22"/>
        </w:rPr>
      </w:pPr>
    </w:p>
    <w:p w:rsidR="00DD607D" w:rsidRPr="00E8642C" w:rsidRDefault="00DD607D" w:rsidP="00EF6794">
      <w:pPr>
        <w:pStyle w:val="Heading2"/>
        <w:spacing w:line="240" w:lineRule="auto"/>
      </w:pPr>
      <w:r w:rsidRPr="00E8642C">
        <w:t>Accès et partage des avantages</w:t>
      </w:r>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 xml:space="preserve">L’article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 xml:space="preserve">L’objectif du </w:t>
      </w:r>
      <w:r w:rsidRPr="00E8642C">
        <w:rPr>
          <w:rFonts w:cs="Arial"/>
          <w:i/>
          <w:szCs w:val="22"/>
          <w:lang w:eastAsia="zh-CN"/>
        </w:rPr>
        <w:t>Protocole de Nagoya sur l’accès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E8642C">
        <w:rPr>
          <w:rFonts w:cs="Arial"/>
          <w:szCs w:val="22"/>
          <w:lang w:eastAsia="zh-CN"/>
        </w:rPr>
        <w:t>”.  Selon l’article 3, le protocole “</w:t>
      </w:r>
      <w:r w:rsidRPr="00E8642C">
        <w:rPr>
          <w:rFonts w:cs="Arial"/>
          <w:iCs/>
          <w:szCs w:val="22"/>
          <w:lang w:eastAsia="zh-CN"/>
        </w:rPr>
        <w:t>s’applique également aux connaissances traditionnelles associées aux ressources génétiques relevant de la compétence de la Convention et aux avantages découlant de l’utilisation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 xml:space="preserve">En ce qui concerne les ressources phytogénétiques pour l’alimentation et l’agriculture, le </w:t>
      </w:r>
      <w:r w:rsidRPr="00E8642C">
        <w:rPr>
          <w:rFonts w:cs="Arial"/>
          <w:i/>
          <w:szCs w:val="22"/>
        </w:rPr>
        <w:t>Traité international sur les ressources phytogénétiques pour l’alimentation et l’agriculture</w:t>
      </w:r>
      <w:r w:rsidRPr="00E8642C">
        <w:rPr>
          <w:rFonts w:cs="Arial"/>
          <w:szCs w:val="22"/>
        </w:rPr>
        <w:t xml:space="preserve"> de l’Organisation des Nations Unies pour l’alimentation et l’agriculture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L’article premier de la </w:t>
      </w:r>
      <w:r w:rsidRPr="00E8642C">
        <w:rPr>
          <w:rFonts w:cs="Arial"/>
          <w:i/>
          <w:szCs w:val="22"/>
        </w:rPr>
        <w:t>Décision n° 391</w:t>
      </w:r>
      <w:r w:rsidRPr="00E8642C">
        <w:rPr>
          <w:rFonts w:cs="Arial"/>
          <w:szCs w:val="22"/>
        </w:rPr>
        <w:t xml:space="preserve"> </w:t>
      </w:r>
      <w:r w:rsidRPr="00E8642C">
        <w:rPr>
          <w:rFonts w:cs="Arial"/>
          <w:i/>
          <w:szCs w:val="22"/>
        </w:rPr>
        <w:t>sur l’accès aux ressources génétiques de la Communauté andine</w:t>
      </w:r>
      <w:r w:rsidRPr="00E8642C">
        <w:rPr>
          <w:rFonts w:cs="Arial"/>
          <w:szCs w:val="22"/>
        </w:rPr>
        <w:t xml:space="preserve"> (1996) définit l’“accès” comme “</w:t>
      </w:r>
      <w:r w:rsidRPr="00E8642C">
        <w:rPr>
          <w:rFonts w:cs="Arial"/>
          <w:iCs/>
          <w:szCs w:val="22"/>
        </w:rPr>
        <w:t xml:space="preserve">l’obtention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 xml:space="preserve">Les avantages peuvent inclure mais ne sont pas limités aux avantages monétaires et non monétaires énumérés à l’annexe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d’obtention de l’accès aux ressources génétiques et du partage des avantages peuvent comprendre des activités antérieures à l’accès, des travaux de recherche et de mise en valeur sur les ressources génétiques ainsi que la commercialisation et d’autres utilisations de celles</w:t>
      </w:r>
      <w:r>
        <w:rPr>
          <w:rFonts w:cs="Arial"/>
          <w:szCs w:val="22"/>
        </w:rPr>
        <w:noBreakHyphen/>
      </w:r>
      <w:r w:rsidRPr="00E8642C">
        <w:rPr>
          <w:rFonts w:cs="Arial"/>
          <w:szCs w:val="22"/>
        </w:rPr>
        <w:t>ci, y compris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Accord de transfert de matériel</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 xml:space="preserve">Les accords de transfert de matériel sont des partenariats de recherche commerciale et universitaire portant sur le transfert de matériel biologique, tel que </w:t>
      </w:r>
      <w:proofErr w:type="spellStart"/>
      <w:r w:rsidRPr="00E8642C">
        <w:rPr>
          <w:rFonts w:cs="Arial"/>
          <w:iCs/>
          <w:szCs w:val="22"/>
        </w:rPr>
        <w:t>germoplasme</w:t>
      </w:r>
      <w:proofErr w:type="spellEnd"/>
      <w:r w:rsidRPr="00E8642C">
        <w:rPr>
          <w:rFonts w:cs="Arial"/>
          <w:iCs/>
          <w:szCs w:val="22"/>
        </w:rPr>
        <w:t>, micro</w:t>
      </w:r>
      <w:r>
        <w:rPr>
          <w:rFonts w:cs="Arial"/>
          <w:iCs/>
          <w:szCs w:val="22"/>
        </w:rPr>
        <w:noBreakHyphen/>
      </w:r>
      <w:r w:rsidRPr="00E8642C">
        <w:rPr>
          <w:rFonts w:cs="Arial"/>
          <w:iCs/>
          <w:szCs w:val="22"/>
        </w:rPr>
        <w:t xml:space="preserve">organismes et cultures cellulaires, entre le fournisseur et le bénéficiaire et fixant les conditions d’accès du public aux collections de </w:t>
      </w:r>
      <w:proofErr w:type="spellStart"/>
      <w:r w:rsidRPr="00E8642C">
        <w:rPr>
          <w:rFonts w:cs="Arial"/>
          <w:iCs/>
          <w:szCs w:val="22"/>
        </w:rPr>
        <w:t>germoplasme</w:t>
      </w:r>
      <w:proofErr w:type="spellEnd"/>
      <w:r w:rsidRPr="00E8642C">
        <w:rPr>
          <w:rFonts w:cs="Arial"/>
          <w:iCs/>
          <w:szCs w:val="22"/>
        </w:rPr>
        <w:t xml:space="preserv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L’OMPI a élaboré la base de données des accords d’accès et de partage des avantages en matière de biodiversité contenant les clauses contractuelles relatives au transfert et à l’utilisation des ressources génétiques</w:t>
      </w:r>
      <w:r w:rsidRPr="00E8642C">
        <w:rPr>
          <w:rStyle w:val="FootnoteReference"/>
          <w:rFonts w:cs="Arial"/>
          <w:szCs w:val="22"/>
        </w:rPr>
        <w:footnoteReference w:id="7"/>
      </w:r>
      <w:r w:rsidRPr="00E8642C">
        <w:rPr>
          <w:rFonts w:cs="Arial"/>
          <w:szCs w:val="22"/>
        </w:rPr>
        <w:t>.  L’Organisation des Nations Unies pour l’alimentation et l’agriculture (FAO) a élaboré et adopté en 2006 un Accord type de transfert de matériel dans le cadre de la mise en œuvre du Traité international sur les ressources phytogénétiques pour l’alimentation et l’agriculture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 xml:space="preserve">L’appendice I des </w:t>
      </w:r>
      <w:r w:rsidRPr="00E8642C">
        <w:rPr>
          <w:rFonts w:cs="Arial"/>
          <w:bCs/>
          <w:i/>
          <w:szCs w:val="22"/>
        </w:rPr>
        <w:t>Lignes directrices de Bonn sur l’accès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Accord et participation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n’existe pas de définition universellement acceptée de cette expression.  Il a été suggéré dans un contexte que, bien que l’article </w:t>
      </w:r>
      <w:proofErr w:type="spellStart"/>
      <w:r w:rsidRPr="00E8642C">
        <w:rPr>
          <w:rFonts w:cs="Arial"/>
          <w:szCs w:val="22"/>
        </w:rPr>
        <w:t>8.j</w:t>
      </w:r>
      <w:proofErr w:type="spellEnd"/>
      <w:r w:rsidRPr="00E8642C">
        <w:rPr>
          <w:rFonts w:cs="Arial"/>
          <w:szCs w:val="22"/>
        </w:rPr>
        <w:t xml:space="preserve">) de la </w:t>
      </w:r>
      <w:r w:rsidRPr="00E8642C">
        <w:rPr>
          <w:rFonts w:cs="Arial"/>
          <w:i/>
          <w:szCs w:val="22"/>
        </w:rPr>
        <w:t>Convention sur la diversité biologique</w:t>
      </w:r>
      <w:r w:rsidRPr="00E8642C">
        <w:rPr>
          <w:rFonts w:cs="Arial"/>
          <w:szCs w:val="22"/>
        </w:rPr>
        <w:t xml:space="preserve"> (1992) contienne l’expression “accord et participation”, plusieurs décisions fondées sur l’article </w:t>
      </w:r>
      <w:proofErr w:type="spellStart"/>
      <w:r w:rsidRPr="00E8642C">
        <w:rPr>
          <w:rFonts w:cs="Arial"/>
          <w:szCs w:val="22"/>
        </w:rPr>
        <w:t>8.j</w:t>
      </w:r>
      <w:proofErr w:type="spellEnd"/>
      <w:r w:rsidRPr="00E8642C">
        <w:rPr>
          <w:rFonts w:cs="Arial"/>
          <w:szCs w:val="22"/>
        </w:rPr>
        <w:t>)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Activité inventive</w:t>
      </w:r>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L’activité inventive (également dénommée “non</w:t>
      </w:r>
      <w:r>
        <w:rPr>
          <w:rFonts w:cs="Arial"/>
          <w:bCs/>
          <w:szCs w:val="22"/>
        </w:rPr>
        <w:noBreakHyphen/>
      </w:r>
      <w:r w:rsidRPr="00E8642C">
        <w:rPr>
          <w:rFonts w:cs="Arial"/>
          <w:bCs/>
          <w:szCs w:val="22"/>
        </w:rPr>
        <w:t>évidence”) est l’un des critères de brevetabilité et se rapporte à la question de savoir si l’invention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l’article 33 du PCT, une invention dont la protection est demandée est considérée comme impliquant une activité inventive “</w:t>
      </w:r>
      <w:r w:rsidRPr="00E8642C">
        <w:rPr>
          <w:rFonts w:cs="Arial"/>
          <w:bCs/>
          <w:iCs/>
          <w:szCs w:val="22"/>
        </w:rPr>
        <w:t>si, compte tenu de l’état de la technique tel qu’il est défini dans le règlement d’exécution, elle n’est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 xml:space="preserve">L’article 56 de la </w:t>
      </w:r>
      <w:r w:rsidRPr="00E8642C">
        <w:rPr>
          <w:rFonts w:cs="Arial"/>
          <w:bCs/>
          <w:i/>
          <w:szCs w:val="22"/>
        </w:rPr>
        <w:t>Convention sur le brevet européen</w:t>
      </w:r>
      <w:r w:rsidRPr="00E8642C">
        <w:rPr>
          <w:rFonts w:cs="Arial"/>
          <w:bCs/>
          <w:szCs w:val="22"/>
        </w:rPr>
        <w:t xml:space="preserve"> et l’article 103 du titre 35 du Code des États</w:t>
      </w:r>
      <w:r>
        <w:rPr>
          <w:rFonts w:cs="Arial"/>
          <w:bCs/>
          <w:szCs w:val="22"/>
        </w:rPr>
        <w:noBreakHyphen/>
      </w:r>
      <w:r w:rsidRPr="00E8642C">
        <w:rPr>
          <w:rFonts w:cs="Arial"/>
          <w:bCs/>
          <w:szCs w:val="22"/>
        </w:rPr>
        <w:t>Unis d’Amérique contiennent des définitions similaires.  L’article 103 du titre 35 du Code des États</w:t>
      </w:r>
      <w:r>
        <w:rPr>
          <w:rFonts w:cs="Arial"/>
          <w:bCs/>
          <w:szCs w:val="22"/>
        </w:rPr>
        <w:noBreakHyphen/>
      </w:r>
      <w:r w:rsidRPr="00E8642C">
        <w:rPr>
          <w:rFonts w:cs="Arial"/>
          <w:bCs/>
          <w:szCs w:val="22"/>
        </w:rPr>
        <w:t>Unis d’Amérique utilise le terme équivalent de “non</w:t>
      </w:r>
      <w:r>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r w:rsidRPr="00E8642C">
        <w:t>Adaptation</w:t>
      </w:r>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L’adaptation est l’action de modifier une œuvre préexistante (protégée ou tombée dans le domaine public) ou une expression culturelle traditionnelle pour qu’elle serve à des fins autres que celles qu’elle avait à l’origine et de manière à réaliser une œuvre nouvelle fusionnant les éléments de l’œuvre première et les nouveaux – ceux qui sont ajoutés du fait de la modification</w:t>
      </w:r>
      <w:bookmarkStart w:id="5" w:name="_Ref289433821"/>
      <w:r w:rsidRPr="00E8642C">
        <w:rPr>
          <w:rStyle w:val="FootnoteReference"/>
          <w:rFonts w:cs="Arial"/>
          <w:szCs w:val="22"/>
        </w:rPr>
        <w:footnoteReference w:id="12"/>
      </w:r>
      <w:bookmarkEnd w:id="5"/>
      <w:r w:rsidRPr="00E8642C">
        <w:rPr>
          <w:rFonts w:cs="Arial"/>
          <w:szCs w:val="22"/>
        </w:rPr>
        <w:t xml:space="preserve">.  L’article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d’œuvres littéraires ou artistiques jouissent du droit exclusif d’autoriser les adaptations, arrangements et autres transformations de leurs œuvres.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Style w:val="FootnoteReference"/>
          <w:rFonts w:cs="Arial"/>
          <w:szCs w:val="22"/>
        </w:rPr>
        <w:footnoteReference w:id="13"/>
      </w:r>
      <w:r w:rsidRPr="00E8642C">
        <w:rPr>
          <w:rFonts w:cs="Arial"/>
          <w:szCs w:val="22"/>
        </w:rPr>
        <w:t xml:space="preserve"> prévoit que les titulaires du droit d’auteur ont des droits exclusifs sur les œuvres dérivées ou les adaptations de l’œuvre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Appropriation illicite</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 la propriété intellectuelle,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“appropriation illicite” de la manière suivante : “un délit en </w:t>
      </w:r>
      <w:proofErr w:type="spellStart"/>
      <w:r w:rsidRPr="00E8642C">
        <w:rPr>
          <w:rFonts w:cs="Arial"/>
          <w:szCs w:val="22"/>
        </w:rPr>
        <w:t>common</w:t>
      </w:r>
      <w:proofErr w:type="spellEnd"/>
      <w:r w:rsidRPr="00E8642C">
        <w:rPr>
          <w:rFonts w:cs="Arial"/>
          <w:szCs w:val="22"/>
        </w:rPr>
        <w:t> </w:t>
      </w:r>
      <w:proofErr w:type="spellStart"/>
      <w:r w:rsidRPr="00E8642C">
        <w:rPr>
          <w:rFonts w:cs="Arial"/>
          <w:szCs w:val="22"/>
        </w:rPr>
        <w:t>law</w:t>
      </w:r>
      <w:proofErr w:type="spellEnd"/>
      <w:r w:rsidRPr="00E8642C">
        <w:rPr>
          <w:rFonts w:cs="Arial"/>
          <w:szCs w:val="22"/>
        </w:rPr>
        <w:t xml:space="preserve"> consistant à utiliser des informations ou des idées ne pouvant être couvertes par le droit d’auteur, qu’une organisation collecte ou diffuse pour en tirer un avantage, pour concurrencer cette organisation de manière déloyale, ou à copier une œuvre sur laquelle le créateur n’a pas encore revendiqué de droits ou des droits exclusifs n’ont pas encore été octroyés.  […] Les éléments de l’appropriation illicite sont les suivants : 1) le demandeur doit avoir investi du temps, de l’argent ou des efforts pour extraire les informations, 2) le défendeur doit s’être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délit d’appropriation illicite est inscrit dans la loi sur la concurrence déloyale dans le système de </w:t>
      </w:r>
      <w:proofErr w:type="spellStart"/>
      <w:r w:rsidRPr="00E8642C">
        <w:rPr>
          <w:rFonts w:cs="Arial"/>
          <w:szCs w:val="22"/>
        </w:rPr>
        <w:t>common</w:t>
      </w:r>
      <w:proofErr w:type="spellEnd"/>
      <w:r w:rsidRPr="00E8642C">
        <w:rPr>
          <w:rFonts w:cs="Arial"/>
          <w:szCs w:val="22"/>
        </w:rPr>
        <w:t> </w:t>
      </w:r>
      <w:proofErr w:type="spellStart"/>
      <w:r w:rsidRPr="00E8642C">
        <w:rPr>
          <w:rFonts w:cs="Arial"/>
          <w:szCs w:val="22"/>
        </w:rPr>
        <w:t>law</w:t>
      </w:r>
      <w:proofErr w:type="spellEnd"/>
      <w:r w:rsidRPr="00E8642C">
        <w:rPr>
          <w:rFonts w:cs="Arial"/>
          <w:szCs w:val="22"/>
        </w:rPr>
        <w:t>.  L’appropriation illicite comprend ainsi l’utilisation ou l’appropriation illicite ou abusive de la propriété d’une personne, et est souvent utilisée pour fonder une action dans des cas où aucune atteinte n’a été portée à un droit de propriété à proprement parler.  L’appropriation illicite peut renvoyer à un emprunt illicite ou à l’appropriation frauduleuse de fonds ou de propriété confiés à la garde d’une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 : “i) l’acquisition, l’appropriation ou l’utilisation de savoirs traditionnels en violation des dispositions du présent acte, ii) le fait de tirer des avantages de l’acquisition, de l’appropriation ou de l’utilisation de savoirs traditionnels lorsque la personne qui acquiert, qui s’approprie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Atteinte (“</w:t>
      </w:r>
      <w:proofErr w:type="spellStart"/>
      <w:r w:rsidRPr="00E8642C">
        <w:t>derogatory</w:t>
      </w:r>
      <w:proofErr w:type="spellEnd"/>
      <w:r w:rsidRPr="00E8642C">
        <w:t xml:space="preserve"> action” en anglais)</w:t>
      </w:r>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l’honneur ou à la réputation conformément à l’article </w:t>
      </w:r>
      <w:proofErr w:type="spellStart"/>
      <w:r w:rsidRPr="00E8642C">
        <w:rPr>
          <w:szCs w:val="22"/>
        </w:rPr>
        <w:t>6</w:t>
      </w:r>
      <w:r w:rsidRPr="00E8642C">
        <w:rPr>
          <w:i/>
          <w:iCs/>
          <w:szCs w:val="22"/>
        </w:rPr>
        <w:t>bis</w:t>
      </w:r>
      <w:proofErr w:type="spellEnd"/>
      <w:r w:rsidRPr="00E8642C">
        <w:rPr>
          <w:i/>
          <w:iCs/>
          <w:szCs w:val="22"/>
        </w:rPr>
        <w:t xml:space="preserve">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d’une modification effective ou d’une interférence avec l’œuvre elle</w:t>
      </w:r>
      <w:r>
        <w:rPr>
          <w:szCs w:val="22"/>
        </w:rPr>
        <w:noBreakHyphen/>
      </w:r>
      <w:r w:rsidRPr="00E8642C">
        <w:rPr>
          <w:szCs w:val="22"/>
        </w:rPr>
        <w:t>même.  Il s’agit d’un acte “en rapport avec” l’œuvre.  Ce terme a été incorporé dans la Convention de Berne à la suite de la révision ayant eu lieu à Bruxelles afin d’englober les utilisations de l’œuvre préjudiciables à l’auteur.  Il renvoie à des situations où la communication d’une œuvre s’effectue de manière à porter préjudice à l’auteur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Atteinte (“</w:t>
      </w:r>
      <w:proofErr w:type="spellStart"/>
      <w:r w:rsidRPr="00E8642C">
        <w:t>infringement</w:t>
      </w:r>
      <w:proofErr w:type="spellEnd"/>
      <w:r w:rsidRPr="00E8642C">
        <w:t>”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atteinte est un acte accompli à l’égard d’une œuvre protégée par le droit d’auteur ou d’un objet de droits connexes sans l’autorisation du titulaire du droit d’auteur ou des droits connexes sur l’œuvre ou l’objet en question, lorsque cette autorisation est requise.  L’auteur de l’atteinte peut voir sa responsabilité engagée non seulement de façon directe (en raison de l’accomplissement de l’acte illicite lui</w:t>
      </w:r>
      <w:r>
        <w:rPr>
          <w:rFonts w:cs="Arial"/>
          <w:szCs w:val="22"/>
        </w:rPr>
        <w:noBreakHyphen/>
      </w:r>
      <w:r w:rsidRPr="00E8642C">
        <w:rPr>
          <w:rFonts w:cs="Arial"/>
          <w:szCs w:val="22"/>
        </w:rPr>
        <w:t>même), mais aussi au titre de la “responsabilité indirecte” ou de la “responsabilité du fait d’autrui”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Base de données des accords d’accès et de partage des avantages en matière de biodiversité</w:t>
      </w:r>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d’accès et de partage des avantages en matière de biodiversité de l’OMPI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qu’outil de renforcement des capacités, elle vise à mettre ces sources d’information à la disposition de personnes qui cherchent des renseignements sur les pratiques actuelles en matière de propriété intellectuelle, d’accès, de partage des avantages et de ressources génétiques et, sur une base empirique, elle vise à contribuer à l’élaboration par l’OMPI de principes directeurs sur l’accès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r w:rsidRPr="00E8642C">
        <w:t>Bénéficiaires</w:t>
      </w:r>
    </w:p>
    <w:p w:rsidR="00DD607D" w:rsidRPr="00E8642C" w:rsidRDefault="00DD607D" w:rsidP="00EF6794">
      <w:pPr>
        <w:rPr>
          <w:rFonts w:cs="Arial"/>
          <w:b/>
          <w:szCs w:val="22"/>
        </w:rPr>
      </w:pPr>
    </w:p>
    <w:p w:rsidR="00DD607D" w:rsidRPr="00E8642C" w:rsidRDefault="00DD607D" w:rsidP="00EF6794">
      <w:r w:rsidRPr="00E8642C">
        <w:t>Il n’existe pas de définition universellement acceptée de cette expression.  Toutefois,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qu’aux individus.  Dans certains cas, cependant, certains individus, tels que les guérisseurs traditionnels, peuvent être considérés comme les détenteurs de savoirs traditionnels ou d’expressions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concernés.  En revanche, de nombreuses autres confèrent plutôt ces droits à une autorité gouvernementale et prévoient souvent que les bénéfices de l’octroi des droits d’utilisation des savoirs traditionnels ou des expressions culturelles traditionnelles doivent être versés à des programmes nationaux d’éducation,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r w:rsidRPr="00E8642C">
        <w:t>Bibliothèque numérique des savoirs traditionnels</w:t>
      </w:r>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l’Inde visant à empêcher l’appropriation illicite des connaissances du pays en matière de médecine traditionnelle.  Une équipe interdisciplinaire d’experts en médecine traditionnelle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d’examinateurs de brevets, d’experts en informatique, de scientifiques et de techniciens ont participé à la mise en place de la Bibliothèque numérique sur les savoirs traditionnels pour les systèmes indiens de médecine.  Ce projet vise à réunir les documents relatifs aux savoirs traditionnels disponibles dans le domaine public sous forme de littérature existante en rapport avec l’</w:t>
      </w:r>
      <w:proofErr w:type="spellStart"/>
      <w:r w:rsidRPr="00E8642C">
        <w:rPr>
          <w:rFonts w:cs="Arial"/>
          <w:szCs w:val="22"/>
        </w:rPr>
        <w:t>Ayurveda</w:t>
      </w:r>
      <w:proofErr w:type="spellEnd"/>
      <w:r w:rsidRPr="00E8642C">
        <w:rPr>
          <w:rFonts w:cs="Arial"/>
          <w:szCs w:val="22"/>
        </w:rPr>
        <w:t>, l’</w:t>
      </w:r>
      <w:proofErr w:type="spellStart"/>
      <w:r w:rsidRPr="00E8642C">
        <w:rPr>
          <w:rFonts w:cs="Arial"/>
          <w:szCs w:val="22"/>
        </w:rPr>
        <w:t>Unani</w:t>
      </w:r>
      <w:proofErr w:type="spellEnd"/>
      <w:r w:rsidRPr="00E8642C">
        <w:rPr>
          <w:rFonts w:cs="Arial"/>
          <w:szCs w:val="22"/>
        </w:rPr>
        <w:t>, le </w:t>
      </w:r>
      <w:proofErr w:type="spellStart"/>
      <w:r w:rsidRPr="00E8642C">
        <w:rPr>
          <w:rFonts w:cs="Arial"/>
          <w:szCs w:val="22"/>
        </w:rPr>
        <w:t>Siddha</w:t>
      </w:r>
      <w:proofErr w:type="spellEnd"/>
      <w:r w:rsidRPr="00E8642C">
        <w:rPr>
          <w:rFonts w:cs="Arial"/>
          <w:szCs w:val="22"/>
        </w:rPr>
        <w:t xml:space="preserve"> et le Yoga, au format numérique et dans cinq langues internationales qui sont l’anglais, l’allemand, le français, le japonais et l’espagnol.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objectif.  Dans un premier temps, elle vise à éviter que ne soient délivrés des brevets sur des produits élaborés à partir de savoirs traditionnels avec une activité inventive moindre, voire nulle.  Ensuite, elle vise à rapprocher la science moderne et les savoirs traditionnels et peut être utilisée pour lancer des recherches poussées qui s’appuient sur des informations fondées sur des savoirs traditionnels pour développer de nouveaux médicaments.  Elle vise également à rapprocher les </w:t>
      </w:r>
      <w:proofErr w:type="spellStart"/>
      <w:r w:rsidRPr="00E8642C">
        <w:rPr>
          <w:rFonts w:cs="Arial"/>
          <w:szCs w:val="22"/>
        </w:rPr>
        <w:t>Slokas</w:t>
      </w:r>
      <w:proofErr w:type="spellEnd"/>
      <w:r w:rsidRPr="00E8642C">
        <w:rPr>
          <w:rFonts w:cs="Arial"/>
          <w:szCs w:val="22"/>
        </w:rPr>
        <w:t xml:space="preserve"> sanskrits anciens et les examinateurs de brevets à l’échelle mondiale, car cette base de données fournira des informations sur des noms modernes et également locaux dans une langue et dans un format compréhensibles par les examinateurs de brevets.  Cette base de données devrait permettre de réduire le fossé en ce qui concerne le manque de connaissances sur l’état de la technique.  Elle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rPr>
          <w:bCs w:val="0"/>
        </w:rPr>
      </w:pPr>
      <w:r w:rsidRPr="00E8642C">
        <w:rPr>
          <w:bCs w:val="0"/>
        </w:rPr>
        <w:t>Biotechnologie</w:t>
      </w:r>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 xml:space="preserve">L’article 2 du </w:t>
      </w:r>
      <w:r w:rsidRPr="00E8642C">
        <w:rPr>
          <w:rFonts w:cs="Arial"/>
          <w:i/>
          <w:iCs/>
          <w:szCs w:val="22"/>
        </w:rPr>
        <w:t xml:space="preserve">Protocole de Nagoya sur l’accès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l’Organisation des Nations Unies pour l’alimentation et l’agriculture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 xml:space="preserve">la définition des biotechnologies englobe de nombreux outils et techniques qui sont d’usage courant dans le secteur agroalimentaire.  Interprétée </w:t>
      </w:r>
      <w:r w:rsidRPr="00E8642C">
        <w:rPr>
          <w:rFonts w:cs="Arial"/>
          <w:szCs w:val="22"/>
        </w:rPr>
        <w:t xml:space="preserve">stricto sensu, </w:t>
      </w:r>
      <w:r w:rsidRPr="00E8642C">
        <w:rPr>
          <w:rFonts w:cs="Arial"/>
          <w:iCs/>
          <w:szCs w:val="22"/>
        </w:rPr>
        <w:t>comprenant les nouvelles techniques de l’ADN, la biologie moléculaire et les applications génétiques, la définition couvre diverses technologies telles que la manipulation et le transfert de gènes, le typage de l’ADN et le clonage de végétaux et d’animaux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 xml:space="preserve">Aux termes de l’article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s’entend :</w:t>
      </w:r>
      <w:r w:rsidRPr="00E8642C">
        <w:rPr>
          <w:rFonts w:cs="Arial"/>
          <w:iCs/>
          <w:snapToGrid w:val="0"/>
          <w:szCs w:val="22"/>
        </w:rPr>
        <w:t xml:space="preserve"> “a) de l’application de techniques in vitro aux acides nucléiques, y compris la recombinaison de l’acide désoxyribonucléique (ADN) et l’introduction directe d’acides nucléiques dans des cellules ou organites;  et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L’Organisation de coopération et de développement économiques (OCDE) utilise une définition délibérément large, couvrant toute la biotechnologie moderne mais également de nombreuses activités traditionnelles ou intermédiaires.  La biotechnologie désigne “</w:t>
      </w:r>
      <w:r w:rsidRPr="00E8642C">
        <w:rPr>
          <w:rFonts w:cs="Arial"/>
          <w:iCs/>
          <w:snapToGrid w:val="0"/>
          <w:szCs w:val="22"/>
        </w:rPr>
        <w:t xml:space="preserve">l’application des sciences et des techniques à des organismes vivants ainsi qu’à des parties, à des produits ou à des types d’organismes vivants en vue de modifier le matériel vivant ou non aux fins de la production d’un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génie génétique”, “bioréacteur à fermentation”, “thérapie génique”, “</w:t>
      </w:r>
      <w:r w:rsidRPr="00E8642C">
        <w:rPr>
          <w:rFonts w:cs="Arial"/>
          <w:bCs/>
          <w:iCs/>
          <w:snapToGrid w:val="0"/>
          <w:szCs w:val="22"/>
        </w:rPr>
        <w:t>bio</w:t>
      </w:r>
      <w:r>
        <w:rPr>
          <w:rFonts w:cs="Arial"/>
          <w:bCs/>
          <w:iCs/>
          <w:snapToGrid w:val="0"/>
          <w:szCs w:val="22"/>
        </w:rPr>
        <w:noBreakHyphen/>
      </w:r>
      <w:r w:rsidRPr="00E8642C">
        <w:rPr>
          <w:rFonts w:cs="Arial"/>
          <w:bCs/>
          <w:iCs/>
          <w:snapToGrid w:val="0"/>
          <w:szCs w:val="22"/>
        </w:rPr>
        <w:t>informatique” et “</w:t>
      </w:r>
      <w:proofErr w:type="spellStart"/>
      <w:r w:rsidRPr="00E8642C">
        <w:rPr>
          <w:rFonts w:cs="Arial"/>
          <w:bCs/>
          <w:iCs/>
          <w:snapToGrid w:val="0"/>
          <w:szCs w:val="22"/>
        </w:rPr>
        <w:t>nanobiotechnologie</w:t>
      </w:r>
      <w:proofErr w:type="spellEnd"/>
      <w:r w:rsidRPr="00E8642C">
        <w:rPr>
          <w:rFonts w:cs="Arial"/>
          <w:bCs/>
          <w:iCs/>
          <w:snapToGrid w:val="0"/>
          <w:szCs w:val="22"/>
        </w:rPr>
        <w:t>”</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Bons usages</w:t>
      </w:r>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l’expression “bons usages” dans certaines dispositions sur les exceptions à la protection du droit d’auteur (voir l’article 10.1) sur les citations et l’article 10.2) sur la libre utilisation des œuvres – dans la mesure justifiée par le but à atteindre – à titre d’illustration de l’enseignement).  Les conditions du “triple critère” doivent être prises en considération dans l’appréciation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r w:rsidRPr="00E8642C">
        <w:t>Brevet</w:t>
      </w:r>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l’autorisation du titulaire du brevet.  Une invention est une solution apportée à un problème technique précis.  En règle générale, un document de brevet contient au moins une revendication, le texte intégral de la description de l’invention, ainsi que des renseignements bibliographiques tels que le nom du déposant.  La protection conférée par un brevet est limitée dans le temps (en règle générale, sa durée est de 15 à 20 ans à compter de la date du dépôt de la demande ou de la délivrance du titre).  Elle est aussi limitée au territoire du ou des pays intéressés.  Un brevet est un accord conclu entre un inventeur et un pays.  L’accord permet au titulaire du brevet d’empêcher des tiers de fabriquer, d’utiliser ou de vendre l’invention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L’article 27.1 de l’</w:t>
      </w:r>
      <w:r w:rsidRPr="00E8642C">
        <w:rPr>
          <w:rFonts w:cs="Arial"/>
          <w:i/>
          <w:szCs w:val="22"/>
        </w:rPr>
        <w:t>Accord sur les aspects des droits de propriété intellectuelle qui touchent au commerce</w:t>
      </w:r>
      <w:r w:rsidRPr="00E8642C">
        <w:rPr>
          <w:rFonts w:cs="Arial"/>
          <w:szCs w:val="22"/>
        </w:rPr>
        <w:t xml:space="preserve"> (Accord sur les ADPIC) de l’Organisation mondiale du commerce (OMC) stipule que </w:t>
      </w:r>
      <w:r w:rsidRPr="00E8642C">
        <w:rPr>
          <w:rFonts w:cs="Arial"/>
          <w:iCs/>
          <w:szCs w:val="22"/>
        </w:rPr>
        <w:t>“[…] un brevet pourra être obtenu pour toute invention, de produit ou de procédé, dans tous les domaines technologiques, à condition qu’elle soit nouvelle, qu’elle implique une activité inventive et qu’elle soit susceptible d’application industrielle.  […] des brevets pourront être obtenus et il sera possible de jouir de droits de brevet sans discrimination quant au lieu d’origine de l’invention, au domaine technologique et au fait que les produits sont importés ou sont d’origine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Classification des ressources en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l’extraction des données, comprenant quelque 5000 sous</w:t>
      </w:r>
      <w:r>
        <w:rPr>
          <w:rFonts w:cs="Arial"/>
          <w:szCs w:val="22"/>
        </w:rPr>
        <w:noBreakHyphen/>
      </w:r>
      <w:r w:rsidRPr="00E8642C">
        <w:rPr>
          <w:rFonts w:cs="Arial"/>
          <w:szCs w:val="22"/>
        </w:rPr>
        <w:t>groupes, contre un seul groupe dans la classification internationale des brevets (</w:t>
      </w:r>
      <w:proofErr w:type="spellStart"/>
      <w:r w:rsidRPr="00E8642C">
        <w:rPr>
          <w:rFonts w:cs="Arial"/>
          <w:szCs w:val="22"/>
        </w:rPr>
        <w:t>CIB</w:t>
      </w:r>
      <w:proofErr w:type="spellEnd"/>
      <w:r w:rsidRPr="00E8642C">
        <w:rPr>
          <w:rFonts w:cs="Arial"/>
          <w:szCs w:val="22"/>
        </w:rPr>
        <w:t>)</w:t>
      </w:r>
      <w:r w:rsidRPr="00E8642C">
        <w:rPr>
          <w:rStyle w:val="FootnoteReference"/>
          <w:rFonts w:cs="Arial"/>
          <w:szCs w:val="22"/>
        </w:rPr>
        <w:footnoteReference w:id="26"/>
      </w:r>
      <w:r w:rsidRPr="00E8642C">
        <w:rPr>
          <w:rFonts w:cs="Arial"/>
          <w:szCs w:val="22"/>
        </w:rPr>
        <w:t>.  Cette classification a été créée pour les systèmes indiens de médecine (</w:t>
      </w:r>
      <w:proofErr w:type="spellStart"/>
      <w:r w:rsidRPr="00E8642C">
        <w:rPr>
          <w:rFonts w:cs="Arial"/>
          <w:szCs w:val="22"/>
        </w:rPr>
        <w:t>Ayurveda</w:t>
      </w:r>
      <w:proofErr w:type="spellEnd"/>
      <w:r w:rsidRPr="00E8642C">
        <w:rPr>
          <w:rFonts w:cs="Arial"/>
          <w:szCs w:val="22"/>
        </w:rPr>
        <w:t xml:space="preserve">, </w:t>
      </w:r>
      <w:proofErr w:type="spellStart"/>
      <w:r w:rsidRPr="00E8642C">
        <w:rPr>
          <w:rFonts w:cs="Arial"/>
          <w:szCs w:val="22"/>
        </w:rPr>
        <w:t>Unani</w:t>
      </w:r>
      <w:proofErr w:type="spellEnd"/>
      <w:r w:rsidRPr="00E8642C">
        <w:rPr>
          <w:rFonts w:cs="Arial"/>
          <w:szCs w:val="22"/>
        </w:rPr>
        <w:t>, Siddha et Yoga).  Ayant acquis une renommée internationale et étant liée à la </w:t>
      </w:r>
      <w:proofErr w:type="spellStart"/>
      <w:r w:rsidRPr="00E8642C">
        <w:rPr>
          <w:rFonts w:cs="Arial"/>
          <w:szCs w:val="22"/>
        </w:rPr>
        <w:t>CIB</w:t>
      </w:r>
      <w:proofErr w:type="spellEnd"/>
      <w:r w:rsidRPr="00E8642C">
        <w:rPr>
          <w:rFonts w:cs="Arial"/>
          <w:szCs w:val="22"/>
        </w:rPr>
        <w:t>, elle devrait contribuer à faire connaître davantage les systèmes de savoirs traditionnels en s’appuyant sur les systèmes modernes de diffusion, c’est</w:t>
      </w:r>
      <w:r>
        <w:rPr>
          <w:rFonts w:cs="Arial"/>
          <w:szCs w:val="22"/>
        </w:rPr>
        <w:noBreakHyphen/>
      </w:r>
      <w:r w:rsidRPr="00E8642C">
        <w:rPr>
          <w:rFonts w:cs="Arial"/>
          <w:szCs w:val="22"/>
        </w:rPr>
        <w:t>à</w:t>
      </w:r>
      <w:r>
        <w:rPr>
          <w:rFonts w:cs="Arial"/>
          <w:szCs w:val="22"/>
        </w:rPr>
        <w:noBreakHyphen/>
      </w:r>
      <w:r w:rsidRPr="00E8642C">
        <w:rPr>
          <w:rFonts w:cs="Arial"/>
          <w:szCs w:val="22"/>
        </w:rPr>
        <w:t>dire les moyens informatiques, en particulier l’Internet et les technologies fondées sur le Web.  On prévoit que la classification des ressources en savoirs traditionnels, de par sa structure et son contenu, suscitera l’intérêt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Classification internationale des brevets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w:t>
      </w:r>
      <w:proofErr w:type="spellStart"/>
      <w:r w:rsidRPr="00E8642C">
        <w:rPr>
          <w:rFonts w:cs="Arial"/>
          <w:szCs w:val="22"/>
        </w:rPr>
        <w:t>CIB</w:t>
      </w:r>
      <w:proofErr w:type="spellEnd"/>
      <w:r w:rsidRPr="00E8642C">
        <w:rPr>
          <w:rFonts w:cs="Arial"/>
          <w:szCs w:val="22"/>
        </w:rPr>
        <w:t>) est un “</w:t>
      </w:r>
      <w:r w:rsidRPr="00E8642C">
        <w:rPr>
          <w:rFonts w:cs="Arial"/>
          <w:iCs/>
          <w:szCs w:val="22"/>
        </w:rPr>
        <w:t>système hiérarchique dans lequel l’ensemble de la technologie est subdivisé en une série de sections, classes, sous</w:t>
      </w:r>
      <w:r>
        <w:rPr>
          <w:rFonts w:cs="Arial"/>
          <w:iCs/>
          <w:szCs w:val="22"/>
        </w:rPr>
        <w:noBreakHyphen/>
      </w:r>
      <w:r w:rsidRPr="00E8642C">
        <w:rPr>
          <w:rFonts w:cs="Arial"/>
          <w:iCs/>
          <w:szCs w:val="22"/>
        </w:rPr>
        <w:t>classes et groupes.  La classification est un instrument indépendant des langues indispensable pour retrouver les documents de brevet dans le cadre de la recherche sur ‘l’état de la technique’</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w:t>
      </w:r>
      <w:proofErr w:type="spellStart"/>
      <w:r w:rsidRPr="00E8642C">
        <w:rPr>
          <w:rFonts w:cs="Arial"/>
          <w:szCs w:val="22"/>
        </w:rPr>
        <w:t>CIB</w:t>
      </w:r>
      <w:proofErr w:type="spellEnd"/>
      <w:r w:rsidRPr="00E8642C">
        <w:rPr>
          <w:rFonts w:cs="Arial"/>
          <w:szCs w:val="22"/>
        </w:rPr>
        <w:t xml:space="preserve"> a été établie par l’</w:t>
      </w:r>
      <w:r w:rsidRPr="00E8642C">
        <w:rPr>
          <w:rFonts w:cs="Arial"/>
          <w:i/>
          <w:szCs w:val="22"/>
        </w:rPr>
        <w:t xml:space="preserve">Arrangement de Strasbourg concernant la classification internationale des brevets </w:t>
      </w:r>
      <w:r w:rsidRPr="00E8642C">
        <w:rPr>
          <w:rFonts w:cs="Arial"/>
          <w:szCs w:val="22"/>
        </w:rPr>
        <w:t xml:space="preserve">(1971).  Selon l’article 2.1), </w:t>
      </w:r>
      <w:r w:rsidRPr="00E8642C">
        <w:rPr>
          <w:rFonts w:cs="Arial"/>
          <w:iCs/>
          <w:szCs w:val="22"/>
        </w:rPr>
        <w:t>“[l]a classification est constituée par : i) le texte qui a été établi conformément aux dispositions de la Convention européenne sur la classification internationale des brevets d’invention, du 19 décembre 1954 (dénommée ci</w:t>
      </w:r>
      <w:r>
        <w:rPr>
          <w:rFonts w:cs="Arial"/>
          <w:iCs/>
          <w:szCs w:val="22"/>
        </w:rPr>
        <w:noBreakHyphen/>
      </w:r>
      <w:r w:rsidRPr="00E8642C">
        <w:rPr>
          <w:rFonts w:cs="Arial"/>
          <w:iCs/>
          <w:szCs w:val="22"/>
        </w:rPr>
        <w:t>après ‘Convention européenne’), et qui est entré en vigueur et a été publié par le Secrétaire général du Conseil de l’Europe le 1</w:t>
      </w:r>
      <w:r w:rsidRPr="00E8642C">
        <w:rPr>
          <w:rFonts w:cs="Arial"/>
          <w:iCs/>
          <w:szCs w:val="22"/>
          <w:vertAlign w:val="superscript"/>
        </w:rPr>
        <w:t>er</w:t>
      </w:r>
      <w:r w:rsidRPr="00E8642C">
        <w:rPr>
          <w:rFonts w:cs="Arial"/>
          <w:iCs/>
          <w:szCs w:val="22"/>
        </w:rPr>
        <w:t> septembre 1968;  ii) les modifications qui sont entrées en vigueur en vertu de l’article 2.2) de la Convention européenne avant l’entrée en vigueur du présent arrangement;  iii) les modifications apportées par la suite en vertu de l’article 5 et qui entrent en vigueur conformément à l’article 6”.</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d’unité et de solidarité, qui se distingue des autres communautés par sa propre culture ou sa propre conception culturelle ou par une variante de la culture générique</w:t>
      </w:r>
      <w:bookmarkStart w:id="7" w:name="_Ref289689074"/>
      <w:r w:rsidRPr="00E8642C">
        <w:rPr>
          <w:rStyle w:val="FootnoteReference"/>
          <w:rFonts w:cs="Arial"/>
          <w:szCs w:val="22"/>
        </w:rPr>
        <w:footnoteReference w:id="29"/>
      </w:r>
      <w:bookmarkEnd w:id="7"/>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Communautés autochtones et locales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L’expression “communautés autochtones et locales” a fait l’objet d’un nombre considérable de discussions et d’études et il n’existe pour l’heure aucune définition universelle standard pour celle</w:t>
      </w:r>
      <w:r>
        <w:rPr>
          <w:rFonts w:cs="Arial"/>
          <w:szCs w:val="22"/>
        </w:rPr>
        <w:noBreakHyphen/>
      </w:r>
      <w:r w:rsidRPr="00E8642C">
        <w:rPr>
          <w:rFonts w:cs="Arial"/>
          <w:szCs w:val="22"/>
        </w:rPr>
        <w:t xml:space="preserve">ci.  L’expression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l’article </w:t>
      </w:r>
      <w:proofErr w:type="spellStart"/>
      <w:r w:rsidRPr="00E8642C">
        <w:rPr>
          <w:rFonts w:cs="Arial"/>
          <w:szCs w:val="22"/>
        </w:rPr>
        <w:t>8.j</w:t>
      </w:r>
      <w:proofErr w:type="spellEnd"/>
      <w:r w:rsidRPr="00E8642C">
        <w:rPr>
          <w:rFonts w:cs="Arial"/>
          <w:szCs w:val="22"/>
        </w:rPr>
        <w:t>) indique que “[c]</w:t>
      </w:r>
      <w:proofErr w:type="spellStart"/>
      <w:r w:rsidRPr="00E8642C">
        <w:rPr>
          <w:rFonts w:cs="Arial"/>
          <w:szCs w:val="22"/>
        </w:rPr>
        <w:t>haque</w:t>
      </w:r>
      <w:proofErr w:type="spellEnd"/>
      <w:r w:rsidRPr="00E8642C">
        <w:rPr>
          <w:rFonts w:cs="Arial"/>
          <w:szCs w:val="22"/>
        </w:rPr>
        <w:t xml:space="preserve"> Partie contractante, dans la mesure du possible et selon qu’il conviendra : j) Sous réserve des dispositions de sa législation nationale, respecte, préserve et maintient les connaissances, innovations et pratiques des communautés autochtones et locales qui incarnent des modes de vie traditionnels présentant un intérêt pour la conservation et l’utilisation durable de la diversité biologique et en favorise l’application sur une plus grande échelle, avec l’accord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l’expression “communautés autochtones et locales” eu égard aux communautés ayant un lien ancestral avec les terres et les eaux sur lesquelles elles ont traditionnellement vécu ou qu’elles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d’une zone écologique distincte qui dépend directement de sa biodiversité et de ses produits et services de l’écosystème pour l’intégralité ou une partie de ses moyens de subsistance et qui a mis au point ou acquis des savoirs traditionnels à la suite de cette dépendance, dont des agriculteurs, des pêcheurs, des pasteurs, des habitants des forêts et d’autres”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l’alimentation et l’agriculture</w:t>
      </w:r>
      <w:r w:rsidRPr="00E8642C">
        <w:rPr>
          <w:rFonts w:cs="Arial"/>
          <w:szCs w:val="22"/>
        </w:rPr>
        <w:t xml:space="preserve"> de l’Organisation des Nations Unies pour l’alimentation et l’agriculture (FAO).  L’article 5.1) indique que “[c]</w:t>
      </w:r>
      <w:proofErr w:type="spellStart"/>
      <w:r w:rsidRPr="00E8642C">
        <w:rPr>
          <w:rFonts w:cs="Arial"/>
          <w:szCs w:val="22"/>
        </w:rPr>
        <w:t>haque</w:t>
      </w:r>
      <w:proofErr w:type="spellEnd"/>
      <w:r w:rsidRPr="00E8642C">
        <w:rPr>
          <w:rFonts w:cs="Arial"/>
          <w:szCs w:val="22"/>
        </w:rPr>
        <w:t xml:space="preserve"> Partie contractante … s’emploie en particulier, selon qu’il convient, à :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y compris dans les zones protégées, en appuyant, notamment, les efforts des communautés locales et autochtones …”.  L’expression “communautés locales et autochtones” est utilisée à l’article 9.1 : “[l]es Parties contractantes reconnaissent l’énorme contribution que les communautés locales et autochtones, ainsi que les agriculteurs de toutes les régions du monde …”.  L’expression “communautés locales” est utilisée à l’article 5.1 : “[c]</w:t>
      </w:r>
      <w:proofErr w:type="spellStart"/>
      <w:r w:rsidRPr="00E8642C">
        <w:rPr>
          <w:rFonts w:cs="Arial"/>
          <w:szCs w:val="22"/>
        </w:rPr>
        <w:t>haque</w:t>
      </w:r>
      <w:proofErr w:type="spellEnd"/>
      <w:r w:rsidRPr="00E8642C">
        <w:rPr>
          <w:rFonts w:cs="Arial"/>
          <w:szCs w:val="22"/>
        </w:rPr>
        <w:t xml:space="preserve"> Partie contractante … s’emploie en particulier, selon qu’il convient, à : … c) [e]</w:t>
      </w:r>
      <w:proofErr w:type="spellStart"/>
      <w:r w:rsidRPr="00E8642C">
        <w:rPr>
          <w:rFonts w:cs="Arial"/>
          <w:szCs w:val="22"/>
        </w:rPr>
        <w:t>ncourager</w:t>
      </w:r>
      <w:proofErr w:type="spellEnd"/>
      <w:r w:rsidRPr="00E8642C">
        <w:rPr>
          <w:rFonts w:cs="Arial"/>
          <w:szCs w:val="22"/>
        </w:rPr>
        <w:t xml:space="preserve"> ou soutenir, selon qu’il convient, les efforts des agriculteurs et des communautés locales pour gérer et conserver à la ferme leurs ressources phytogénétiques pour l’alimentation et l’agriculture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D’autres instruments juridiques utilisent des expressions différentes : l’expression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l’Organisation régionale africaine de la propriété intellectuelle (ARIPO).  L’article 2.1) indique que “</w:t>
      </w:r>
      <w:r w:rsidRPr="00E8642C">
        <w:rPr>
          <w:rFonts w:cs="Arial"/>
          <w:iCs/>
          <w:szCs w:val="22"/>
        </w:rPr>
        <w:t>le terme ‘communauté’,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L’article premier de la </w:t>
      </w:r>
      <w:r w:rsidRPr="00E8642C">
        <w:rPr>
          <w:rFonts w:cs="Arial"/>
          <w:i/>
          <w:szCs w:val="22"/>
        </w:rPr>
        <w:t>Décision n° 391</w:t>
      </w:r>
      <w:r w:rsidRPr="00E8642C">
        <w:rPr>
          <w:rFonts w:cs="Arial"/>
          <w:szCs w:val="22"/>
        </w:rPr>
        <w:t xml:space="preserve"> </w:t>
      </w:r>
      <w:r w:rsidRPr="00E8642C">
        <w:rPr>
          <w:rFonts w:cs="Arial"/>
          <w:i/>
          <w:szCs w:val="22"/>
        </w:rPr>
        <w:t>sur l’accès aux ressources génétiques de la Communauté andine</w:t>
      </w:r>
      <w:r w:rsidRPr="00E8642C">
        <w:rPr>
          <w:rFonts w:cs="Arial"/>
          <w:szCs w:val="22"/>
        </w:rPr>
        <w:t xml:space="preserve"> (1996) définit l’expression “communauté autochtone, afro</w:t>
      </w:r>
      <w:r>
        <w:rPr>
          <w:rFonts w:cs="Arial"/>
          <w:szCs w:val="22"/>
        </w:rPr>
        <w:noBreakHyphen/>
      </w:r>
      <w:r w:rsidRPr="00E8642C">
        <w:rPr>
          <w:rFonts w:cs="Arial"/>
          <w:szCs w:val="22"/>
        </w:rPr>
        <w:t>américaine ou locale” de la manière suivante :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L’article </w:t>
      </w:r>
      <w:proofErr w:type="spellStart"/>
      <w:r w:rsidRPr="00E8642C">
        <w:rPr>
          <w:rFonts w:cs="Arial"/>
          <w:szCs w:val="22"/>
        </w:rPr>
        <w:t>7.III</w:t>
      </w:r>
      <w:proofErr w:type="spellEnd"/>
      <w:r w:rsidRPr="00E8642C">
        <w:rPr>
          <w:rFonts w:cs="Arial"/>
          <w:szCs w:val="22"/>
        </w:rPr>
        <w:t xml:space="preserve"> de la loi brésilienne provisoire n° 2,186</w:t>
      </w:r>
      <w:r>
        <w:rPr>
          <w:rFonts w:cs="Arial"/>
          <w:szCs w:val="22"/>
        </w:rPr>
        <w:noBreakHyphen/>
      </w:r>
      <w:r w:rsidRPr="00E8642C">
        <w:rPr>
          <w:rFonts w:cs="Arial"/>
          <w:szCs w:val="22"/>
        </w:rPr>
        <w:t>16, du 23 août 2001, définit l’expression “communauté locale” de la manière suivante : “</w:t>
      </w:r>
      <w:r w:rsidRPr="00E8642C">
        <w:rPr>
          <w:rFonts w:cs="Arial"/>
          <w:iCs/>
          <w:szCs w:val="22"/>
        </w:rPr>
        <w:t xml:space="preserve">groupe humain, comprenant les descendants des communautés </w:t>
      </w:r>
      <w:proofErr w:type="spellStart"/>
      <w:r w:rsidRPr="00E8642C">
        <w:rPr>
          <w:rFonts w:cs="Arial"/>
          <w:iCs/>
          <w:szCs w:val="22"/>
        </w:rPr>
        <w:t>Quilombo</w:t>
      </w:r>
      <w:proofErr w:type="spellEnd"/>
      <w:r w:rsidRPr="00E8642C">
        <w:rPr>
          <w:rFonts w:cs="Arial"/>
          <w:iCs/>
          <w:szCs w:val="22"/>
        </w:rPr>
        <w:t>, différent de par sa culture, qui s’organise,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Concurrence déloyale</w:t>
      </w:r>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la “concurrence déloyale” comme “tout acte de concurrence déloyale ou illicite en matière de commerce;  spécialement toute pratique visant à faire passer ses biens ou produits pour ceux d’un autre sur le marché en imitant ou en contrefaisant le nom, la marque, la taille, la forme ou d’autres éléments distinctifs de l’article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L’alinéa 2 de l’article </w:t>
      </w:r>
      <w:proofErr w:type="spellStart"/>
      <w:r w:rsidRPr="00E8642C">
        <w:rPr>
          <w:rFonts w:cs="Arial"/>
          <w:szCs w:val="22"/>
        </w:rPr>
        <w:t>10</w:t>
      </w:r>
      <w:r w:rsidRPr="00E8642C">
        <w:rPr>
          <w:rFonts w:cs="Arial"/>
          <w:i/>
          <w:iCs/>
          <w:szCs w:val="22"/>
        </w:rPr>
        <w:t>bis</w:t>
      </w:r>
      <w:proofErr w:type="spellEnd"/>
      <w:r w:rsidRPr="00E8642C">
        <w:rPr>
          <w:rFonts w:cs="Arial"/>
          <w:i/>
          <w:iCs/>
          <w:szCs w:val="22"/>
        </w:rPr>
        <w:t xml:space="preserve">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 : “Constitue un acte de concurrence déloyale tout acte de concurrence contraire aux usages honnêtes en matière industrielle ou commerciale”.  L’alinéa 3 de l’article </w:t>
      </w:r>
      <w:proofErr w:type="spellStart"/>
      <w:r w:rsidRPr="00E8642C">
        <w:rPr>
          <w:rFonts w:cs="Arial"/>
          <w:szCs w:val="22"/>
        </w:rPr>
        <w:t>10</w:t>
      </w:r>
      <w:r w:rsidRPr="00E8642C">
        <w:rPr>
          <w:rFonts w:cs="Arial"/>
          <w:i/>
          <w:iCs/>
          <w:szCs w:val="22"/>
        </w:rPr>
        <w:t>bis</w:t>
      </w:r>
      <w:proofErr w:type="spellEnd"/>
      <w:r w:rsidRPr="00E8642C">
        <w:rPr>
          <w:rFonts w:cs="Arial"/>
          <w:szCs w:val="22"/>
        </w:rPr>
        <w:t xml:space="preserve"> précise que “[n]</w:t>
      </w:r>
      <w:proofErr w:type="spellStart"/>
      <w:r w:rsidRPr="00E8642C">
        <w:rPr>
          <w:rFonts w:cs="Arial"/>
          <w:szCs w:val="22"/>
        </w:rPr>
        <w:t>otamment</w:t>
      </w:r>
      <w:proofErr w:type="spellEnd"/>
      <w:r w:rsidRPr="00E8642C">
        <w:rPr>
          <w:rFonts w:cs="Arial"/>
          <w:szCs w:val="22"/>
        </w:rPr>
        <w:t xml:space="preserve"> devront être interdits : i) tous faits quelconques de nature à créer une confusion par n’importe quel moyen avec l’établissement, les produits ou l’activité industrielle ou commerciale d’un concurrent;  ii) les allégations fausses, dans l’exercice du commerce, de nature à discréditer l’établissement, les produits ou l’activité industrielle ou commerciale d’un concurrent;  iii) les indications ou allégations dont l’usage, dans l’exercice du commerce, est susceptible d’induire le public en erreur sur la nature, le mode de fabrication, les caractéristiques, l’aptitude à l’emploi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Conditions convenues d’un commun accord</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l’accès aux ressources génétiques, l’article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l’accès, lorsqu’il est accordé, est régi par des conditions convenues d’un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d’un commun accord</w:t>
      </w:r>
      <w:r w:rsidRPr="00E8642C">
        <w:rPr>
          <w:rStyle w:val="FootnoteReference"/>
          <w:rFonts w:cs="Arial"/>
          <w:szCs w:val="22"/>
        </w:rPr>
        <w:footnoteReference w:id="32"/>
      </w:r>
      <w:r w:rsidRPr="00E8642C">
        <w:rPr>
          <w:rFonts w:cs="Arial"/>
          <w:szCs w:val="22"/>
        </w:rPr>
        <w:t xml:space="preserve">.  Les </w:t>
      </w:r>
      <w:r w:rsidRPr="00E8642C">
        <w:rPr>
          <w:rFonts w:cs="Arial"/>
          <w:i/>
          <w:szCs w:val="22"/>
        </w:rPr>
        <w:t>Lignes directrices de Bonn sur l’accès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d’un commun accord.</w:t>
      </w:r>
    </w:p>
    <w:p w:rsidR="00DD607D" w:rsidRPr="00E8642C" w:rsidRDefault="00DD607D" w:rsidP="00C21AB4"/>
    <w:p w:rsidR="00DD607D" w:rsidRPr="00E8642C" w:rsidRDefault="00DD607D" w:rsidP="00C21AB4">
      <w:r w:rsidRPr="00E8642C">
        <w:t xml:space="preserve">L’article 18 du Protocole de Nagoya sur l’accès aux ressources génétiques et le partage juste et équitable des avantages découlant de leur utilisation relatif à la Convention sur la diversité biologique (2010) traite spécifiquement de la conformité aux conditions convenues d’un commun accord et indique à cet égard : </w:t>
      </w:r>
      <w:r w:rsidRPr="00E8642C">
        <w:rPr>
          <w:iCs/>
        </w:rPr>
        <w:t>“1.  En appliquant le paragraphe </w:t>
      </w:r>
      <w:proofErr w:type="spellStart"/>
      <w:r w:rsidRPr="00E8642C">
        <w:rPr>
          <w:iCs/>
        </w:rPr>
        <w:t>3.g</w:t>
      </w:r>
      <w:proofErr w:type="spellEnd"/>
      <w:r w:rsidRPr="00E8642C">
        <w:rPr>
          <w:iCs/>
        </w:rPr>
        <w:t>)i) de l’article 6 et l’article 7, chaque Partie encourage les fournisseurs et les utilisateurs de ressources génétiques et/ou de connaissances traditionnelles associées aux ressources génétiques à inclure dans les conditions convenues d’un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l’arbitrage.  2.  Chaque Partie veille à garantir la possibilité de recours dans leurs systèmes juridiques, conformément aux conditions juridictionnelles applicables, en cas de différend concernant les conditions convenues d’un commun accord.  3.  Chaque Partie prend les mesures efficaces nécessaires concernant : a) l’accès à la justice;  et b) l’utilisation de mécanismes de reconnaissance mutuelle et d’application des décisions arbitrales et des jugements étrangers.  4.  La Conférence des Parties siégeant en tant que réunion des Parties au Protocole évalue l’efficacité de cet article, conformément à l’article 31 du présent Protocole</w:t>
      </w:r>
      <w:r w:rsidRPr="00E8642C">
        <w:t>”.</w:t>
      </w:r>
    </w:p>
    <w:p w:rsidR="00DD607D" w:rsidRPr="00E8642C" w:rsidRDefault="00DD607D" w:rsidP="00C21AB4"/>
    <w:p w:rsidR="00DD607D" w:rsidRPr="00E8642C" w:rsidRDefault="00DD607D" w:rsidP="00EF6794">
      <w:pPr>
        <w:pStyle w:val="Heading2"/>
        <w:spacing w:line="240" w:lineRule="auto"/>
        <w:rPr>
          <w:i/>
        </w:rPr>
      </w:pPr>
      <w:r w:rsidRPr="00E8642C">
        <w:t>Conditions</w:t>
      </w:r>
      <w:r w:rsidRPr="00E8642C">
        <w:rPr>
          <w:i/>
        </w:rPr>
        <w:t xml:space="preserve"> in situ</w:t>
      </w:r>
    </w:p>
    <w:p w:rsidR="00DD607D" w:rsidRPr="00E8642C" w:rsidRDefault="00DD607D" w:rsidP="00EF6794">
      <w:pPr>
        <w:rPr>
          <w:rFonts w:cs="Arial"/>
          <w:b/>
          <w:snapToGrid w:val="0"/>
          <w:szCs w:val="22"/>
        </w:rPr>
      </w:pPr>
    </w:p>
    <w:p w:rsidR="00DD607D" w:rsidRPr="00E8642C" w:rsidRDefault="00DD607D" w:rsidP="00EF6794">
      <w:pPr>
        <w:rPr>
          <w:rFonts w:cs="Arial"/>
          <w:bCs/>
          <w:snapToGrid w:val="0"/>
          <w:szCs w:val="22"/>
        </w:rPr>
      </w:pPr>
      <w:r w:rsidRPr="00E8642C">
        <w:rPr>
          <w:rFonts w:cs="Arial"/>
          <w:bCs/>
          <w:snapToGrid w:val="0"/>
          <w:szCs w:val="22"/>
        </w:rPr>
        <w:t xml:space="preserve">Aux termes de l’article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l’existence de ressources génétiques au sein d’écosystèmes et d’habitats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Connaissances écologiques traditionnelles/connaissances environnementales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Dene</w:t>
      </w:r>
      <w:proofErr w:type="spellEnd"/>
      <w:r w:rsidRPr="00E8642C">
        <w:rPr>
          <w:rFonts w:cs="Arial"/>
          <w:szCs w:val="22"/>
        </w:rPr>
        <w:t xml:space="preserve"> Cultural Institute définit les “connaissances environnementales” comme “</w:t>
      </w:r>
      <w:r w:rsidRPr="00E8642C">
        <w:rPr>
          <w:rFonts w:cs="Arial"/>
          <w:iCs/>
          <w:szCs w:val="22"/>
        </w:rPr>
        <w:t>un ensemble de connaissances et de croyances transmises par tradition orale et par expérience personnelle.  Elles comprennent un système de classification, un ensemble d’observations empiriques sur l’environnement local et un système d’autogestion qui régit l’utilisation des ressources.  Les aspects écologiques sont étroitement liés aux aspects sociaux et spirituels du système de connaissances.  Leur quantité et leur qualité varient d’un membre de la communauté à l’autre, en fonction du sexe, de l’âge, du statut social, des capacités intellectuelles et de la profession (chasseur, guide spirituel, guérisseur, etc.).  Alors que les origines de ces connaissances sont solidement ancrées dans le passé, ces connaissances sont à la fois cumulatives et dynamiques en ce sens qu’elles s’appuient sur l’expérience des générations précédentes et s’adaptent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d’une génération à l’autre par transmission culturelle, concernant la relation entre les êtres vivants (y compris les êtres humains) et entre les êtres vivants et leur environnement.  En outre, ces connaissances sont un attribut des sociétés qui jouissent d’une continuité historique en ce qui concerne les pratiques d’utilisation des ressources;  dans l’ensemble, ces sociétés ne sont pas industrialisées ou sont moins avancées sur le plan technique, la plupart d’entre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Consentement préalable en connaissance de cause</w:t>
      </w:r>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Pr>
          <w:rFonts w:cs="Arial"/>
          <w:szCs w:val="22"/>
        </w:rPr>
        <w:noBreakHyphen/>
      </w:r>
      <w:r w:rsidRPr="00E8642C">
        <w:rPr>
          <w:rFonts w:cs="Arial"/>
          <w:szCs w:val="22"/>
        </w:rPr>
        <w:t xml:space="preserve">entendu dans plusieurs instruments internationaux, notamment dans le domaine environnemental, par exemple à l’article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t>En ce qui concerne l’accès aux ressources génétiques, la </w:t>
      </w:r>
      <w:r w:rsidRPr="00E8642C">
        <w:rPr>
          <w:rFonts w:cs="Arial"/>
          <w:bCs/>
          <w:i/>
          <w:szCs w:val="22"/>
        </w:rPr>
        <w:t>Convention sur la diversité biologique</w:t>
      </w:r>
      <w:r w:rsidRPr="00E8642C">
        <w:rPr>
          <w:rFonts w:cs="Arial"/>
          <w:bCs/>
          <w:szCs w:val="22"/>
        </w:rPr>
        <w:t xml:space="preserve"> (1992) prévoit en son article 15.5) qu’il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L’article 16.1) du Protocole de Nagoya sur l’accès aux ressources génétiques et le partage juste et équitable des avantages découlant de leur utilisation relatif à la Convention sur la diversité biologique (2010) prévoit que “</w:t>
      </w:r>
      <w:r w:rsidRPr="00E8642C">
        <w:rPr>
          <w:iCs/>
        </w:rPr>
        <w:t>[c]</w:t>
      </w:r>
      <w:proofErr w:type="spellStart"/>
      <w:r w:rsidRPr="00E8642C">
        <w:rPr>
          <w:iCs/>
        </w:rPr>
        <w:t>haque</w:t>
      </w:r>
      <w:proofErr w:type="spellEnd"/>
      <w:r w:rsidRPr="00E8642C">
        <w:rPr>
          <w:iCs/>
        </w:rPr>
        <w:t xml:space="preserve"> Partie prend les mesures législatives, administratives ou de politique nécessaires pour assurer que l’accès aux connaissances traditionnelles associées aux ressources génétiques exploitées dans leur juridiction a été soumis au consentement préalable donné en connaissance de cause ou à l’accord et à la participation des communautés autochtones et locales et que des conditions convenues d’un commun accord ont été établies, conformément à la législation ou aux exigences internes relatives à l’accès et au partage des avantages de l’autre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 xml:space="preserve">Cette notion est tirée à l’origine de la déontologie médicale, qui reconnaît au patient le droit de décider de suivre ou non un traitement médical après avoir été pleinement informé des risques et des avantages de ce traitement.  Ainsi, la </w:t>
      </w:r>
      <w:r w:rsidRPr="00E8642C">
        <w:rPr>
          <w:rFonts w:cs="Arial"/>
          <w:i/>
          <w:szCs w:val="22"/>
        </w:rPr>
        <w:t>Déclaration universelle sur le génome humain et les droits de l’homme</w:t>
      </w:r>
      <w:r w:rsidRPr="00E8642C">
        <w:rPr>
          <w:rFonts w:cs="Arial"/>
          <w:szCs w:val="22"/>
        </w:rPr>
        <w:t xml:space="preserve"> de 1997 prévoit en son article 5 que, dans tous les cas, une recherche, un traitement ou un diagnostic portant sur le génome d’un individu ne peut être effectué qu’après une évaluation des risques et avantages potentiels fondée sur “le consentement préalable, libre et éclairé de l’intéressé”.  L’article 6 de la </w:t>
      </w:r>
      <w:r w:rsidRPr="00E8642C">
        <w:rPr>
          <w:rFonts w:cs="Arial"/>
          <w:i/>
          <w:szCs w:val="22"/>
        </w:rPr>
        <w:t>Déclaration sur la bioéthique et les droits de l’homme</w:t>
      </w:r>
      <w:r w:rsidRPr="00E8642C">
        <w:rPr>
          <w:rFonts w:cs="Arial"/>
          <w:szCs w:val="22"/>
        </w:rPr>
        <w:t xml:space="preserve"> de 2005 </w:t>
      </w:r>
      <w:r w:rsidRPr="00E8642C">
        <w:rPr>
          <w:rFonts w:cs="Arial"/>
          <w:iCs/>
          <w:szCs w:val="22"/>
        </w:rPr>
        <w:t>de l’Organisation des Nations Unies pour l’éducation,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l’application du principe général de la participation des peuples autochtones à la prise de décision, à l’élaboration, à la mise en œuvre et à l’évaluation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L’utilisation de l’adjectif “libre” vise à garantir qu’aucune contrainte ni aucune manipulation n’est exercée dans le cadre des négociations, tandis que le terme “préalable” marque la prise en considération de l’importance qu’il y a à accorder du temps aux peuples autochtones pour leur permettre d’examiner pleinement les propositions dans les délais fixés pour parvenir à un consensus.  Il anticipe aussi sur le fait que les décisions, en particulier celles qui concernent des investissements importants en matière de développement, sont souvent prises à l’avance avec les peuples autochtones.  La notion de consentement “éclairé” illustre le fait qu’il est de plus en plus largement admis que l’évaluation de l’impact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d’autorisation fondé sur la relation entre les parties ou la confiance.  Le consentement éclairé signifie que des explications claires sont fournies, accompagnées d’informations détaillées sur le contrat, les avantages éventuels, les incidences et les utilisations futures.  Le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r w:rsidRPr="00E8642C">
        <w:t>Conservation</w:t>
      </w:r>
      <w:r w:rsidRPr="00E8642C">
        <w:rPr>
          <w:i/>
        </w:rPr>
        <w:t xml:space="preserve"> ex situ</w:t>
      </w:r>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 xml:space="preserve">Il peut être déduit de la définition de l’expression “conservation </w:t>
      </w:r>
      <w:r w:rsidRPr="00E8642C">
        <w:rPr>
          <w:rFonts w:cs="Arial"/>
          <w:bCs/>
          <w:i/>
          <w:iCs/>
          <w:szCs w:val="22"/>
        </w:rPr>
        <w:t>ex situ</w:t>
      </w:r>
      <w:r w:rsidRPr="00E8642C">
        <w:rPr>
          <w:rFonts w:cs="Arial"/>
          <w:bCs/>
          <w:szCs w:val="22"/>
        </w:rPr>
        <w:t>” figurant à l’article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Consultation</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consultation est l’acte consistant à demander l’avis ou l’opinion de quelqu’un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source indique que la consultation renvoie au processus selon lequel les gens échangent des vues et des informations.  Il ne s’agit pas d’un processus à sens unique mais d’un processus de partage des savoirs et des opinions.  La consultation signifie travailler ensemble, écouter ce que l’autre partie a à dire et réagir en fonction de ce qui a été dit.  </w:t>
      </w:r>
      <w:bookmarkStart w:id="8" w:name="_Ref292464692"/>
      <w:r w:rsidRPr="00E8642C">
        <w:rPr>
          <w:rFonts w:cs="Arial"/>
          <w:szCs w:val="22"/>
        </w:rPr>
        <w:t>Selon certains, la consultation et le consentement des communautés autochtones sont liés.  Par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8"/>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spacing w:line="240" w:lineRule="auto"/>
      </w:pPr>
      <w:r w:rsidRPr="00E8642C">
        <w:t>Contexte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Par “contexte coutumier”, il faut entendre la façon d’utiliser une expression culturelle traditionnelle selon les pratiques de la vie quotidienne de la communauté, par exemple la façon dont les artisans locaux vendent habituellement des exemplaires d’expressions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spacing w:line="240" w:lineRule="auto"/>
      </w:pPr>
      <w:r w:rsidRPr="00E8642C">
        <w:t>Contexte traditionnel</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d’une certaine communauté, et non pas qu’ils sont anciens.  En d’autres termes, l’adjectif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d’utiliser des savoirs traditionnels ou expressions culturelles traditionnelles dans leur cadre artistique normal, conformément à l’usage constant de la communauté.  On pourrait donner comme exemple l’exécution d’une danse rituelle dans son contexte traditionnel, c’est</w:t>
      </w:r>
      <w:r>
        <w:rPr>
          <w:rFonts w:cs="Arial"/>
          <w:szCs w:val="22"/>
        </w:rPr>
        <w:noBreakHyphen/>
      </w:r>
      <w:r w:rsidRPr="00E8642C">
        <w:rPr>
          <w:rFonts w:cs="Arial"/>
          <w:szCs w:val="22"/>
        </w:rPr>
        <w:t>à</w:t>
      </w:r>
      <w:r>
        <w:rPr>
          <w:rFonts w:cs="Arial"/>
          <w:szCs w:val="22"/>
        </w:rPr>
        <w:noBreakHyphen/>
      </w:r>
      <w:r w:rsidRPr="00E8642C">
        <w:rPr>
          <w:rFonts w:cs="Arial"/>
          <w:szCs w:val="22"/>
        </w:rPr>
        <w:t>dire son exécution dans le cadre réel de l’accomplissement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Comme il est indiqué dans le document intitulé “Éléments constitutifs d’un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l’expression des traditions des communautés.  Par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Contrats de licence</w:t>
      </w:r>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l’utilisation qui peut être faite du matériel ou les droits que le fournisseur peut concéder concernant par exemple l’utilisation des ressources génétiques en tant qu’outils de recherche, l’utilisation des savoirs traditionnels associés ou d’autres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Convention de l’UNESCO concernant les mesures à prendre pour interdire et empêcher l’importation, l’exportation et le transfert de propriété illicites des biens culturels</w:t>
      </w:r>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l’Organisation des Nations Unies pour l’éducation,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d’exportation illicite.  Elle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qu’ils prennent des mesures dans les trois principaux domaines d’action ci</w:t>
      </w:r>
      <w:r>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Pr>
          <w:rFonts w:cs="Arial"/>
          <w:szCs w:val="22"/>
        </w:rPr>
        <w:noBreakHyphen/>
      </w:r>
      <w:r w:rsidRPr="00E8642C">
        <w:rPr>
          <w:rFonts w:cs="Arial"/>
          <w:szCs w:val="22"/>
        </w:rPr>
        <w:t xml:space="preserve"> Mesures préventives : inventaires, certificats d’exportation, contrôle des échanges commerciaux, application de sanctions pénales ou administratives, campagnes d’éducation,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Pr>
          <w:rFonts w:cs="Arial"/>
          <w:szCs w:val="22"/>
        </w:rPr>
        <w:noBreakHyphen/>
      </w:r>
      <w:r w:rsidRPr="00E8642C">
        <w:rPr>
          <w:rFonts w:cs="Arial"/>
          <w:szCs w:val="22"/>
        </w:rPr>
        <w:t xml:space="preserve"> Dispositions relatives à la restitution : en vertu de l’article </w:t>
      </w:r>
      <w:proofErr w:type="spellStart"/>
      <w:r w:rsidRPr="00E8642C">
        <w:rPr>
          <w:rFonts w:cs="Arial"/>
          <w:szCs w:val="22"/>
        </w:rPr>
        <w:t>7.b</w:t>
      </w:r>
      <w:proofErr w:type="spellEnd"/>
      <w:r w:rsidRPr="00E8642C">
        <w:rPr>
          <w:rFonts w:cs="Arial"/>
          <w:szCs w:val="22"/>
        </w:rPr>
        <w:t>).ii) de la convention, les États parties s’engagent à prendre des mesures appropriées pour saisir et restituer à la requête de l’État d’origine partie à la convention tout bien culturel ainsi volé et importé après l’entrée en vigueur de la convention à l’égard des deux États concernés, à condition que l’État le requérant verse une indemnité équitable à la personne qui est acquéreur de bonne foi ou qui détient légalement la propriété de ce bien.  L’article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3</w:t>
      </w:r>
      <w:r>
        <w:rPr>
          <w:rFonts w:cs="Arial"/>
          <w:szCs w:val="22"/>
        </w:rPr>
        <w:noBreakHyphen/>
      </w:r>
      <w:r w:rsidRPr="00E8642C">
        <w:rPr>
          <w:rFonts w:cs="Arial"/>
          <w:szCs w:val="22"/>
        </w:rPr>
        <w:t xml:space="preserve"> Cadre de coopération international : l’idée de renforcer la coopération entre les États parties est présente tout au long de la convention.  Lorsque le patrimoine culturel est mis en danger par des pillages, l’article 9 ouvre la voie à des mesures plus spécifiques telles que l’appel au contrôle de l’importation et de l’exportation.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Convention de l’UNESCO pour la sauvegarde du patrimoine culturel immatériel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l’Organisation des Nations Unies pour l’éducation, la science et la culture (UNESCO) en 2003 et elle est entrée en vigueur le 20 avril 2006.  Elle vise à sauvegarder le patrimoine culturel immatériel, à faire respecter le patrimoine culturel immatériel des communautés, des groupes et des individus, à sensibiliser à l’importance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Convention de l’UNESCO sur la protection et la promotion de la diversité des expressions culturelles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l’Organisation des Nations Unies pour l’éducation, la science et la culture (UNESCO) est une convention internationale qui a été adoptée par l’UNESCO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établit plusieurs objectifs, qui sont définis dans son article premier, à savoir a) de protéger et promouvoir la diversité des expressions culturelles;  b) de créer les conditions permettant aux cultures de s’épanouir et interagir librement de manière à s’enrichir mutuellement;  c) d’encourager le dialogue entre les cultures afin d’assurer des échanges culturels plus intenses et équilibrés dans le monde en faveur du respect interculturel et d’une culture de la paix;  d) de stimuler l’interculturalité afin de développer l’interaction culturelle dans l’esprit de bâtir des passerelles entre les peuples;  e) de promouvoir le respect de la diversité des expressions culturelles et la prise de conscience de sa valeur aux niveaux local, national et international;  f) de réaffirmer l’importance du lien entre culture et développement pour tous les pays, en particulier les pays en développement, et d’encourager les actions menées aux plans national et international pour que soit reconnue la véritable valeur de ce lien;  g) de reconnaître la nature spécifique des activités, biens et services culturels en tant que porteurs d’identité, de valeurs et de sens;  h) de réaffirmer le droit souverain des États de conserver, d’adopter et de mettre en œuvre les politiques et mesures qu’ils jugent appropriées pour la protection et la promotion de la diversité des expressions culturelles sur leur territoire;  i) de renforcer la coopération et la solidarité internationales dans un esprit de partenariat afin, notamment, d’accroître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Convention sur la diversité biologique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Nations Unies sur l’environnement et le développement tenue à Rio de Janeiro (Brésil).  Selon l’article premier de la CDB, la convention a pour objectifs “</w:t>
      </w:r>
      <w:r w:rsidRPr="00E8642C">
        <w:rPr>
          <w:rFonts w:cs="Arial"/>
          <w:iCs/>
          <w:szCs w:val="22"/>
        </w:rPr>
        <w:t>la conservation de la diversité biologique, l’utilisation durable de ses éléments et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r w:rsidRPr="00E8642C">
        <w:t>Créations et innovations fondées sur les traditions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Les traditions sont constituées d’une série de pratiques culturelles et d’idées, qui sont considérées comme appartenant au passé et qui se voient reconnaître un certain statut.  Les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L’innovation fondée sur les traditions vise le cas où les traditions constituent une source d’innovation pour les membres d’une communauté culturelle donnée ou pour des personnes étrangères à cette communauté, et peut également mettre en évidence d’autres utilisations des traditions qui sont pertinentes dans le cadre d’une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Cultures traditionnelles</w:t>
      </w:r>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les traditions font référence aux coutumes et usages anciens qui influencent ou régissent les actes ou pratiques actuels.  La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d’une société donnée et fondées sur la culture ou </w:t>
      </w:r>
      <w:proofErr w:type="gramStart"/>
      <w:r w:rsidRPr="00E8642C">
        <w:rPr>
          <w:rFonts w:cs="Arial"/>
          <w:szCs w:val="22"/>
        </w:rPr>
        <w:t>le folklore traditionnels préexistants</w:t>
      </w:r>
      <w:proofErr w:type="gramEnd"/>
      <w:r w:rsidRPr="00E8642C">
        <w:rPr>
          <w:rFonts w:cs="Arial"/>
          <w:szCs w:val="22"/>
        </w:rPr>
        <w:t xml:space="preserve">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Déclaration des Nations Unies sur les droits des peuples autochtones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L’Assemblée générale des Nations Unies a adopté la Déclaration </w:t>
      </w:r>
      <w:r w:rsidRPr="00E8642C">
        <w:rPr>
          <w:rFonts w:cs="Arial"/>
          <w:i/>
          <w:szCs w:val="22"/>
        </w:rPr>
        <w:t>des Nations Unies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 xml:space="preserve">En ce qui concerne les savoirs traditionnels, les expressions culturelles traditionnelles et les ressources génétiques, l’article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 xml:space="preserve">L’article 31.2) ajoute que </w:t>
      </w:r>
      <w:r w:rsidRPr="00E8642C">
        <w:rPr>
          <w:rFonts w:cs="Arial"/>
          <w:iCs/>
          <w:szCs w:val="22"/>
        </w:rPr>
        <w:t xml:space="preserve">“[e]n </w:t>
      </w:r>
      <w:proofErr w:type="gramStart"/>
      <w:r w:rsidRPr="00E8642C">
        <w:rPr>
          <w:rFonts w:cs="Arial"/>
          <w:iCs/>
          <w:szCs w:val="22"/>
        </w:rPr>
        <w:t>concertation</w:t>
      </w:r>
      <w:proofErr w:type="gramEnd"/>
      <w:r w:rsidRPr="00E8642C">
        <w:rPr>
          <w:rFonts w:cs="Arial"/>
          <w:iCs/>
          <w:szCs w:val="22"/>
        </w:rPr>
        <w:t xml:space="preserve"> avec les peuples autochtones, les États prennent des mesures efficaces pour reconnaître ces droits et en protéger l’exercice</w:t>
      </w:r>
      <w:r w:rsidRPr="00E8642C">
        <w:rPr>
          <w:rFonts w:cs="Arial"/>
          <w:szCs w:val="22"/>
        </w:rPr>
        <w:t xml:space="preserve">”.  En ce qui concerne la médecine traditionnelle, l’article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r w:rsidRPr="00E8642C">
        <w:t>Déclaration universelle des droits de l’homme</w:t>
      </w:r>
    </w:p>
    <w:p w:rsidR="00DD607D" w:rsidRPr="00E8642C" w:rsidRDefault="00DD607D" w:rsidP="00C21AB4">
      <w:pPr>
        <w:rPr>
          <w:b/>
          <w:szCs w:val="22"/>
        </w:rPr>
      </w:pPr>
    </w:p>
    <w:p w:rsidR="00DD607D" w:rsidRPr="00E8642C" w:rsidRDefault="00DD607D" w:rsidP="00C21AB4">
      <w:r w:rsidRPr="00E8642C">
        <w:t>La Déclaration universelle des droits de l’homme est un document majeur dans l’histoire des droits de l’homme.  Rédigée par des représentants ayant une formation juridique et une culture différentes, de toutes les régions du monde, la déclaration a été proclamée par l’Assemblée générale des Nations Unies à Paris le 10 décembre 1948 comme l’idéal commun à atteindre par tous les peuples et toutes les nations.  Elle énonce pour la première fois les droits fondamentaux de l’homme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Dépositaire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Selon la même source, la “garde” fait référence à la protection et à la surveillance d’une chose ou d’une personne à des fins d’inspection, de préservation ou de sécurité.  Le Oxford English </w:t>
      </w:r>
      <w:proofErr w:type="spellStart"/>
      <w:r w:rsidRPr="00E8642C">
        <w:rPr>
          <w:rFonts w:cs="Arial"/>
          <w:szCs w:val="22"/>
        </w:rPr>
        <w:t>Dictionary</w:t>
      </w:r>
      <w:proofErr w:type="spellEnd"/>
      <w:r w:rsidRPr="00E8642C">
        <w:rPr>
          <w:rFonts w:cs="Arial"/>
          <w:szCs w:val="22"/>
        </w:rPr>
        <w:t xml:space="preserve"> définit le terme “dépositaire” de la manière suivante : “toute personne ou organisation ayant la garde ou la responsabilité d’une chose ou d’une personne;  un gardien”.  Le </w:t>
      </w:r>
      <w:proofErr w:type="spellStart"/>
      <w:r w:rsidRPr="00E8642C">
        <w:rPr>
          <w:rFonts w:cs="Arial"/>
          <w:szCs w:val="22"/>
        </w:rPr>
        <w:t>Merriam</w:t>
      </w:r>
      <w:proofErr w:type="spellEnd"/>
      <w:r>
        <w:rPr>
          <w:rFonts w:cs="Arial"/>
          <w:szCs w:val="22"/>
        </w:rPr>
        <w:noBreakHyphen/>
      </w:r>
      <w:r w:rsidRPr="00E8642C">
        <w:rPr>
          <w:rFonts w:cs="Arial"/>
          <w:szCs w:val="22"/>
        </w:rPr>
        <w:t xml:space="preserve">Webster </w:t>
      </w:r>
      <w:proofErr w:type="spellStart"/>
      <w:r w:rsidRPr="00E8642C">
        <w:rPr>
          <w:rFonts w:cs="Arial"/>
          <w:szCs w:val="22"/>
        </w:rPr>
        <w:t>Dictionary</w:t>
      </w:r>
      <w:proofErr w:type="spellEnd"/>
      <w:r w:rsidRPr="00E8642C">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traditionnels.  Il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r w:rsidRPr="00E8642C">
        <w:t>Dérivé</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L’article </w:t>
      </w:r>
      <w:proofErr w:type="spellStart"/>
      <w:r w:rsidRPr="00E8642C">
        <w:rPr>
          <w:rFonts w:cs="Arial"/>
          <w:szCs w:val="22"/>
        </w:rPr>
        <w:t>2.e</w:t>
      </w:r>
      <w:proofErr w:type="spellEnd"/>
      <w:r w:rsidRPr="00E8642C">
        <w:rPr>
          <w:rFonts w:cs="Arial"/>
          <w:szCs w:val="22"/>
        </w:rPr>
        <w:t xml:space="preserve">) </w:t>
      </w:r>
      <w:r w:rsidRPr="00E8642C">
        <w:rPr>
          <w:rFonts w:cs="Arial"/>
          <w:szCs w:val="22"/>
          <w:lang w:eastAsia="zh-CN"/>
        </w:rPr>
        <w:t xml:space="preserve">du </w:t>
      </w:r>
      <w:r w:rsidRPr="00E8642C">
        <w:rPr>
          <w:rFonts w:cs="Arial"/>
          <w:i/>
          <w:szCs w:val="22"/>
          <w:lang w:eastAsia="zh-CN"/>
        </w:rPr>
        <w:t>Protocole de Nagoya sur l’accès aux ressources génétiques et le partage juste et équitable des avantages résultant de leur utilisation</w:t>
      </w:r>
      <w:r w:rsidRPr="00E8642C">
        <w:rPr>
          <w:rFonts w:cs="Arial"/>
          <w:szCs w:val="22"/>
          <w:lang w:eastAsia="zh-CN"/>
        </w:rPr>
        <w:t xml:space="preserve"> (2010) donne la définition suivante :</w:t>
      </w:r>
      <w:r w:rsidRPr="00E8642C">
        <w:rPr>
          <w:rFonts w:cs="Arial"/>
          <w:szCs w:val="22"/>
        </w:rPr>
        <w:t xml:space="preserve"> “tout composé biochimique qui existe à l’état naturel résultant de l’expression génétique ou du métabolisme de ressources biologiques ou génétiques, même s’il ne contient pas d’unités fonctionnelles d’hérédité”.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Détenteur</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“détenteur” de la manière suivante : “</w:t>
      </w:r>
      <w:r w:rsidRPr="00E8642C">
        <w:rPr>
          <w:rFonts w:cs="Arial"/>
          <w:iCs/>
          <w:szCs w:val="22"/>
        </w:rPr>
        <w:t>toute personne qui, en vertu de la loi, a en sa possession un instrument négociable et a le droit d’être rémunérée en échange de son utilisation</w:t>
      </w:r>
      <w:r w:rsidRPr="00E8642C">
        <w:rPr>
          <w:rFonts w:cs="Arial"/>
          <w:szCs w:val="22"/>
        </w:rPr>
        <w:t>”.  L’OMPI utilise cette expression pour désigner toutes les personnes qui créent, engendrent, élaborent ou pratiquent des savoirs traditionnels dans un cadre et un environnement traditionnels.  Les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d’une communauté, tel qu’un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Diligence requise</w:t>
      </w:r>
    </w:p>
    <w:p w:rsidR="00DD607D" w:rsidRPr="00E8642C" w:rsidRDefault="00DD607D" w:rsidP="00EF6794"/>
    <w:p w:rsidR="00DD607D" w:rsidRPr="00E8642C" w:rsidRDefault="00DD607D" w:rsidP="00EF6794">
      <w:r w:rsidRPr="00E8642C">
        <w:rPr>
          <w:color w:val="000000"/>
        </w:rPr>
        <w:t xml:space="preserve">Le </w:t>
      </w:r>
      <w:proofErr w:type="spellStart"/>
      <w:r w:rsidRPr="00E8642C">
        <w:rPr>
          <w:color w:val="000000"/>
        </w:rPr>
        <w:t>Black’s</w:t>
      </w:r>
      <w:proofErr w:type="spellEnd"/>
      <w:r w:rsidRPr="00E8642C">
        <w:rPr>
          <w:color w:val="000000"/>
        </w:rPr>
        <w:t xml:space="preserve"> Law </w:t>
      </w:r>
      <w:proofErr w:type="spellStart"/>
      <w:r w:rsidRPr="00E8642C">
        <w:rPr>
          <w:color w:val="000000"/>
        </w:rPr>
        <w:t>Dictionary</w:t>
      </w:r>
      <w:proofErr w:type="spellEnd"/>
      <w:r w:rsidRPr="00E8642C">
        <w:rPr>
          <w:color w:val="000000"/>
        </w:rPr>
        <w:t xml:space="preserve">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d’une personne souhaitant respecter une exigence légale ou s’acquitter d’une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Dispositions types OMPI</w:t>
      </w:r>
      <w:r>
        <w:noBreakHyphen/>
      </w:r>
      <w:r w:rsidRPr="00E8642C">
        <w:t>UNESCO de législation nationale sur la protection des expressions du folklore contre leur exploitation illicite et autres actions dommageables</w:t>
      </w:r>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d’experts gouvernementaux, réuni à l’initiative commune de l’OMPI et de l’Organisation des Nations Unies pour l’éducation,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d’une part, et la liberté de développer et de diffuser les expressions du folklore et les incitations en la matière, d’autre part.  Ces dispositions tiennent compte du fait que les expressions du folklore constituent un élément vivant de la culture humaine qu’il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“l’exploitation illicite et autres actions dommageables”.  En 2000 et 2001, l’OMPI a mené une enquête sur l’expérience acquise par les États concernant l’utilisation et la mise en œuvre des dispositions types.  Un rapport figure dans le document WIPO/GRTKF/IC/3/10.</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Diversité biologique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L’article 2 de la </w:t>
      </w:r>
      <w:r w:rsidRPr="00E8642C">
        <w:rPr>
          <w:rFonts w:cs="Arial"/>
          <w:i/>
          <w:szCs w:val="22"/>
        </w:rPr>
        <w:t xml:space="preserve">Convention sur la diversité biologique </w:t>
      </w:r>
      <w:r w:rsidRPr="00E8642C">
        <w:rPr>
          <w:rFonts w:cs="Arial"/>
          <w:szCs w:val="22"/>
        </w:rPr>
        <w:t xml:space="preserve">(1992) définit le terme “diversité biologique”, souvent abrégé en “biodiversité”, de la manière suivante : </w:t>
      </w:r>
      <w:r w:rsidRPr="00E8642C">
        <w:rPr>
          <w:rFonts w:cs="Arial"/>
          <w:iCs/>
          <w:szCs w:val="22"/>
        </w:rPr>
        <w:t>“Variabilité des organismes vivants de toute origine y compris,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r w:rsidRPr="00E8642C">
        <w:t>Diversité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l’Organisation des Nations Unies pour l’éducation, la science et la culture (UNESCO), la diversité culturelle renvoie à la multiplicité des formes par lesquelles les cultures des groupes et des sociétés trouvent leur expression.  Ces expressions se transmettent au sein des groupes et des sociétés et d’un groupe ou d’une société à l’autre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Divulgation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une “divulgation” est une révélation de faits ou un acte ou un processus permettant de faire connaître quelque chose auparavant inconnu.  Dans le domaine du droit d’auteur, la “divulgation” peut s’entendre du fait de mettre une œuvre à la disposition du public pour la première fois.  La première publication d’une œuvre est l’une – mais pas la seule – forme possible de divulgation puisque les œuvres peuvent aussi être divulguées par l’intermédiaire d’actes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d’un tel droit ne constitue pas une obligation en vertu des normes internationales sur le droit d’auteur.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l’utilisation d’œuvres publiquement divulguées dans le cadre d’exceptions.  L’auteur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Documentation minimale du PCT</w:t>
      </w:r>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l’OMPI, la documentation minimale du PCT désigne les “</w:t>
      </w:r>
      <w:r w:rsidRPr="00E8642C">
        <w:rPr>
          <w:rFonts w:cs="Arial"/>
          <w:iCs/>
          <w:szCs w:val="22"/>
          <w:lang w:eastAsia="en-US" w:bidi="th-TH"/>
        </w:rPr>
        <w:t>[d]</w:t>
      </w:r>
      <w:proofErr w:type="spellStart"/>
      <w:r w:rsidRPr="00E8642C">
        <w:rPr>
          <w:rFonts w:cs="Arial"/>
          <w:iCs/>
          <w:szCs w:val="22"/>
          <w:lang w:eastAsia="en-US" w:bidi="th-TH"/>
        </w:rPr>
        <w:t>ocuments</w:t>
      </w:r>
      <w:proofErr w:type="spellEnd"/>
      <w:r w:rsidRPr="00E8642C">
        <w:rPr>
          <w:rFonts w:cs="Arial"/>
          <w:iCs/>
          <w:szCs w:val="22"/>
          <w:lang w:eastAsia="en-US" w:bidi="th-TH"/>
        </w:rPr>
        <w:t xml:space="preserve"> dans lesquels l’administration chargée de la recherche internationale doit effectuer des recherches en vue de découvrir l’état de la technique pertinent”.  Cette documentation s’applique également aux administrations chargées de l’examen préliminaire international aux fins de l’examen.  Elle comprend certains documents de brevet publiés et la littérature autre que celle des brevets contenue dans une liste publiée par le Bureau international.  La documentation minimale est déterminée par la règle 34 du règlement d’exécution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d’une autre manière) aux fins de la recherche selon leur contenu.  Ces documents sont, pour l’essentiel, des documents de brevet de différents pays, complétés par des articles extraits de revues et d’autres éléments de la littérature non</w:t>
      </w:r>
      <w:r>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proofErr w:type="spellStart"/>
      <w:r w:rsidRPr="00E8642C">
        <w:rPr>
          <w:rFonts w:cs="Arial"/>
          <w:i/>
          <w:iCs/>
          <w:szCs w:val="22"/>
          <w:lang w:eastAsia="zh-CN"/>
        </w:rPr>
        <w:t>Indian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i/>
          <w:iCs/>
          <w:szCs w:val="22"/>
          <w:lang w:eastAsia="zh-CN"/>
        </w:rPr>
        <w:t xml:space="preserve"> </w:t>
      </w:r>
      <w:r w:rsidRPr="00E8642C">
        <w:rPr>
          <w:rFonts w:cs="Arial"/>
          <w:szCs w:val="22"/>
          <w:lang w:eastAsia="zh-CN"/>
        </w:rPr>
        <w:t>et le</w:t>
      </w:r>
      <w:r w:rsidRPr="00E8642C">
        <w:rPr>
          <w:rFonts w:cs="Arial"/>
          <w:i/>
          <w:iCs/>
          <w:szCs w:val="22"/>
          <w:lang w:eastAsia="zh-CN"/>
        </w:rPr>
        <w:t xml:space="preserve"> </w:t>
      </w:r>
      <w:proofErr w:type="spellStart"/>
      <w:r w:rsidRPr="00E8642C">
        <w:rPr>
          <w:rFonts w:cs="Arial"/>
          <w:i/>
          <w:iCs/>
          <w:szCs w:val="22"/>
          <w:lang w:eastAsia="zh-CN"/>
        </w:rPr>
        <w:t>Korean</w:t>
      </w:r>
      <w:proofErr w:type="spellEnd"/>
      <w:r w:rsidRPr="00E8642C">
        <w:rPr>
          <w:rFonts w:cs="Arial"/>
          <w:i/>
          <w:iCs/>
          <w:szCs w:val="22"/>
          <w:lang w:eastAsia="zh-CN"/>
        </w:rPr>
        <w:t xml:space="preserve"> Journal of </w:t>
      </w:r>
      <w:proofErr w:type="spellStart"/>
      <w:r w:rsidRPr="00E8642C">
        <w:rPr>
          <w:rFonts w:cs="Arial"/>
          <w:i/>
          <w:iCs/>
          <w:szCs w:val="22"/>
          <w:lang w:eastAsia="zh-CN"/>
        </w:rPr>
        <w:t>Traditional</w:t>
      </w:r>
      <w:proofErr w:type="spellEnd"/>
      <w:r w:rsidRPr="00E8642C">
        <w:rPr>
          <w:rFonts w:cs="Arial"/>
          <w:i/>
          <w:iCs/>
          <w:szCs w:val="22"/>
          <w:lang w:eastAsia="zh-CN"/>
        </w:rPr>
        <w:t xml:space="preserve"> </w:t>
      </w:r>
      <w:proofErr w:type="spellStart"/>
      <w:r w:rsidRPr="00E8642C">
        <w:rPr>
          <w:rFonts w:cs="Arial"/>
          <w:i/>
          <w:iCs/>
          <w:szCs w:val="22"/>
          <w:lang w:eastAsia="zh-CN"/>
        </w:rPr>
        <w:t>Knowledge</w:t>
      </w:r>
      <w:proofErr w:type="spellEnd"/>
      <w:r w:rsidRPr="00E8642C">
        <w:rPr>
          <w:rFonts w:cs="Arial"/>
          <w:szCs w:val="22"/>
          <w:lang w:eastAsia="zh-CN"/>
        </w:rPr>
        <w:t xml:space="preserve"> sont indiqués comme de la littérature non</w:t>
      </w:r>
      <w:r>
        <w:rPr>
          <w:rFonts w:cs="Arial"/>
          <w:szCs w:val="22"/>
          <w:lang w:eastAsia="zh-CN"/>
        </w:rPr>
        <w:noBreakHyphen/>
      </w:r>
      <w:r w:rsidRPr="00E8642C">
        <w:rPr>
          <w:rFonts w:cs="Arial"/>
          <w:szCs w:val="22"/>
          <w:lang w:eastAsia="zh-CN"/>
        </w:rPr>
        <w:t>brevet dans la liste de périodiques à utiliser pour la recherche et l’examen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Domaine public</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s’il n’y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domaine public comme “</w:t>
      </w:r>
      <w:r w:rsidRPr="00E8642C">
        <w:rPr>
          <w:rFonts w:cs="Arial"/>
          <w:iCs/>
          <w:szCs w:val="22"/>
        </w:rPr>
        <w:t>[l]’ensemble des inventions et des œuvres de création qui ne sont pas protégées par des droits de propriété intellectuelle et qui peuvent donc être utilisées gratuitement par quiconque.  À l’expiration ou à la déchéance du droit d’auteur, du droit sur les marques, du droit de brevet ou du secret commercial, les objets de propriété intellectuelle qu’ils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s’agit n’est pas assurée par un traité international – peuvent être utilisés et exploités par quiconque sans le consentement des titulaires du droit d’auteur et des droits connexes concernés et sans qu’il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D’une manière générale, le domaine public sur le plan du droit des brevets recouvre les connaissances, les idées et les innovations sur lesquelles personne (individu ou organisation) n’a de droit de propriété.  Les connaissances, les idées et les innovations sont dans le domaine public dès lors qu’elles ne font l’objet d’aucune restriction d’utilisation légale (à cet égard, les législations varient, donnant naissance à des domaines publics différents), à l’expiration des brevets (généralement, après une période de 20 ans), par suite d’un non</w:t>
      </w:r>
      <w:r>
        <w:rPr>
          <w:rFonts w:cs="Arial"/>
          <w:szCs w:val="22"/>
        </w:rPr>
        <w:noBreakHyphen/>
      </w:r>
      <w:r w:rsidRPr="00E8642C">
        <w:rPr>
          <w:rFonts w:cs="Arial"/>
          <w:szCs w:val="22"/>
        </w:rPr>
        <w:t>renouvellement, d’une révocation ou d’une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l’objet de discussions intensives au sein de plusieurs instances, en particulier à l’OMPI dans le cadre de l’IGC.  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Droit et protocoles coutumiers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 xml:space="preserve">Le </w:t>
      </w:r>
      <w:proofErr w:type="spellStart"/>
      <w:r w:rsidRPr="00E8642C">
        <w:rPr>
          <w:rFonts w:cs="Arial"/>
        </w:rPr>
        <w:t>Black’s</w:t>
      </w:r>
      <w:proofErr w:type="spellEnd"/>
      <w:r w:rsidRPr="00E8642C">
        <w:rPr>
          <w:rFonts w:cs="Arial"/>
        </w:rPr>
        <w:t xml:space="preserve"> Law </w:t>
      </w:r>
      <w:proofErr w:type="spellStart"/>
      <w:r w:rsidRPr="00E8642C">
        <w:rPr>
          <w:rFonts w:cs="Arial"/>
        </w:rPr>
        <w:t>Dictionary</w:t>
      </w:r>
      <w:proofErr w:type="spellEnd"/>
      <w:r w:rsidRPr="00E8642C">
        <w:rPr>
          <w:rFonts w:cs="Arial"/>
        </w:rPr>
        <w:t xml:space="preserve"> définit le “droit coutumier” de la manière suivante : “[e]</w:t>
      </w:r>
      <w:proofErr w:type="spellStart"/>
      <w:r w:rsidRPr="00E8642C">
        <w:rPr>
          <w:rFonts w:cs="Arial"/>
        </w:rPr>
        <w:t>nsemble</w:t>
      </w:r>
      <w:proofErr w:type="spellEnd"/>
      <w:r w:rsidRPr="00E8642C">
        <w:rPr>
          <w:rFonts w:cs="Arial"/>
        </w:rPr>
        <w:t xml:space="preserve"> d’usages acceptés comme des obligations légales ou des règles de conduite obligatoires;  pratiques et croyances qui sont vitales et font partie intégrante du système social et économique à tel point qu’elles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formes.  Par exemple, ces lois peuvent être codifiées, écrites ou orales, énoncées expressément dans des pratiques traditionnelles.  Il est également important de déterminer si ces lois sont reconnues “formellement” dans le cadre des systèmes juridiques nationaux du pays dans lequel réside une communauté ou si elles sont liées à ces systèmes.  Un facteur essentiel pour déterminer si certains usages ont un statut de loi consiste à vérifier s’ils sont considérés par la communauté comme ayant un effet contraignant, ou s’ils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Pr>
          <w:rFonts w:cs="Arial"/>
          <w:szCs w:val="22"/>
        </w:rPr>
        <w:noBreakHyphen/>
      </w:r>
      <w:r w:rsidRPr="00E8642C">
        <w:rPr>
          <w:rFonts w:cs="Arial"/>
          <w:szCs w:val="22"/>
        </w:rPr>
        <w:t>ci;  droits et obligations en matière foncière, d’héritage et de propriété;  conduite de la vie spirituelle;  entretien du patrimoine culturel et des systèmes de connaissances;  et bien d’autres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violation.  La plupart des règles de droit coutumier ne sont pas écrites et ne sont pas homogènes entre groupes ethniques.  Les différences de droit coutumier constatées d’un groupe ethnique à l’autre s’expliquent par différents facteurs tels que la langue, la proximité, l’origine, l’histoire, la structure sociale et l’économie.  Le droit coutumier n’est pas statique mais dynamique;  ses règles changent de temps à autre pour tenir compte de l’évolution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l’IGC renvoient au droit et aux protocoles coutumiers et certains indiquent que ceux</w:t>
      </w:r>
      <w:r>
        <w:rPr>
          <w:rFonts w:cs="Arial"/>
          <w:szCs w:val="22"/>
        </w:rPr>
        <w:noBreakHyphen/>
      </w:r>
      <w:r w:rsidRPr="00E8642C">
        <w:rPr>
          <w:rFonts w:cs="Arial"/>
          <w:szCs w:val="22"/>
        </w:rPr>
        <w:t>ci devraient être pris en considération dans l’élaboration d’un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r w:rsidRPr="00E8642C">
        <w:t>Droits des agriculteurs</w:t>
      </w:r>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 xml:space="preserve">L’article 9.1 du </w:t>
      </w:r>
      <w:r w:rsidRPr="00E8642C">
        <w:rPr>
          <w:rFonts w:cs="Arial"/>
          <w:i/>
          <w:szCs w:val="22"/>
        </w:rPr>
        <w:t>Traité international sur les ressources phytogénétiques pour l’alimentation et l’agriculture</w:t>
      </w:r>
      <w:r w:rsidRPr="00E8642C">
        <w:rPr>
          <w:rFonts w:cs="Arial"/>
          <w:szCs w:val="22"/>
        </w:rPr>
        <w:t xml:space="preserve"> de l’Organisation des Nations Unies pour l’alimentation et l’agriculture (FAO) indique que les Parties contractantes reconnaissent </w:t>
      </w:r>
      <w:r w:rsidRPr="00E8642C">
        <w:rPr>
          <w:rFonts w:cs="Arial"/>
          <w:iCs/>
          <w:szCs w:val="22"/>
        </w:rPr>
        <w:t>“l’énorme contribution que les communautés locales et autochtones ainsi que les agriculteurs de toutes les régions du monde, et spécialement ceux des centres d’origine et de diversité des plantes cultivées, ont apportée et continueront d’apporter à la conservation et à la mise en valeur des ressources phytogénétiques qui constituent la base de la production alimentaire et agricole dans le monde entier</w:t>
      </w:r>
      <w:r w:rsidRPr="00E8642C">
        <w:rPr>
          <w:rFonts w:cs="Arial"/>
          <w:szCs w:val="22"/>
        </w:rPr>
        <w:t>”.  L’article 9.2 définit les “droits des agriculteurs” de la manière suivante : “</w:t>
      </w:r>
      <w:r w:rsidRPr="00E8642C">
        <w:rPr>
          <w:rFonts w:cs="Arial"/>
          <w:iCs/>
          <w:szCs w:val="22"/>
        </w:rPr>
        <w:t>a) la protection des connaissances traditionnelles présentant un intérêt pour les ressources phytogénétiques pour l’alimentation et l’agriculture;  b) le droit de participer équitablement au partage des avantages découlant de l’utilisation des ressources phytogénétiques pour l’alimentation et l’agriculture;  c) le droit de participer à la prise de décisions, au niveau national, sur les questions relatives à la conservation et à l’utilisation durable des ressources phytogénétiques pour l’alimentation et l’agriculture</w:t>
      </w:r>
      <w:r w:rsidRPr="00E8642C">
        <w:rPr>
          <w:rFonts w:cs="Arial"/>
          <w:szCs w:val="22"/>
        </w:rPr>
        <w:t xml:space="preserve">”.  L’article 2 du </w:t>
      </w:r>
      <w:r w:rsidRPr="00E8642C">
        <w:rPr>
          <w:rFonts w:cs="Arial"/>
          <w:i/>
          <w:szCs w:val="22"/>
        </w:rPr>
        <w:t>Code international de conduite pour la collecte et le transfert de matériel phytogénétique</w:t>
      </w:r>
      <w:r w:rsidRPr="00E8642C">
        <w:rPr>
          <w:rFonts w:cs="Arial"/>
          <w:szCs w:val="22"/>
        </w:rPr>
        <w:t xml:space="preserve"> de l’Organisation des Nations Unies pour l’alimentation et l’agriculture (FAO) définit ce terme de la manière suivante : “</w:t>
      </w:r>
      <w:r w:rsidRPr="00E8642C">
        <w:rPr>
          <w:rFonts w:cs="Arial"/>
          <w:iCs/>
          <w:szCs w:val="22"/>
        </w:rPr>
        <w:t>droits que confèrent aux agriculteurs, et particulièrement à ceux des centres d’origine et de diversité des ressources génétiques, leurs contributions passées, présentes et futures à la conservation, à l’amélioration et à la disponibilité de ces ressources.  Ces droits sont dévolus à la communauté internationale qui, en tant que dépositaire pour les générations présentes et futures d’agriculteurs, doit assurer à ces derniers tous les bénéfices qui leur reviennent, les aider à poursuivre leur action et appuyer la réalisation des objectifs globaux de l’Engagement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État de la technique</w:t>
      </w:r>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L’état de la technique désigne, en général, toutes les connaissances qui existaient avant la date de dépôt ou de priorité pertinente d’une demande de brevet, qu’elles aient fait l’objet d’une divulgation écrite ou orale.  Certains instruments juridiques établissent une distinction entre publications imprimées, divulgations orales et utilisation antérieure et en fonction de l’endroit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d’exécution du PCT définit l’état de la technique comme “</w:t>
      </w:r>
      <w:r w:rsidRPr="00E8642C">
        <w:rPr>
          <w:rFonts w:cs="Arial"/>
          <w:iCs/>
          <w:szCs w:val="22"/>
        </w:rPr>
        <w:t>tout ce qui a été rendu accessible au public en tous lieux du monde par une divulgation écrite (y compris des dessins et autres illustrations) et qui est susceptible d’aider à déterminer si l’invention dont la protection est demandée est nouvelle ou non et si elle implique ou non une activité inventive (c’est</w:t>
      </w:r>
      <w:r>
        <w:rPr>
          <w:rFonts w:cs="Arial"/>
          <w:iCs/>
          <w:szCs w:val="22"/>
        </w:rPr>
        <w:noBreakHyphen/>
      </w:r>
      <w:r w:rsidRPr="00E8642C">
        <w:rPr>
          <w:rFonts w:cs="Arial"/>
          <w:iCs/>
          <w:szCs w:val="22"/>
        </w:rPr>
        <w:t>à</w:t>
      </w:r>
      <w:r>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 xml:space="preserve">En Europe, l’article 54.2) de la </w:t>
      </w:r>
      <w:r w:rsidRPr="00E8642C">
        <w:rPr>
          <w:rFonts w:cs="Arial"/>
          <w:i/>
          <w:szCs w:val="22"/>
          <w:lang w:eastAsia="en-US" w:bidi="th-TH"/>
        </w:rPr>
        <w:t>Convention sur le brevet européen</w:t>
      </w:r>
      <w:r w:rsidRPr="00E8642C">
        <w:rPr>
          <w:rFonts w:cs="Arial"/>
          <w:szCs w:val="22"/>
          <w:lang w:eastAsia="en-US" w:bidi="th-TH"/>
        </w:rPr>
        <w:t xml:space="preserve"> (</w:t>
      </w:r>
      <w:proofErr w:type="spellStart"/>
      <w:r w:rsidRPr="00E8642C">
        <w:rPr>
          <w:rFonts w:cs="Arial"/>
          <w:szCs w:val="22"/>
          <w:lang w:eastAsia="en-US" w:bidi="th-TH"/>
        </w:rPr>
        <w:t>CBE</w:t>
      </w:r>
      <w:proofErr w:type="spellEnd"/>
      <w:r w:rsidRPr="00E8642C">
        <w:rPr>
          <w:rFonts w:cs="Arial"/>
          <w:szCs w:val="22"/>
          <w:lang w:eastAsia="en-US" w:bidi="th-TH"/>
        </w:rPr>
        <w:t>) définit l’état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En ce qui concerne cette disposition de la </w:t>
      </w:r>
      <w:proofErr w:type="spellStart"/>
      <w:r w:rsidRPr="00E8642C">
        <w:rPr>
          <w:rFonts w:cs="Arial"/>
          <w:szCs w:val="22"/>
          <w:lang w:eastAsia="en-US" w:bidi="th-TH"/>
        </w:rPr>
        <w:t>CBE</w:t>
      </w:r>
      <w:proofErr w:type="spellEnd"/>
      <w:r w:rsidRPr="00E8642C">
        <w:rPr>
          <w:rFonts w:cs="Arial"/>
          <w:szCs w:val="22"/>
          <w:lang w:eastAsia="en-US" w:bidi="th-TH"/>
        </w:rPr>
        <w:t xml:space="preserve">, les </w:t>
      </w:r>
      <w:r w:rsidRPr="00E8642C">
        <w:rPr>
          <w:rFonts w:cs="Arial"/>
          <w:i/>
          <w:szCs w:val="22"/>
          <w:lang w:eastAsia="en-US" w:bidi="th-TH"/>
        </w:rPr>
        <w:t>Directives concernant l’examen à l’Office européen des brevets</w:t>
      </w:r>
      <w:r w:rsidRPr="00E8642C">
        <w:rPr>
          <w:rFonts w:cs="Arial"/>
          <w:szCs w:val="22"/>
          <w:lang w:eastAsia="en-US" w:bidi="th-TH"/>
        </w:rPr>
        <w:t xml:space="preserve"> (OEB) soulignent qu’“</w:t>
      </w:r>
      <w:r w:rsidRPr="00E8642C">
        <w:rPr>
          <w:rFonts w:cs="Arial"/>
          <w:iCs/>
          <w:szCs w:val="22"/>
          <w:lang w:eastAsia="en-US" w:bidi="th-TH"/>
        </w:rPr>
        <w:t>il convient de noter combien cette définition est large”.  On notera qu’aucune restriction n’a été prévue en ce qui concerne le lieu géographique où l’état de la technique a été rendu accessible au public, la façon dont il l’a été et la langue dans laquelle il l’a été;  par ailleurs, aucune limite d’ancienneté n’a été fixée en ce qui concerne les documents constituant l’état de la technique.  Il existe toutefois certaines restrictions particulières (cf. 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L’article 102 du titre 35 du Code des États</w:t>
      </w:r>
      <w:r>
        <w:rPr>
          <w:rFonts w:cs="Arial"/>
          <w:szCs w:val="22"/>
          <w:lang w:eastAsia="en-US" w:bidi="th-TH"/>
        </w:rPr>
        <w:noBreakHyphen/>
      </w:r>
      <w:r w:rsidRPr="00E8642C">
        <w:rPr>
          <w:rFonts w:cs="Arial"/>
          <w:szCs w:val="22"/>
          <w:lang w:eastAsia="en-US" w:bidi="th-TH"/>
        </w:rPr>
        <w:t>Unis d’Amérique définit l’état de la technique indirectement par l’intermédiaire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l’objet d’un usage </w:t>
      </w:r>
      <w:r w:rsidRPr="00E8642C">
        <w:rPr>
          <w:rFonts w:cs="Arial"/>
          <w:iCs/>
          <w:szCs w:val="22"/>
          <w:lang w:eastAsia="en-US" w:bidi="th-TH"/>
        </w:rPr>
        <w:t>public, en vente ou mise à la disposition du public d’une autre manière avant la date de dépôt effective de l’invention revendiquée;  ou comme 2) l’invention revendiquée décrite dans un brevet délivré en vertu de l’article 151 ou dans une demande de brevet publiée ou réputée publiée en vertu de l’</w:t>
      </w:r>
      <w:proofErr w:type="spellStart"/>
      <w:r w:rsidRPr="00E8642C">
        <w:rPr>
          <w:rFonts w:cs="Arial"/>
          <w:iCs/>
          <w:szCs w:val="22"/>
          <w:lang w:eastAsia="en-US" w:bidi="th-TH"/>
        </w:rPr>
        <w:t>article122.b</w:t>
      </w:r>
      <w:proofErr w:type="spellEnd"/>
      <w:r w:rsidRPr="00E8642C">
        <w:rPr>
          <w:rFonts w:cs="Arial"/>
          <w:iCs/>
          <w:szCs w:val="22"/>
          <w:lang w:eastAsia="en-US" w:bidi="th-TH"/>
        </w:rPr>
        <w:t>), lorsque le brevet ou la demande, selon le cas, désigne un autre inventeur et a effectivement été déposé avant la date de dépôt effective de l’invention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L’article 29 de la loi japonaise sur les brevets définit indirectement l’état de la technique comme englobant “</w:t>
      </w:r>
      <w:r w:rsidRPr="00E8642C">
        <w:rPr>
          <w:rFonts w:cs="Arial"/>
          <w:iCs/>
          <w:szCs w:val="22"/>
          <w:lang w:eastAsia="en-US"/>
        </w:rPr>
        <w:t>i) les inventions qui étaient publiquement connues au Japon ou à l’étranger avant la date de dépôt de la demande de brevet;  ii) les inventions qui étaient publiquement utilisées au Japon ou à l’étranger avant la date de dépôt de la demande de brevet;  ou iii) les inventions qui étaient décrites dans une publication diffusée, ou les inventions qui étaient mises à la disposition du public au moyen d’une ligne de télécommunication électrique au Japon ou à l’étranger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r w:rsidRPr="00E8642C">
        <w:t>Exception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l’utilisation d’une œuvre protégée par le droit d’auteur.  Les exceptions sont étroitement liées aux actes en rapport avec les éléments protégés.  Parfois, le terme “exception” englobe des décisions législatives supprimant certaines créations originales du monopole du titulaire ou propriétaire (textes de lois ou décisions judiciaires, par exemple) mais, dans l’ensemble, il s’agit de déterminer quelles utilisations d’éléments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l’application d’un triple critère pour déterminer la possibilité d’exception : i) l’exception peut s’appliquer uniquement à certains cas spéciaux;  ii) l’exception ne doit pas porter atteinte à l’exploitation normale de l’œuvre ni iii) causer un préjudice injustifié aux intérêts légitimes de l’auteur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Exigences de divulgation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xml:space="preserve">.  Comme l’indique l’article 5 du </w:t>
      </w:r>
      <w:r w:rsidRPr="00E8642C">
        <w:rPr>
          <w:rFonts w:cs="Arial"/>
          <w:i/>
          <w:szCs w:val="22"/>
        </w:rPr>
        <w:t>Traité de coopération en matière de brevets (PCT)</w:t>
      </w:r>
      <w:r w:rsidRPr="00E8642C">
        <w:rPr>
          <w:rFonts w:cs="Arial"/>
          <w:szCs w:val="22"/>
        </w:rPr>
        <w:t>, le droit des brevets impose aux déposants de demandes de brevet l’obligation générale “</w:t>
      </w:r>
      <w:r w:rsidRPr="00E8642C">
        <w:rPr>
          <w:rFonts w:cs="Arial"/>
          <w:iCs/>
          <w:szCs w:val="22"/>
        </w:rPr>
        <w:t>d’exposer l’invention d’une manière suffisamment claire et complète pour qu’un homme du métier puisse l’exécuter</w:t>
      </w:r>
      <w:r w:rsidRPr="00E8642C">
        <w:rPr>
          <w:rFonts w:cs="Arial"/>
          <w:szCs w:val="22"/>
        </w:rPr>
        <w:t>”.  Cela étant, le terme “exigences de divulgation” est utilisé récemment d’une manière générale pour les modifications apportées au droit des brevets à l’échelle régionale ou nationale et pour les propositions de réforme du droit international des brevets visant à obliger expressément les déposants de demandes de brevet à révéler plusieurs éléments d’information concernant les savoirs traditionnels ou les ressources génétiques utilisés dans la mise au point de l’invention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l’invention (fonction descriptive ou relative à la transparence, liée à la ressource génétique ou au savoir traditionnel lui</w:t>
      </w:r>
      <w:r>
        <w:rPr>
          <w:rFonts w:cs="Arial"/>
          <w:szCs w:val="22"/>
        </w:rPr>
        <w:noBreakHyphen/>
      </w:r>
      <w:r w:rsidRPr="00E8642C">
        <w:rPr>
          <w:rFonts w:cs="Arial"/>
          <w:szCs w:val="22"/>
        </w:rPr>
        <w:t>même et à son rapport avec l’invention);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la source effective de la ressource génétique ou du savoir traditionnel (fonction de divulgation relative au lieu où la ressource génétique ou le savoir traditionnel a été obtenu), ce qui peut concerner le pays d’origine (afin de préciser la juridiction dans laquelle le matériel d’origine a été obtenu), ou une localisation plus précise (par exemple, afin d’assurer que les ressources génétiques soient accessibles aux fins de la duplication ou de la reproduction de l’invention);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l’obligation, relative à la légalité des actes régissant l’accès au matériel d’origine de la ressource génétique ou du savoir traditionnel), ce qui peut entraîner l’obligation de démontrer que la ressource génétique ou le savoir traditionnel utilisé dans l’invention a été obtenu et utilisé conformément aux lois applicables dans le pays d’origine ou conformément aux termes de tout accord particulier consignant le consentement préalable en connaissance de cause;  ou de démontrer que l’acte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D’autres mécanismes ont également été proposés</w:t>
      </w:r>
      <w:r w:rsidRPr="00E8642C">
        <w:rPr>
          <w:rFonts w:cs="Arial"/>
          <w:szCs w:val="22"/>
          <w:vertAlign w:val="superscript"/>
        </w:rPr>
        <w:footnoteReference w:id="72"/>
      </w:r>
      <w:r w:rsidRPr="00E8642C">
        <w:rPr>
          <w:rFonts w:cs="Arial"/>
          <w:szCs w:val="22"/>
        </w:rPr>
        <w:t>.  L’initiative internationale relative au projet d’article </w:t>
      </w:r>
      <w:proofErr w:type="spellStart"/>
      <w:r w:rsidRPr="00E8642C">
        <w:rPr>
          <w:rFonts w:cs="Arial"/>
          <w:szCs w:val="22"/>
        </w:rPr>
        <w:t>29</w:t>
      </w:r>
      <w:r w:rsidRPr="00E8642C">
        <w:rPr>
          <w:rFonts w:cs="Arial"/>
          <w:i/>
          <w:szCs w:val="22"/>
        </w:rPr>
        <w:t>bis</w:t>
      </w:r>
      <w:proofErr w:type="spellEnd"/>
      <w:r w:rsidRPr="00E8642C">
        <w:rPr>
          <w:rFonts w:cs="Arial"/>
          <w:i/>
          <w:szCs w:val="22"/>
        </w:rPr>
        <w:t xml:space="preserve"> </w:t>
      </w:r>
      <w:r w:rsidRPr="00E8642C">
        <w:rPr>
          <w:rFonts w:cs="Arial"/>
          <w:szCs w:val="22"/>
        </w:rPr>
        <w:t>de l’</w:t>
      </w:r>
      <w:r w:rsidRPr="00E8642C">
        <w:rPr>
          <w:rFonts w:cs="Arial"/>
          <w:i/>
          <w:szCs w:val="22"/>
        </w:rPr>
        <w:t>Accord sur les aspects des droits de propriété intellectuelle qui touchent au commerce</w:t>
      </w:r>
      <w:r w:rsidRPr="00E8642C">
        <w:rPr>
          <w:rFonts w:cs="Arial"/>
          <w:szCs w:val="22"/>
        </w:rPr>
        <w:t xml:space="preserve"> (1994) (Accord sur les ADPIC) de l’Organisation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Expression par l’action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Expressions culturelles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l’Organisation des Nations Unies pour l’éducation,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Expressions culturelles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L’OMPI utilise les termes “expressions culturelles traditionnelles” et “expressions du folklore” pour désigner les formes tangibles et intangibles dans lesquelles les savoirs traditionnels et les cultures traditionnelles sont exprimés, communiqués ou présentés.  On peut donner comme exemples la musique, les interprétations et exécutions, les récits, les noms et les symboles, les dessins et les ouvrages d’architecture traditionnels.  Les termes “expressions culturelles traditionnelles” et “expressions du folklore” sont </w:t>
      </w:r>
      <w:proofErr w:type="gramStart"/>
      <w:r w:rsidRPr="00E8642C">
        <w:rPr>
          <w:rFonts w:cs="Arial"/>
          <w:szCs w:val="22"/>
        </w:rPr>
        <w:t>utilisés</w:t>
      </w:r>
      <w:proofErr w:type="gramEnd"/>
      <w:r w:rsidRPr="00E8642C">
        <w:rPr>
          <w:rFonts w:cs="Arial"/>
          <w:szCs w:val="22"/>
        </w:rPr>
        <w:t xml:space="preserve"> comme des synonymes interchangeables et peuvent être désignés par le seul terme “expressions culturelles traditionnelles”.  L’utilisation de ces termes ne tend pas à suggérer l’existence d’un quelconque consensus entre les États membres de l’OMPI quant à la validité ou à l’opportunité de ces termes ou d’autres termes;  par ailleurs, elle n’affecte en rien ni ne limite l’utilisation d’autres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Expressions du folklore</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d’éléments caractéristiques du patrimoine artistique traditionnel développé et perpétué par une communauté d’un pays ou par des individus reconnus comme répondant aux aspirations artistiques traditionnelles de cette communauté, en particulier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Expressions tangibles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obtenu.  Le terme “tangible” s’oppose au terme “intangible” qui se rapporte à quelque chose qui n’a pas de forme matérielle, ne peut pas être touché, est impalpable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n’est pas nécessaire qu’elles soient fixées sur un support mais elles doivent être fixées sur un matériau durable comme la pierre, le bois, le textile, l’or, etc.  Les expressions tangibles peuvent prétendre à la protection au titre des expressions du folklore.  On peut donner les exemples ci</w:t>
      </w:r>
      <w:r>
        <w:rPr>
          <w:rFonts w:cs="Arial"/>
          <w:szCs w:val="22"/>
        </w:rPr>
        <w:noBreakHyphen/>
      </w:r>
      <w:r w:rsidRPr="00E8642C">
        <w:rPr>
          <w:rFonts w:cs="Arial"/>
          <w:szCs w:val="22"/>
        </w:rPr>
        <w:t>après d’éléments constitutifs d’expressions tangibles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d’art populaire, notamment les dessins, peintures, ciselures, sculptures, poteries, terres cuites, mosaïques, travaux sur bois, objets métalliques, bijoux, vanneries, travaux d’aiguille,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r w:rsidRPr="00E8642C">
        <w:t>Fixation (“documentation” en anglais)</w:t>
      </w:r>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 xml:space="preserve">L’Oxford English </w:t>
      </w:r>
      <w:proofErr w:type="spellStart"/>
      <w:r w:rsidRPr="00E8642C">
        <w:rPr>
          <w:rFonts w:cs="Arial"/>
          <w:szCs w:val="22"/>
        </w:rPr>
        <w:t>Dictionary</w:t>
      </w:r>
      <w:proofErr w:type="spellEnd"/>
      <w:r w:rsidRPr="00E8642C">
        <w:rPr>
          <w:rFonts w:cs="Arial"/>
          <w:szCs w:val="22"/>
        </w:rPr>
        <w:t xml:space="preserve"> définit la fixation comme l’accumulation, le classement et la diffusion de l’information;  le matériel ainsi recueilli.  Fixer des expressions culturelles traditionnelles peut inclure de les enregistrer, de les écrire, de les photographier ou de les filmer, soit tout ce qui suppose de les enregistrer d’une manière qui les préserve et qui peut les mettre à la disposition d’autres.  C’est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r w:rsidRPr="00E8642C">
        <w:t>Fixation (“fixation”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l’enregistrement d’une œuvre originale sous forme tangible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La fixation d’une œuvre ou d’un objet de droits connexes sur un support matériel (y compris par stockage dans une mémoire électronique) (d’ordinateur)), doit être effectuée d’une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xml:space="preserve">.  La fixation sur support numérique n’est pas toujours une condition préalable nécessaire à l’octroi d’une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9" w:name="_Ref289444051"/>
      <w:r w:rsidRPr="00E8642C">
        <w:rPr>
          <w:rFonts w:cs="Arial"/>
          <w:szCs w:val="22"/>
        </w:rPr>
        <w:t>La fixation d’expressions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9"/>
      <w:r w:rsidRPr="00E8642C">
        <w:rPr>
          <w:rFonts w:cs="Arial"/>
          <w:szCs w:val="22"/>
        </w:rPr>
        <w:t>.  Il a été fait valoir que l’utilisation du terme “expression” pouvait donner l’impression que l’une des conditions à remplir pour que les expressions culturelles traditionnelles bénéficient d’une protection était qu’elles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Folklore</w:t>
      </w:r>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l’Organisation des Nations Unies pour l’éducation, la science et la culture (UNESCO) définit le folklore (ou la culture traditionnelle et populaire) en ces termes : “ensemble des créations émanant d’une communauté culturelle fondées sur la tradition, exprimées par un groupe ou par des individus et reconnues comme répondant aux attentes de la communauté en tant qu’expression de l’identité culturelle et sociale de celle</w:t>
      </w:r>
      <w:r>
        <w:rPr>
          <w:rFonts w:cs="Arial"/>
          <w:snapToGrid w:val="0"/>
          <w:szCs w:val="22"/>
        </w:rPr>
        <w:noBreakHyphen/>
      </w:r>
      <w:r w:rsidRPr="00E8642C">
        <w:rPr>
          <w:rFonts w:cs="Arial"/>
          <w:snapToGrid w:val="0"/>
          <w:szCs w:val="22"/>
        </w:rPr>
        <w:t>ci, les normes et les valeurs se transmettant oralement, par imitation ou par d’autres manières.  Ses formes comprennent, entre autres, la langue, la littérature, la musique, la danse, les jeux, la mythologie, les rites, les coutumes, l’artisanat, l’architecture et d’autres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t>Les premières tentatives de réglementation explicite de l’utilisation des créations du folklore ont eu lieu dans le cadre de plusieurs législations sur le droit d’auteur (Tunisie : 1967;  Bolivie : 1968 (uniquement pour le folklore musical);  Chili : 1970;  Maroc : 1970;  Algérie : 1973;  Sénégal : 1973;  Kenya : 1975;  Mali : 1977;  Burundi : 1978;  Côte d’Ivoire : 1978;  Guinée : 1980;  loi type de Tunis sur le droit d’auteur à l’usage des pays en voie de développement 1976) et un traité international (texte de Bangui de 1977 de la Convention concernant l’Organisation africaine de la propriété intellectuelle, ci</w:t>
      </w:r>
      <w:r w:rsidRPr="00AA3C26">
        <w:rPr>
          <w:rFonts w:cs="Arial"/>
          <w:snapToGrid w:val="0"/>
          <w:spacing w:val="-2"/>
          <w:szCs w:val="22"/>
        </w:rPr>
        <w:noBreakHyphen/>
        <w:t xml:space="preserve">après dénommée “Convention OAPI”).  Dans tous ces textes, les œuvres du folklore sont considérées comme faisant partie du patrimoine culturel de la nation (“patrimoine traditionnel”, “patrimoine culturel”;  au Chili : “domaine public culturel” dont l’utilisation est soumise à paiement).  Le sens du mot folklore, dans les textes susmentionnés, se comprend toutefois de différentes manières.  Un élément commun important relevant du droit d’auteur dans la définition de ces lois (à l’exception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l’identité est inconnue mais qui sont vraisemblablement ou qui ont été des ressortissants du pays.  La </w:t>
      </w:r>
      <w:r w:rsidRPr="00AA3C26">
        <w:rPr>
          <w:rFonts w:cs="Arial"/>
          <w:i/>
          <w:snapToGrid w:val="0"/>
          <w:spacing w:val="-2"/>
          <w:szCs w:val="22"/>
        </w:rPr>
        <w:t>Convention de l’OAPI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d’auteur traditionnel.  La </w:t>
      </w:r>
      <w:r w:rsidRPr="00AA3C26">
        <w:rPr>
          <w:rFonts w:cs="Arial"/>
          <w:i/>
          <w:snapToGrid w:val="0"/>
          <w:spacing w:val="-2"/>
          <w:szCs w:val="22"/>
        </w:rPr>
        <w:t>loi type de Tunis</w:t>
      </w:r>
      <w:r w:rsidRPr="00AA3C26">
        <w:rPr>
          <w:rFonts w:cs="Arial"/>
          <w:snapToGrid w:val="0"/>
          <w:spacing w:val="-2"/>
          <w:szCs w:val="22"/>
        </w:rPr>
        <w:t xml:space="preserve"> définit le folklore à l’aide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publiées.  La législation sénégalaise part explicitement du principe que la notion de folklore comprend à la fois des œuvres littéraires et des œuvres artistiques.  La </w:t>
      </w:r>
      <w:r w:rsidRPr="00AA3C26">
        <w:rPr>
          <w:rFonts w:cs="Arial"/>
          <w:i/>
          <w:snapToGrid w:val="0"/>
          <w:spacing w:val="-2"/>
          <w:szCs w:val="22"/>
        </w:rPr>
        <w:t>Convention de l’OAPI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scientifiques.  La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d’œuvres dont l’utilisation à des fins commerciales exige l’approbation d’un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Formalité</w:t>
      </w:r>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 xml:space="preserve">Le </w:t>
      </w:r>
      <w:proofErr w:type="spellStart"/>
      <w:r w:rsidRPr="00AA3C26">
        <w:rPr>
          <w:rFonts w:cs="Arial"/>
          <w:snapToGrid w:val="0"/>
          <w:szCs w:val="22"/>
        </w:rPr>
        <w:t>Black’s</w:t>
      </w:r>
      <w:proofErr w:type="spellEnd"/>
      <w:r w:rsidRPr="00AA3C26">
        <w:rPr>
          <w:rFonts w:cs="Arial"/>
          <w:snapToGrid w:val="0"/>
          <w:szCs w:val="22"/>
        </w:rPr>
        <w:t xml:space="preserve"> Law </w:t>
      </w:r>
      <w:proofErr w:type="spellStart"/>
      <w:r w:rsidRPr="00AA3C26">
        <w:rPr>
          <w:rFonts w:cs="Arial"/>
          <w:snapToGrid w:val="0"/>
          <w:szCs w:val="22"/>
        </w:rPr>
        <w:t>Dictionary</w:t>
      </w:r>
      <w:proofErr w:type="spellEnd"/>
      <w:r w:rsidRPr="00AA3C26">
        <w:rPr>
          <w:rFonts w:cs="Arial"/>
          <w:snapToGrid w:val="0"/>
          <w:szCs w:val="22"/>
        </w:rPr>
        <w:t xml:space="preserve"> définit une formalité comme un acte qui doit être effectué, selon une forme définie ou une procédure établie, pour donner un caractère légal à quelque chose.  Dans le contexte du droit d’auteur, le terme “formalités” renvoie à une condition de procédure ou une condition administrative, telle que l’insertion d’une mention de réserve du droit d’auteur, le dépôt d’exemplaires ou l’enregistrement, auxquels sont subordonnés l’acquisition, la jouissance et l’exercice (notamment l’opposabilité) du droit d’auteur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l’Organisation mondiale du commerce (OMC), le </w:t>
      </w:r>
      <w:r w:rsidRPr="00AA3C26">
        <w:rPr>
          <w:rFonts w:cs="Arial"/>
          <w:i/>
          <w:snapToGrid w:val="0"/>
          <w:szCs w:val="22"/>
        </w:rPr>
        <w:t>Traité de l’OMPI sur le droit d’auteur</w:t>
      </w:r>
      <w:r w:rsidRPr="00AA3C26">
        <w:rPr>
          <w:rFonts w:cs="Arial"/>
          <w:snapToGrid w:val="0"/>
          <w:szCs w:val="22"/>
        </w:rPr>
        <w:t xml:space="preserve"> (WCT) et le </w:t>
      </w:r>
      <w:r w:rsidRPr="00AA3C26">
        <w:rPr>
          <w:rFonts w:cs="Arial"/>
          <w:i/>
          <w:snapToGrid w:val="0"/>
          <w:szCs w:val="22"/>
        </w:rPr>
        <w:t>Traité de l’OMPI sur les interprétations et exécutions et les phonogrammes</w:t>
      </w:r>
      <w:r w:rsidRPr="00AA3C26">
        <w:rPr>
          <w:rFonts w:cs="Arial"/>
          <w:snapToGrid w:val="0"/>
          <w:szCs w:val="22"/>
        </w:rPr>
        <w:t xml:space="preserve"> (WPPT), la jouissance et l’exercice de ces droits peuvent n’être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r w:rsidRPr="00E8642C">
        <w:t>Fournisseurs et destinataires de ressources génétiques</w:t>
      </w:r>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y compris les responsables de l’administration des parcs nationaux et des terrains publics);  les établissements commerciaux ou industriels (par exemple, des entreprises pharmaceutiques, </w:t>
      </w:r>
      <w:proofErr w:type="spellStart"/>
      <w:r w:rsidRPr="00E8642C">
        <w:rPr>
          <w:rFonts w:cs="Arial"/>
          <w:szCs w:val="22"/>
        </w:rPr>
        <w:t>agroalimentaires</w:t>
      </w:r>
      <w:proofErr w:type="spellEnd"/>
      <w:r w:rsidRPr="00E8642C">
        <w:rPr>
          <w:rFonts w:cs="Arial"/>
          <w:szCs w:val="22"/>
        </w:rPr>
        <w:t>,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r w:rsidRPr="00E8642C">
        <w:t>Identité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L’identité culturelle révèle la correspondance qui existe entre une communauté – nationale, ethnique, linguistique, etc. –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Instrument de l’OMPI sur la fixation des savoirs traditionnels (Instrument d’aide à la fixation des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traditionnels.  Il convient de prêter particulièrement attention aux incidences en matière de propriété intellectuelle au cours du processus de fixation.  L’instrument de l’OMPI sur la fixation des savoirs traditionnels est axé sur la gestion des questions de propriété intellectuelle au cours du processus de fixation, qui est considéré comme le point de départ d’une gestion plus avantageuse des savoirs traditionnels en tant qu’actifs intellectuels et culturels d’une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L’instrument de l’OMPI sur la fixation des savoirs traditionnels qui est soumis à consultation est destiné en particulier à être utilisé par les peuples autochtones et les communautés locales.  Il peut aussi être utile à ceux qui appartiennent à l’une des catégories suivantes :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d’autres instruments juridiques peuvent permettre de protéger les savoirs lorsqu’ils sont fixés, mais uniquement si des mesures adéquates ont été prises au cours du processus de fixation.  L’instrument de l’OMPI sur la fixation des savoirs traditionnels qui est soumis à consultation aidera à évaluer les options en matière de propriété intellectuelle, ainsi qu’à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r w:rsidRPr="00E8642C">
        <w:t>Intégrité</w:t>
      </w:r>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l’intégrité est le droit de s’opposer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l’interdiction d’autres atteintes à l’œuvre préjudiciables à l’honneur ou à la réputation de l’auteur a été ajoutée (article </w:t>
      </w:r>
      <w:proofErr w:type="spellStart"/>
      <w:r w:rsidRPr="00E8642C">
        <w:rPr>
          <w:szCs w:val="22"/>
        </w:rPr>
        <w:t>6</w:t>
      </w:r>
      <w:r w:rsidRPr="00E8642C">
        <w:rPr>
          <w:i/>
          <w:szCs w:val="22"/>
        </w:rPr>
        <w:t>bis</w:t>
      </w:r>
      <w:proofErr w:type="spellEnd"/>
      <w:r w:rsidRPr="00E8642C">
        <w:rPr>
          <w:szCs w:val="22"/>
        </w:rPr>
        <w:t>).</w:t>
      </w:r>
    </w:p>
    <w:p w:rsidR="00DD607D" w:rsidRPr="00AA3C26" w:rsidRDefault="00DD607D" w:rsidP="00EF6794">
      <w:pPr>
        <w:rPr>
          <w:rFonts w:cs="Arial"/>
          <w:b/>
          <w:sz w:val="20"/>
          <w:szCs w:val="22"/>
        </w:rPr>
      </w:pPr>
    </w:p>
    <w:p w:rsidR="00DD607D" w:rsidRPr="00E8642C" w:rsidRDefault="00DD607D" w:rsidP="00EF6794">
      <w:pPr>
        <w:pStyle w:val="Heading2"/>
        <w:spacing w:line="240" w:lineRule="auto"/>
      </w:pPr>
      <w:r w:rsidRPr="00E8642C">
        <w:t>Inventions biotechnologiques</w:t>
      </w:r>
    </w:p>
    <w:p w:rsidR="00DD607D" w:rsidRPr="00AA3C26" w:rsidRDefault="00DD607D" w:rsidP="00EF6794">
      <w:pPr>
        <w:rPr>
          <w:rFonts w:cs="Arial"/>
          <w:b/>
          <w:snapToGrid w:val="0"/>
          <w:sz w:val="20"/>
          <w:szCs w:val="22"/>
        </w:rPr>
      </w:pPr>
    </w:p>
    <w:p w:rsidR="00DD607D" w:rsidRPr="00E8642C" w:rsidRDefault="00DD607D" w:rsidP="00EF6794">
      <w:pPr>
        <w:rPr>
          <w:rFonts w:cs="Arial"/>
          <w:szCs w:val="22"/>
        </w:rPr>
      </w:pPr>
      <w:r w:rsidRPr="00E8642C">
        <w:rPr>
          <w:rFonts w:cs="Arial"/>
          <w:snapToGrid w:val="0"/>
          <w:szCs w:val="22"/>
        </w:rPr>
        <w:t xml:space="preserve">Ce terme est défini dans la </w:t>
      </w:r>
      <w:r w:rsidRPr="00E8642C">
        <w:rPr>
          <w:rFonts w:cs="Arial"/>
          <w:i/>
          <w:snapToGrid w:val="0"/>
          <w:szCs w:val="22"/>
        </w:rPr>
        <w:t>Directive de l’Union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 : elles représentent à la fois les procédés de création ou de modification d’organismes vivants et de matériel biologique, les résultats de ces procédés et l’utilisation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DD607D" w:rsidP="00EF6794">
      <w:pPr>
        <w:pStyle w:val="Heading2"/>
        <w:spacing w:line="240" w:lineRule="auto"/>
        <w:rPr>
          <w:rStyle w:val="Strong"/>
          <w:b/>
          <w:bCs/>
          <w:caps/>
        </w:rPr>
      </w:pPr>
      <w:r w:rsidRPr="00E8642C">
        <w:t>Lignes directrices de Bonn sur l’accès aux ressources génétiques et le partage juste et équitable des avantages résultant de leur utilisation</w:t>
      </w:r>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l’application des dispositions des articles 8 j), 10 c), 15, 16 et 19 de la </w:t>
      </w:r>
      <w:r w:rsidRPr="00E8642C">
        <w:rPr>
          <w:rFonts w:cs="Arial"/>
          <w:i/>
          <w:szCs w:val="22"/>
        </w:rPr>
        <w:t>Convention</w:t>
      </w:r>
      <w:r w:rsidRPr="00E8642C">
        <w:rPr>
          <w:rFonts w:cs="Arial"/>
          <w:szCs w:val="22"/>
        </w:rPr>
        <w:t xml:space="preserve"> relatives à l’accès aux ressources génétiques et au partage des avantages.  Ces lignes directrices sont d’application volontaire et s’adressent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r w:rsidRPr="00E8642C">
        <w:t>Limitations</w:t>
      </w:r>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 xml:space="preserve">“Limitation”, 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renvoie à l’acte de limiter, à la qualité, l’état ou la condition conféré par le fait d’être limité, à une restriction.  Le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d’œuvres protégées, les législations sur le droit d’auteur autorisent certaines limitations aux droits patrimoniaux, c’est</w:t>
      </w:r>
      <w:r>
        <w:rPr>
          <w:rFonts w:cs="Arial"/>
          <w:szCs w:val="22"/>
        </w:rPr>
        <w:noBreakHyphen/>
      </w:r>
      <w:r w:rsidRPr="00E8642C">
        <w:rPr>
          <w:rFonts w:cs="Arial"/>
          <w:szCs w:val="22"/>
        </w:rPr>
        <w:t>à</w:t>
      </w:r>
      <w:r>
        <w:rPr>
          <w:rFonts w:cs="Arial"/>
          <w:szCs w:val="22"/>
        </w:rPr>
        <w:noBreakHyphen/>
      </w:r>
      <w:r w:rsidRPr="00E8642C">
        <w:rPr>
          <w:rFonts w:cs="Arial"/>
          <w:szCs w:val="22"/>
        </w:rPr>
        <w:t>dire qu’il existe des cas où les œuvres protégées peuvent être utilisées sans l’autorisation du titulaire du droit et avec ou sans paiement d’une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l’article 13 de l’</w:t>
      </w:r>
      <w:r w:rsidRPr="00E8642C">
        <w:rPr>
          <w:rFonts w:cs="Arial"/>
          <w:i/>
          <w:szCs w:val="22"/>
        </w:rPr>
        <w:t xml:space="preserve">Accord sur les aspects des droits de propriété intellectuelle qui touchent au commerce </w:t>
      </w:r>
      <w:r w:rsidRPr="00E8642C">
        <w:rPr>
          <w:rFonts w:cs="Arial"/>
          <w:szCs w:val="22"/>
        </w:rPr>
        <w:t>(Accord sur les ADPIC) de l’Organisation mondiale du commerce (OMC), à l’article 10 du </w:t>
      </w:r>
      <w:r w:rsidRPr="00E8642C">
        <w:rPr>
          <w:rFonts w:cs="Arial"/>
          <w:i/>
          <w:szCs w:val="22"/>
        </w:rPr>
        <w:t>Traité de l’OMPI sur le droit d’auteur</w:t>
      </w:r>
      <w:r w:rsidRPr="00E8642C">
        <w:rPr>
          <w:rFonts w:cs="Arial"/>
          <w:szCs w:val="22"/>
        </w:rPr>
        <w:t xml:space="preserve"> (WCT), à titre d’essai pour les exceptions à tous les droits patrimoniaux prévus au titre du droit d’auteur et des limitations de ces droits.  L’article 16 du </w:t>
      </w:r>
      <w:r w:rsidRPr="00E8642C">
        <w:rPr>
          <w:rFonts w:cs="Arial"/>
          <w:i/>
          <w:szCs w:val="22"/>
        </w:rPr>
        <w:t xml:space="preserve">Traité de l’OMPI sur les interprétations et exécutions et les phonogrammes </w:t>
      </w:r>
      <w:r w:rsidRPr="00E8642C">
        <w:rPr>
          <w:rFonts w:cs="Arial"/>
          <w:szCs w:val="22"/>
        </w:rPr>
        <w:t>(WPPT) l’étend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Matériel génétique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l’article 2 de la </w:t>
      </w:r>
      <w:r w:rsidRPr="00E8642C">
        <w:rPr>
          <w:rFonts w:cs="Arial"/>
          <w:i/>
          <w:szCs w:val="22"/>
        </w:rPr>
        <w:t xml:space="preserve">Convention sur la diversité biologique </w:t>
      </w:r>
      <w:r w:rsidRPr="00E8642C">
        <w:rPr>
          <w:rFonts w:cs="Arial"/>
          <w:szCs w:val="22"/>
        </w:rPr>
        <w:t>(1992), le “matériel génétique” s’entend de tout “</w:t>
      </w:r>
      <w:r w:rsidRPr="00E8642C">
        <w:rPr>
          <w:rFonts w:cs="Arial"/>
          <w:iCs/>
          <w:szCs w:val="22"/>
        </w:rPr>
        <w:t xml:space="preserve">matériel d’origine végétale, animale, microbienne ou autre, contenant des unités fonctionnelles de l’hérédité”.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l’hérédité sont à l’œuvre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Mécanisme d’échange d’information</w:t>
      </w:r>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Nations Unies pour l’environnement (PNUE), le Mécanisme d’échange d’information désignait initialement un établissement financier chargé de procéder à la compensation des chèques et lettres de change entre banques membres, de façon à ce que seuls les soldes nets soient réglés en espèces.  </w:t>
      </w:r>
      <w:r w:rsidRPr="00E8642C">
        <w:rPr>
          <w:rFonts w:cs="Arial"/>
          <w:color w:val="000000"/>
          <w:szCs w:val="22"/>
        </w:rPr>
        <w:t xml:space="preserve">Aujourd’hui, ce sens a été étendu pour inclure toute institution mettant en relation des demandeurs et des fournisseurs de produits, de services ou d’information, rapprochant ainsi l’offre et la demande.  </w:t>
      </w:r>
      <w:r w:rsidRPr="00E8642C">
        <w:rPr>
          <w:color w:val="161513"/>
          <w:szCs w:val="22"/>
        </w:rPr>
        <w:t>La CDB a créé un Centre d’échange pour faire en sorte que tous les gouvernements aient accès à l’information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Médecine traditionnelle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L’OMS définit également la “médecine traditionnelle” comme “comprenant diverses pratiques, approches, connaissances et croyances sanitaires intégrant des médicaments à base de plantes, d’animaux et/ou de minéraux, des traitements spirituels, des techniques manuelles et exercices, appliqués seuls ou en association afin de maintenir le bien</w:t>
      </w:r>
      <w:r>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Minorité</w:t>
      </w:r>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d’un État, dans une position non dominante, dont les membres possèdent des caractéristiques ethniques, religieuses ou linguistiques qui diffèrent de celles du restant de la population et qui, même si ce n’est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l’existence et l’identité nationale ou ethnique, culturelle, religieuse ou linguistique des minorités, sur leurs territoires respectifs, et favorisent l’instauration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r w:rsidRPr="00E8642C">
        <w:t>Modification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Elle est synonyme de changement.  L’article </w:t>
      </w:r>
      <w:proofErr w:type="spellStart"/>
      <w:r w:rsidRPr="00E8642C">
        <w:rPr>
          <w:rFonts w:cs="Arial"/>
          <w:szCs w:val="22"/>
        </w:rPr>
        <w:t>6</w:t>
      </w:r>
      <w:r w:rsidRPr="00E8642C">
        <w:rPr>
          <w:rFonts w:cs="Arial"/>
          <w:i/>
          <w:iCs/>
          <w:szCs w:val="22"/>
        </w:rPr>
        <w:t>bis</w:t>
      </w:r>
      <w:proofErr w:type="spellEnd"/>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l’auteur le droit de s’opposer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Mutilation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On entend par “mutilation” l’acte de couper ou de supprimer une partie d’une chose, en particulier d’un livre ou de tout autre document, de modifier ou de détruire une partie du contenu ou du sens, selon l’Oxford English </w:t>
      </w:r>
      <w:proofErr w:type="spellStart"/>
      <w:r w:rsidRPr="00E8642C">
        <w:rPr>
          <w:rFonts w:cs="Arial"/>
          <w:szCs w:val="22"/>
        </w:rPr>
        <w:t>Dictionary</w:t>
      </w:r>
      <w:proofErr w:type="spellEnd"/>
      <w:r w:rsidRPr="00E8642C">
        <w:rPr>
          <w:rFonts w:cs="Arial"/>
          <w:szCs w:val="22"/>
        </w:rPr>
        <w:t>.  La protection contre la mutilation est l’une des caractéristiques du droit moral de l’auteur, selon l’article </w:t>
      </w:r>
      <w:proofErr w:type="spellStart"/>
      <w:r w:rsidRPr="00E8642C">
        <w:rPr>
          <w:rFonts w:cs="Arial"/>
          <w:szCs w:val="22"/>
        </w:rPr>
        <w:t>6</w:t>
      </w:r>
      <w:r w:rsidRPr="00E8642C">
        <w:rPr>
          <w:rFonts w:cs="Arial"/>
          <w:i/>
          <w:iCs/>
          <w:szCs w:val="22"/>
        </w:rPr>
        <w:t>bis</w:t>
      </w:r>
      <w:proofErr w:type="spellEnd"/>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Nation</w:t>
      </w:r>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10" w:name="_Ref289681765"/>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“nation” de la manière suivante : grand groupe de personnes ayant une origine, une langue et une tradition communes et constituant généralement une entité politique.  Les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10"/>
      <w:r w:rsidRPr="00E8642C">
        <w:rPr>
          <w:rFonts w:cs="Arial"/>
          <w:szCs w:val="22"/>
        </w:rPr>
        <w:t>.  Le terme “nation” renvoie à l’idée d’une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d’un pays entier, une “nation”, dans les cas où les expressions culturelles traditionnelles sont considérées comme l’expression d’un “folklore national” appartenant à l’ensemble de la population d’un pays donné.  Cette disposition est conforme à la pratique dans d’autres domaines d’action et s’inscrit en complément de celle</w:t>
      </w:r>
      <w:r>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r w:rsidRPr="00E8642C">
        <w:t>Nouveauté</w:t>
      </w:r>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l’un des critères de brevetabilité pris en considération dans l’examen quant au fond.  Une invention est nouvelle s’il n’y a pas d’antériorité dans l’état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L’article 33 du </w:t>
      </w:r>
      <w:r w:rsidRPr="00E8642C">
        <w:rPr>
          <w:rFonts w:cs="Arial"/>
          <w:i/>
          <w:szCs w:val="22"/>
        </w:rPr>
        <w:t>Traité de coopération en matière de brevets</w:t>
      </w:r>
      <w:r w:rsidRPr="00E8642C">
        <w:rPr>
          <w:rFonts w:cs="Arial"/>
          <w:szCs w:val="22"/>
        </w:rPr>
        <w:t xml:space="preserve"> (PCT) définit la nouveauté de la manière suivante : “[a]</w:t>
      </w:r>
      <w:proofErr w:type="spellStart"/>
      <w:r w:rsidRPr="00E8642C">
        <w:rPr>
          <w:rFonts w:cs="Arial"/>
          <w:szCs w:val="22"/>
        </w:rPr>
        <w:t>ux</w:t>
      </w:r>
      <w:proofErr w:type="spellEnd"/>
      <w:r w:rsidRPr="00E8642C">
        <w:rPr>
          <w:rFonts w:cs="Arial"/>
          <w:szCs w:val="22"/>
        </w:rPr>
        <w:t xml:space="preserve"> fins de l’examen préliminaire international, l’invention dont la protection est demandée est considérée comme nouvelle s’il n’est pas trouvé d’antériorité dans l’état de la technique tel qu’il est défini dans le règlement d’exécution”.  Selon la règle </w:t>
      </w:r>
      <w:proofErr w:type="spellStart"/>
      <w:r w:rsidRPr="00E8642C">
        <w:rPr>
          <w:rFonts w:cs="Arial"/>
          <w:szCs w:val="22"/>
        </w:rPr>
        <w:t>64.1.a</w:t>
      </w:r>
      <w:proofErr w:type="spellEnd"/>
      <w:r w:rsidRPr="00E8642C">
        <w:rPr>
          <w:rFonts w:cs="Arial"/>
          <w:szCs w:val="22"/>
        </w:rPr>
        <w:t>) du règlement d’exécution du PCT, “est considéré comme faisant partie de l’état de la technique tout ce qui a été rendu accessible au public en tous lieux du monde par une divulgation écrite (y compris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 xml:space="preserve">L’article 54 de la </w:t>
      </w:r>
      <w:r w:rsidRPr="00E8642C">
        <w:rPr>
          <w:rFonts w:cs="Arial"/>
          <w:i/>
          <w:szCs w:val="22"/>
          <w:lang w:eastAsia="en-US" w:bidi="th-TH"/>
        </w:rPr>
        <w:t xml:space="preserve">Convention sur le brevet européen </w:t>
      </w:r>
      <w:r w:rsidRPr="00E8642C">
        <w:rPr>
          <w:rFonts w:cs="Arial"/>
          <w:szCs w:val="22"/>
          <w:lang w:eastAsia="en-US" w:bidi="th-TH"/>
        </w:rPr>
        <w:t>(</w:t>
      </w:r>
      <w:proofErr w:type="spellStart"/>
      <w:r w:rsidRPr="00E8642C">
        <w:rPr>
          <w:rFonts w:cs="Arial"/>
          <w:szCs w:val="22"/>
          <w:lang w:eastAsia="en-US" w:bidi="th-TH"/>
        </w:rPr>
        <w:t>CBE</w:t>
      </w:r>
      <w:proofErr w:type="spellEnd"/>
      <w:r w:rsidRPr="00E8642C">
        <w:rPr>
          <w:rFonts w:cs="Arial"/>
          <w:szCs w:val="22"/>
          <w:lang w:eastAsia="en-US" w:bidi="th-TH"/>
        </w:rPr>
        <w:t>) définit la “nouveauté” de la manière suivante : “[u]ne invention est considérée comme nouvelle si elle n’est pas comprise dans l’état de la technique.  L’état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L’article 102 du titre 35 du Code des États</w:t>
      </w:r>
      <w:r>
        <w:rPr>
          <w:rFonts w:cs="Arial"/>
          <w:szCs w:val="22"/>
          <w:lang w:eastAsia="en-US" w:bidi="th-TH"/>
        </w:rPr>
        <w:noBreakHyphen/>
      </w:r>
      <w:r w:rsidRPr="00E8642C">
        <w:rPr>
          <w:rFonts w:cs="Arial"/>
          <w:szCs w:val="22"/>
          <w:lang w:eastAsia="en-US" w:bidi="th-TH"/>
        </w:rPr>
        <w:t>Unis d’Amérique [Conditions de brevetabilité;  nouveauté] définit la notion de nouveauté de la manière suivante : “</w:t>
      </w:r>
      <w:r w:rsidRPr="00E8642C">
        <w:rPr>
          <w:rFonts w:cs="Arial"/>
          <w:iCs/>
          <w:szCs w:val="22"/>
          <w:lang w:eastAsia="en-US" w:bidi="th-TH"/>
        </w:rPr>
        <w:t>[u]ne personne a droit à un brevet – 1) sauf si l’invention revendiquée était brevetée ou décrite dans une publication imprimée</w:t>
      </w:r>
      <w:r w:rsidRPr="00E8642C">
        <w:t xml:space="preserve"> ou faisait l’objet d’un usage </w:t>
      </w:r>
      <w:r w:rsidRPr="00E8642C">
        <w:rPr>
          <w:rFonts w:cs="Arial"/>
          <w:iCs/>
          <w:szCs w:val="22"/>
          <w:lang w:eastAsia="en-US" w:bidi="th-TH"/>
        </w:rPr>
        <w:t>public, était en vente ou mise à la disposition du public d’une autre manière avant la date de dépôt effective de l’invention revendiquée;  ou 2) sauf si l’invention revendiquée était décrite dans un brevet délivré en vertu de l’article 151, ou dans une demande de brevet publiée ou réputée publiée en vertu de l’</w:t>
      </w:r>
      <w:proofErr w:type="spellStart"/>
      <w:r w:rsidRPr="00E8642C">
        <w:rPr>
          <w:rFonts w:cs="Arial"/>
          <w:iCs/>
          <w:szCs w:val="22"/>
          <w:lang w:eastAsia="en-US" w:bidi="th-TH"/>
        </w:rPr>
        <w:t>article122.b</w:t>
      </w:r>
      <w:proofErr w:type="spellEnd"/>
      <w:r w:rsidRPr="00E8642C">
        <w:rPr>
          <w:rFonts w:cs="Arial"/>
          <w:iCs/>
          <w:szCs w:val="22"/>
          <w:lang w:eastAsia="en-US" w:bidi="th-TH"/>
        </w:rPr>
        <w:t>), et que le brevet ou la demande, selon le cas, désigne un autre inventeur et a effectivement été déposé avant la date de dépôt effective de l’invention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Œuvre dérivée</w:t>
      </w:r>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En droit d’auteur, l’expression “œuvres dérivées” s’entend, en général, des traductions, adaptations, arrangements et autres transformations d’œuvres préexistantes protégées comme telles en vertu de l’article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d’œuvres protégés en vertu de l’article 2.5) de la Convention de Berne (ainsi que de l’article 10.2) de l’</w:t>
      </w:r>
      <w:r w:rsidRPr="00E8642C">
        <w:rPr>
          <w:rFonts w:cs="Arial"/>
          <w:i/>
          <w:szCs w:val="22"/>
        </w:rPr>
        <w:t xml:space="preserve">Accord sur les aspects des droits de propriété intellectuelle qui touchent au commerce </w:t>
      </w:r>
      <w:r w:rsidRPr="00E8642C">
        <w:rPr>
          <w:rFonts w:cs="Arial"/>
          <w:szCs w:val="22"/>
        </w:rPr>
        <w:t xml:space="preserve">(1994) (Accord sur les ADPIC) de l’Organisation mondiale du commerce (OMC) et de l’article 5 du </w:t>
      </w:r>
      <w:r w:rsidRPr="00E8642C">
        <w:rPr>
          <w:rFonts w:cs="Arial"/>
          <w:i/>
          <w:szCs w:val="22"/>
        </w:rPr>
        <w:t>Traité sur le droit d’auteur de l’OMPI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d’autres œuvres dérivées</w:t>
      </w:r>
      <w:bookmarkStart w:id="11" w:name="_Ref289432997"/>
      <w:bookmarkStart w:id="12" w:name="_Ref292464396"/>
      <w:r w:rsidRPr="00E8642C">
        <w:rPr>
          <w:rStyle w:val="FootnoteReference"/>
          <w:rFonts w:cs="Arial"/>
          <w:szCs w:val="22"/>
        </w:rPr>
        <w:footnoteReference w:id="118"/>
      </w:r>
      <w:bookmarkEnd w:id="11"/>
      <w:bookmarkEnd w:id="12"/>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l’auteur peut restreindre le droit des tiers à réaliser une œuvre dérivée.  Par conséquent, même lorsqu’une personne est, à titre contractuel ou statutaire, habilitée à modifier l’œuvre ou à utiliser celle</w:t>
      </w:r>
      <w:r>
        <w:rPr>
          <w:rFonts w:cs="Arial"/>
          <w:szCs w:val="22"/>
        </w:rPr>
        <w:noBreakHyphen/>
      </w:r>
      <w:r w:rsidRPr="00E8642C">
        <w:rPr>
          <w:rFonts w:cs="Arial"/>
          <w:szCs w:val="22"/>
        </w:rPr>
        <w:t>ci pour créer une œuvre dérivée, l’auteur peut s’opposer à toute déformation de l’œuvre,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13" w:name="_Ref289689306"/>
      <w:r w:rsidRPr="00E8642C">
        <w:rPr>
          <w:rFonts w:cs="Arial"/>
          <w:szCs w:val="22"/>
        </w:rPr>
        <w:t xml:space="preserve">Certains pays ont adapté la définition des œuvres dérivées aux expressions culturelles traditionnelles.  D’après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13"/>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r w:rsidRPr="00E8642C">
        <w:t>Offensant</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L’adjectif “offensant” vise ce qui provoque mécontentement, colère ou ressentiment;  contraire à ce que l’on considère habituellement comme décent ou moral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Patrimoine (des peuples autochtones)</w:t>
      </w:r>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 xml:space="preserve">Le “patrimoine des peuples autochtones” (et d’autres peuples) ou le “patrimoine culturel autochtone” renvoie pour l’essentiel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Pr>
          <w:rFonts w:cs="Arial"/>
          <w:szCs w:val="22"/>
        </w:rPr>
        <w:noBreakHyphen/>
      </w:r>
      <w:r w:rsidRPr="00E8642C">
        <w:rPr>
          <w:rFonts w:cs="Arial"/>
          <w:szCs w:val="22"/>
        </w:rPr>
        <w:t>rapporteuse de la Sous</w:t>
      </w:r>
      <w:r>
        <w:rPr>
          <w:rFonts w:cs="Arial"/>
          <w:szCs w:val="22"/>
        </w:rPr>
        <w:noBreakHyphen/>
      </w:r>
      <w:r w:rsidRPr="00E8642C">
        <w:rPr>
          <w:rFonts w:cs="Arial"/>
          <w:szCs w:val="22"/>
        </w:rPr>
        <w:t>commission de la promotion et de la protection des droits de l’homme, Mme Erica</w:t>
      </w:r>
      <w:r>
        <w:rPr>
          <w:rFonts w:cs="Arial"/>
          <w:szCs w:val="22"/>
        </w:rPr>
        <w:noBreakHyphen/>
      </w:r>
      <w:proofErr w:type="spellStart"/>
      <w:r w:rsidRPr="00E8642C">
        <w:rPr>
          <w:rFonts w:cs="Arial"/>
          <w:szCs w:val="22"/>
        </w:rPr>
        <w:t>Irene</w:t>
      </w:r>
      <w:proofErr w:type="spellEnd"/>
      <w:r w:rsidRPr="00E8642C">
        <w:rPr>
          <w:rFonts w:cs="Arial"/>
          <w:szCs w:val="22"/>
        </w:rPr>
        <w:t> </w:t>
      </w:r>
      <w:proofErr w:type="spellStart"/>
      <w:r w:rsidRPr="00E8642C">
        <w:rPr>
          <w:rFonts w:cs="Arial"/>
          <w:szCs w:val="22"/>
        </w:rPr>
        <w:t>Daes</w:t>
      </w:r>
      <w:proofErr w:type="spellEnd"/>
      <w:r w:rsidRPr="00E8642C">
        <w:rPr>
          <w:rFonts w:cs="Arial"/>
          <w:szCs w:val="22"/>
        </w:rPr>
        <w:t>.  On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 : “Le patrimoine des peuples autochtones [est collectif et] se compose de tous les objets, sites et connaissances dont la nature ou l’utilisation a été transmise de génération en génération et qui sont considérés comme appartenant à un peuple, à un clan ou à un territoire particulier.  Le patrimoine d’un peuple autochtone comprend aussi les objets, les connaissances et les œuvres littéraires ou artistiques de ce peuple susceptibles d’être créés ou redécouverts à l’avenir à partir de son patrimoine.”  Le paragraphe 13 dispose ce qui suit : “Le patrimoine des peuples autochtones comprend tous les biens culturels meubles tels que définis par les conventions pertinentes de l’UNESCO;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y compris les innovations fondées sur ces connaissances, les cultigènes, les remèdes, les médicaments et l’utilisation de la flore et de la faune;  les restes humains;  les biens culturels immeubles tels que les sites sacrés revêtant une importance culturelle, liée à la nature et historique, et les lieux de sépulture.”  Le paragraphe 14 prévoit ce qui suit : “Chaque élément du patrimoine des peuples autochtones a des propriétaires : soit l’ensemble du peuple, soit une famille ou un clan donné, soit une association ou une communauté, soit des individus spécialement formés ou initiés pour en être les gardiens.  Les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d’un peuple autochtone, mis au point et maintenus par ce peuple] ou par des particuliers autochtones si la création reflète les aspirations littéraires, artistiques ou scientifiques traditionnelles du peuple en question.  Ces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culturel.  Elles comprennent en outre la connaissance qui résulte de l’activité intellectuelle et de la compréhension intuitive dans un contexte traditionnel, et recouvrent les savoir</w:t>
      </w:r>
      <w:r>
        <w:rPr>
          <w:rFonts w:cs="Arial"/>
          <w:szCs w:val="22"/>
        </w:rPr>
        <w:noBreakHyphen/>
      </w:r>
      <w:r w:rsidRPr="00E8642C">
        <w:rPr>
          <w:rFonts w:cs="Arial"/>
          <w:szCs w:val="22"/>
        </w:rPr>
        <w:t>faire, compétences, innovations, pratiques et enseignements qui font partie des systèmes traditionnels de connaissances, ainsi que le savoir qui s’incarne dans le style de vie traditionnel d’un peuple autochtone ou qui est contenu dans des systèmes de connaissances codifiés transmis à travers les générations.  Le patrimoine culturel, transmis de génération en génération, est constamment recréé par les peuples autochtones en fonction des modifications de leur environnement, de leur interaction avec la nature et de leur histoire, et leur donne un sentiment d’identité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w:t>
      </w:r>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l’Organisation des Nations Unies pour l’éducation, la science et la culture (UNESCO)</w:t>
      </w:r>
      <w:r w:rsidRPr="00E8642C">
        <w:rPr>
          <w:rFonts w:cs="Arial"/>
          <w:snapToGrid w:val="0"/>
          <w:szCs w:val="22"/>
        </w:rPr>
        <w:t>, sont considérés comme patrimoine culturel, ainsi qu’il est indiqué dans l’article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 : œuvres architecturales, de sculpture ou de peinture monumentales, éléments ou structures de caractère archéologique, inscriptions, grottes et groupes d’éléments, qui ont une valeur universelle exceptionnelle du point de vue de l’histoire, de l’art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 : groupes de constructions isolées ou réunies, qui, en raison de leur architecture, de leur unité, ou de leur intégration dans le paysage, ont une valeur universelle exceptionnelle du point de vue de l’histoire, de l’art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 : œuvres de l’homme ou œuvres conjuguées de l’homme et de la nature, ainsi que les zones y compris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 immatériel</w:t>
      </w:r>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“immatériel” renvoie à quelque chose dépourvu de forme physique.  “Matériel”, à l’inverse, est défini comme “ayant ou possédant une forme physique, capable d’être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l’Organisation des Nations Unies pour l’éducation, la science et la culture (UNESCO) comme “les pratiques, représentations, expressions, connaissances et savoir</w:t>
      </w:r>
      <w:r>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 : a) les traditions et expressions orales, y compris la langue comme vecteur du patrimoine culturel immatériel;  b) les arts du spectacle;  c) les pratiques sociales, rituels et événements festifs;  d) les connaissances et pratiques concernant la nature et l’univers;  et e) les savoir</w:t>
      </w:r>
      <w:r>
        <w:rPr>
          <w:rFonts w:cs="Arial"/>
          <w:szCs w:val="22"/>
        </w:rPr>
        <w:noBreakHyphen/>
      </w:r>
      <w:r w:rsidRPr="00E8642C">
        <w:rPr>
          <w:rFonts w:cs="Arial"/>
          <w:szCs w:val="22"/>
        </w:rPr>
        <w:t>faire liés à l’artisanat traditionnel.</w:t>
      </w:r>
    </w:p>
    <w:p w:rsidR="00DD607D" w:rsidRPr="00E8642C" w:rsidRDefault="00DD607D" w:rsidP="00EF6794"/>
    <w:p w:rsidR="00DD607D" w:rsidRPr="00E8642C" w:rsidRDefault="00DD607D" w:rsidP="00EF6794">
      <w:pPr>
        <w:pStyle w:val="Heading2"/>
        <w:spacing w:line="240" w:lineRule="auto"/>
      </w:pPr>
      <w:r w:rsidRPr="00E8642C">
        <w:t>Pays d’origine des ressources génétiques</w:t>
      </w:r>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l’article 2 de la </w:t>
      </w:r>
      <w:r w:rsidRPr="00E8642C">
        <w:rPr>
          <w:rFonts w:cs="Arial"/>
          <w:bCs/>
          <w:i/>
          <w:snapToGrid w:val="0"/>
          <w:szCs w:val="22"/>
        </w:rPr>
        <w:t xml:space="preserve">Convention sur la diversité biologique </w:t>
      </w:r>
      <w:r w:rsidRPr="00E8642C">
        <w:rPr>
          <w:rFonts w:cs="Arial"/>
          <w:bCs/>
          <w:snapToGrid w:val="0"/>
          <w:szCs w:val="22"/>
        </w:rPr>
        <w:t>(1992), le “pays d’origine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 xml:space="preserve">D’autres définitions englobent également les ressources génétiques dans des conditions </w:t>
      </w:r>
      <w:r w:rsidRPr="00E8642C">
        <w:rPr>
          <w:rFonts w:cs="Arial"/>
          <w:bCs/>
          <w:i/>
          <w:iCs/>
          <w:snapToGrid w:val="0"/>
          <w:szCs w:val="22"/>
        </w:rPr>
        <w:t xml:space="preserve">ex situ.  </w:t>
      </w:r>
      <w:r w:rsidRPr="00E8642C">
        <w:rPr>
          <w:rFonts w:cs="Arial"/>
          <w:bCs/>
          <w:snapToGrid w:val="0"/>
          <w:szCs w:val="22"/>
        </w:rPr>
        <w:t xml:space="preserve">Ainsi, le pays d’origine est défini à l’article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Pays fournisseur de ressources génétiques</w:t>
      </w:r>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t>Aux termes de l’article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y compris les populations d’espèces sauvages ou domestiquées, ou prélevées auprès de sources </w:t>
      </w:r>
      <w:r w:rsidRPr="00E8642C">
        <w:rPr>
          <w:rFonts w:cs="Arial"/>
          <w:bCs/>
          <w:i/>
          <w:iCs/>
          <w:szCs w:val="22"/>
        </w:rPr>
        <w:t>ex situ</w:t>
      </w:r>
      <w:r w:rsidRPr="00E8642C">
        <w:rPr>
          <w:rFonts w:cs="Arial"/>
          <w:bCs/>
          <w:iCs/>
          <w:szCs w:val="22"/>
        </w:rPr>
        <w:t>, qu’elles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r w:rsidRPr="00E8642C">
        <w:t>Peuples autochtones</w:t>
      </w:r>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L’expression “peuples autochtones” a fait l’objet d’un nombre considérable de discussions et d’études, mais il n’existe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Déclaration des Nations Unies sur les droits des peuples autochtones</w:t>
      </w:r>
      <w:r w:rsidRPr="00E8642C">
        <w:rPr>
          <w:rFonts w:cs="Arial"/>
          <w:szCs w:val="22"/>
        </w:rPr>
        <w:t xml:space="preserve"> (2007) reconnaît les droits de l’homme égaux des peuples autochtones contre la discrimination culturelle et vise à promouvoir le respect mutuel et les relations harmonieuses entre les États et les peuples autochtones.  Cependant, la déclaration ne fournit aucune définition pour l’expression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l’adjectif “autochtone” dans l’étude du problème de la discrimination à l’encontre des populations autochtones, réalisée par le rapporteur spécial de la Sous</w:t>
      </w:r>
      <w:r>
        <w:rPr>
          <w:rFonts w:cs="Arial"/>
          <w:szCs w:val="22"/>
        </w:rPr>
        <w:noBreakHyphen/>
      </w:r>
      <w:r w:rsidRPr="00E8642C">
        <w:rPr>
          <w:rFonts w:cs="Arial"/>
          <w:szCs w:val="22"/>
        </w:rPr>
        <w:t>commission de la lutte contre les mesures discriminatoires et de la protection des minorités des Nations Unies, M. J. </w:t>
      </w:r>
      <w:proofErr w:type="spellStart"/>
      <w:r w:rsidRPr="00E8642C">
        <w:rPr>
          <w:rFonts w:cs="Arial"/>
          <w:szCs w:val="22"/>
        </w:rPr>
        <w:t>Martínez</w:t>
      </w:r>
      <w:proofErr w:type="spellEnd"/>
      <w:r w:rsidRPr="00E8642C">
        <w:rPr>
          <w:rFonts w:cs="Arial"/>
          <w:szCs w:val="22"/>
        </w:rPr>
        <w:t> </w:t>
      </w:r>
      <w:proofErr w:type="spellStart"/>
      <w:r w:rsidRPr="00E8642C">
        <w:rPr>
          <w:rFonts w:cs="Arial"/>
          <w:szCs w:val="22"/>
        </w:rPr>
        <w:t>Cobo</w:t>
      </w:r>
      <w:proofErr w:type="spellEnd"/>
      <w:r w:rsidRPr="00E8642C">
        <w:rPr>
          <w:rFonts w:cs="Arial"/>
          <w:szCs w:val="22"/>
        </w:rPr>
        <w:t>, est considéré comme une définition acceptable par de nombreux peuples autochtones et les organisations qui les représentent.  Dans l’étude, les communautés, peuples et nations autochtones sont définis comme “</w:t>
      </w:r>
      <w:r w:rsidRPr="00E8642C">
        <w:rPr>
          <w:rFonts w:cs="Arial"/>
          <w:iCs/>
          <w:szCs w:val="22"/>
        </w:rPr>
        <w:t>les entités qui, s’inscrivant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L’article premier de la Convention concernant les peuples indigènes et tribaux dans les pays indépendants de l’Organisation internationale du Travail (OIT) stipule que la Convention s’applique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qu’ils descendent des populations qui habitaient le pays, ou une région géographique à laquelle appartient le pays, à l’époque de la conquête ou de la colonisation ou de l’établissement des frontières actuelles de l’État, et qui, quel que soit leur statut juridique, conservent leurs institutions sociales, économiques, culturelles et politiques propres ou certaines d’entre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Le Programme des Nations Unies pour l’environnement (PNUE) donne dans sa liste d’acronymes et son glossaire la définition ci</w:t>
      </w:r>
      <w:r>
        <w:rPr>
          <w:rFonts w:cs="Arial"/>
          <w:szCs w:val="22"/>
        </w:rPr>
        <w:noBreakHyphen/>
      </w:r>
      <w:r w:rsidRPr="00E8642C">
        <w:rPr>
          <w:rFonts w:cs="Arial"/>
          <w:szCs w:val="22"/>
        </w:rPr>
        <w:t>après pour l’expression “peuples autochtones : “Aucune définition universelle standard.  S’entend généralement des groupes culturels et de leurs descendances qui témoignant d’une continuité ou d’un lien historique avec une région donnée ou avec des parties d’une région et qui habitent actuellement ou qui ont habité auparavant dans cette région soit avant qu’elle ne soit colonisée ou annexée, soit aux côtés d’autres groupes culturels durant la formation d’une nation</w:t>
      </w:r>
      <w:r>
        <w:rPr>
          <w:rFonts w:cs="Arial"/>
          <w:szCs w:val="22"/>
        </w:rPr>
        <w:noBreakHyphen/>
      </w:r>
      <w:r w:rsidRPr="00E8642C">
        <w:rPr>
          <w:rFonts w:cs="Arial"/>
          <w:szCs w:val="22"/>
        </w:rPr>
        <w:t>État, ou indépendamment ou de manière très isolée de l’influence de l’instance dirigeante officielle d’une nation</w:t>
      </w:r>
      <w:r>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Pr>
          <w:rFonts w:cs="Arial"/>
          <w:szCs w:val="22"/>
        </w:rPr>
        <w:noBreakHyphen/>
      </w:r>
      <w:r w:rsidRPr="00E8642C">
        <w:rPr>
          <w:rFonts w:cs="Arial"/>
          <w:szCs w:val="22"/>
        </w:rPr>
        <w:t>État.  S’entend également des peuples qui se définissent en tant que tels, et de ceux reconnus comme tels par d’autres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l’expression “peuples autochtones” au sens générique pour désigner des groupes distincts ayant les caractéristiques ci</w:t>
      </w:r>
      <w:r>
        <w:rPr>
          <w:rFonts w:cs="Arial"/>
          <w:szCs w:val="22"/>
        </w:rPr>
        <w:noBreakHyphen/>
      </w:r>
      <w:r w:rsidRPr="00E8642C">
        <w:rPr>
          <w:rFonts w:cs="Arial"/>
          <w:szCs w:val="22"/>
        </w:rPr>
        <w:t>après à divers degrés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d’engagement aux côtés des peuples autochtones, élaborée par le Fonds international de développement agricole (</w:t>
      </w:r>
      <w:proofErr w:type="spellStart"/>
      <w:r w:rsidRPr="00E8642C">
        <w:rPr>
          <w:rFonts w:cs="Arial"/>
          <w:iCs/>
          <w:szCs w:val="22"/>
        </w:rPr>
        <w:t>FIDA</w:t>
      </w:r>
      <w:proofErr w:type="spellEnd"/>
      <w:r w:rsidRPr="00E8642C">
        <w:rPr>
          <w:rFonts w:cs="Arial"/>
          <w:iCs/>
          <w:szCs w:val="22"/>
        </w:rPr>
        <w:t>) prévoit ce qui suit :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w:t>
      </w:r>
      <w:proofErr w:type="spellStart"/>
      <w:r w:rsidRPr="00E8642C">
        <w:rPr>
          <w:rFonts w:cs="Arial"/>
          <w:szCs w:val="22"/>
          <w:lang w:eastAsia="en-US"/>
        </w:rPr>
        <w:t>FIDA</w:t>
      </w:r>
      <w:proofErr w:type="spellEnd"/>
      <w:r w:rsidRPr="00E8642C">
        <w:rPr>
          <w:rFonts w:cs="Arial"/>
          <w:szCs w:val="22"/>
          <w:lang w:eastAsia="en-US"/>
        </w:rPr>
        <w:t xml:space="preserve"> utilisera une définition de</w:t>
      </w:r>
      <w:r w:rsidRPr="00E8642C">
        <w:rPr>
          <w:rFonts w:cs="Arial"/>
          <w:iCs/>
          <w:szCs w:val="22"/>
        </w:rPr>
        <w:t xml:space="preserve"> travail des peuples autochtones reposant sur les critères ci</w:t>
      </w:r>
      <w:r>
        <w:rPr>
          <w:rFonts w:cs="Arial"/>
          <w:iCs/>
          <w:szCs w:val="22"/>
        </w:rPr>
        <w:noBreakHyphen/>
      </w:r>
      <w:r w:rsidRPr="00E8642C">
        <w:rPr>
          <w:rFonts w:cs="Arial"/>
          <w:iCs/>
          <w:szCs w:val="22"/>
        </w:rPr>
        <w:t>après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l’antériorité s’agissant de l’occupation et de l’utilisation d’un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d’appartenance à un groupe, ainsi que la reconnaissance par d’autres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 : une politique d’engagement”</w:t>
      </w:r>
      <w:r w:rsidRPr="00E8642C">
        <w:rPr>
          <w:rStyle w:val="FootnoteReference"/>
          <w:rFonts w:cs="Arial"/>
          <w:iCs/>
          <w:szCs w:val="22"/>
        </w:rPr>
        <w:footnoteReference w:id="126"/>
      </w:r>
      <w:r w:rsidRPr="00E8642C">
        <w:rPr>
          <w:rFonts w:cs="Arial"/>
          <w:iCs/>
          <w:szCs w:val="22"/>
        </w:rPr>
        <w:t>, que : “…a) les peuples autochtones vivent ordinairement dans les limites de territoires ancestraux géographiquement distincts (ou maintiennent des liens avec ceux</w:t>
      </w:r>
      <w:r>
        <w:rPr>
          <w:rFonts w:cs="Arial"/>
          <w:iCs/>
          <w:szCs w:val="22"/>
        </w:rPr>
        <w:noBreakHyphen/>
      </w:r>
      <w:r w:rsidRPr="00E8642C">
        <w:rPr>
          <w:rFonts w:cs="Arial"/>
          <w:iCs/>
          <w:szCs w:val="22"/>
        </w:rPr>
        <w:t>ci);  b) ils tendent à conserver des institutions sociales, économiques et politiques distinctes à l’intérieur de leurs territoires;  c) ils aspirent généralement à demeurer distincts sur les plans culturel, géographique et institutionnel plutôt qu’à s’assimiler pleinement à la société nationale;  et d) ils s’identifient eux</w:t>
      </w:r>
      <w:r>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n’existe pas une seule définition admise des peuples autochtones qui saisisse leur diversité en tant que peuples.  L’auto</w:t>
      </w:r>
      <w:r>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d’autres variables telles qu’un ‘langage parlé’, et une ‘situation ou concentration géographique’”.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l’État péruvien, entretenant une culture propre, disposant d’un espace territorial et se reconnaissant eux</w:t>
      </w:r>
      <w:r>
        <w:rPr>
          <w:rFonts w:cs="Arial"/>
          <w:iCs/>
          <w:szCs w:val="22"/>
        </w:rPr>
        <w:noBreakHyphen/>
      </w:r>
      <w:r w:rsidRPr="00E8642C">
        <w:rPr>
          <w:rFonts w:cs="Arial"/>
          <w:iCs/>
          <w:szCs w:val="22"/>
        </w:rPr>
        <w:t>mêmes comme tels, y compris les peuples vivant dans un isolement volontaire et les peuples non identifiés, ainsi que les communautés paysannes et les communautés autochtones.  Le terme ‘autochtones’ doit s’entendre comme synonyme d’‘originaires du territoire’, ‘traditionnels’, ‘ethniques’, ‘ancestraux’, ‘indigènes’ et d’autres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 terme “peuples aborigènes” est un terme apparenté.  L’Oxford </w:t>
      </w:r>
      <w:proofErr w:type="spellStart"/>
      <w:r w:rsidRPr="00E8642C">
        <w:rPr>
          <w:rFonts w:cs="Arial"/>
          <w:szCs w:val="22"/>
        </w:rPr>
        <w:t>Dictionary</w:t>
      </w:r>
      <w:proofErr w:type="spellEnd"/>
      <w:r w:rsidRPr="00E8642C">
        <w:rPr>
          <w:rFonts w:cs="Arial"/>
          <w:szCs w:val="22"/>
        </w:rPr>
        <w:t xml:space="preserve"> définit le terme “aborigène” de la manière suivante :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l’arrivée de colons européens ou de ceux qu’ils ont introduits</w:t>
      </w:r>
      <w:r w:rsidRPr="00E8642C">
        <w:rPr>
          <w:rFonts w:cs="Arial"/>
          <w:szCs w:val="22"/>
        </w:rPr>
        <w:t xml:space="preserve">”;  3) </w:t>
      </w:r>
      <w:r w:rsidRPr="00E8642C">
        <w:rPr>
          <w:rFonts w:cs="Arial"/>
          <w:i/>
          <w:szCs w:val="22"/>
        </w:rPr>
        <w:t>aborigènes ou premiers habitants connus d’une terre, ou leur appartenant</w:t>
      </w:r>
      <w:r w:rsidRPr="00E8642C">
        <w:rPr>
          <w:rFonts w:cs="Arial"/>
          <w:szCs w:val="22"/>
        </w:rPr>
        <w:t>;  et 4) “</w:t>
      </w:r>
      <w:r w:rsidRPr="00E8642C">
        <w:rPr>
          <w:rFonts w:cs="Arial"/>
          <w:i/>
          <w:iCs/>
          <w:szCs w:val="22"/>
        </w:rPr>
        <w:t>[…], aborigènes d’Australie ou leurs langues, ou apparenté ou propre aux aborigènes d’Australie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L’article 35 de la Constitution du Canada indique que “</w:t>
      </w:r>
      <w:r w:rsidRPr="00E8642C">
        <w:rPr>
          <w:rFonts w:cs="Arial"/>
          <w:i/>
          <w:iCs/>
          <w:szCs w:val="22"/>
        </w:rPr>
        <w:t>[…] peuples autochtones du Canada s’entend notamment des indiens, des Inuits et des Métis du Canada</w:t>
      </w:r>
      <w:r w:rsidRPr="00E8642C">
        <w:rPr>
          <w:rFonts w:cs="Arial"/>
          <w:szCs w:val="22"/>
        </w:rPr>
        <w:t>”.  La Commission royale canadienne de 1996 sur les peuples autochtones a défini elle</w:t>
      </w:r>
      <w:r>
        <w:rPr>
          <w:rFonts w:cs="Arial"/>
          <w:szCs w:val="22"/>
        </w:rPr>
        <w:noBreakHyphen/>
      </w:r>
      <w:r w:rsidRPr="00E8642C">
        <w:rPr>
          <w:rFonts w:cs="Arial"/>
          <w:szCs w:val="22"/>
        </w:rPr>
        <w:t>même son centre d’intérêt comme : “</w:t>
      </w:r>
      <w:r w:rsidRPr="00E8642C">
        <w:rPr>
          <w:rFonts w:cs="Arial"/>
          <w:i/>
          <w:iCs/>
          <w:szCs w:val="22"/>
        </w:rPr>
        <w:t xml:space="preserve">… entités culturelles et politiques qui descendent des premiers habitants de l’Amérique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s’inscrivant dans la continuité historique des sociétés “</w:t>
      </w:r>
      <w:proofErr w:type="spellStart"/>
      <w:r w:rsidRPr="00E8642C">
        <w:rPr>
          <w:rFonts w:cs="Arial"/>
          <w:iCs/>
          <w:szCs w:val="22"/>
        </w:rPr>
        <w:t>préinvasion</w:t>
      </w:r>
      <w:proofErr w:type="spellEnd"/>
      <w:r w:rsidRPr="00E8642C">
        <w:rPr>
          <w:rFonts w:cs="Arial"/>
          <w:iCs/>
          <w:szCs w:val="22"/>
        </w:rPr>
        <w:t>”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r w:rsidRPr="00E8642C">
        <w:t>Pratiques coutumières</w:t>
      </w:r>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communautaire.  Les pratiques coutumières sont ancrées dans la communauté et enracinées dans la façon dont celle</w:t>
      </w:r>
      <w:r>
        <w:rPr>
          <w:rFonts w:cs="Arial"/>
          <w:szCs w:val="22"/>
        </w:rPr>
        <w:noBreakHyphen/>
      </w:r>
      <w:r w:rsidRPr="00E8642C">
        <w:rPr>
          <w:rFonts w:cs="Arial"/>
          <w:szCs w:val="22"/>
        </w:rPr>
        <w:t>ci vit et travaille.  Elles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r w:rsidRPr="00E8642C">
        <w:t>Préservation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qu’il existe, de façon à préserver le cadre habituel de l’élaboration et de la transmission de ces savoirs et expressions, ainsi que de la mise en place des modalités qui régissent l’accès à ces savoirs et expressions;  et en second lieu, la préservation de ces éléments sous une forme fixe, comme lorsqu’un savoir</w:t>
      </w:r>
      <w:r>
        <w:rPr>
          <w:rFonts w:cs="Arial"/>
          <w:szCs w:val="22"/>
        </w:rPr>
        <w:noBreakHyphen/>
      </w:r>
      <w:r w:rsidRPr="00E8642C">
        <w:rPr>
          <w:rFonts w:cs="Arial"/>
          <w:szCs w:val="22"/>
        </w:rPr>
        <w:t>faire technique ou des connaissances médicinales traditionnels font l’objet d’une fixation, ou encore lorsque les expressions de la culture traditionnelle sont enregistrées.  La préservation a pour objet de contribuer à la survie de ces savoirs ou expressions, dans l’intérêt des générations futures de la communauté d’origine et de les perpétuer dans un cadre essentiellement traditionnel ou coutumier, ou de faire en sorte que ces savoirs traditionnels et ces expressions de la culture traditionnelle soient à la portée d’un public plus vaste (y compris des universitaires et des chercheurs), en reconnaissance de leur importance en tant qu’éléments du patrimoine culturel collectif de l’humanité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lois et programmes sans lien avec la propriété intellectuelle, qui traitent de la sauvegarde et de la promotion du patrimoine vivant, peuvent jouer un rôle utile en complétant les législations en matière de protection de la propriété intellectuelle.  D’autres systèmes juridiques internationaux, tels que la </w:t>
      </w:r>
      <w:r w:rsidRPr="00E8642C">
        <w:rPr>
          <w:rFonts w:cs="Arial"/>
          <w:i/>
          <w:szCs w:val="22"/>
        </w:rPr>
        <w:t>Convention sur la diversité biologique</w:t>
      </w:r>
      <w:r w:rsidRPr="00E8642C">
        <w:rPr>
          <w:rFonts w:cs="Arial"/>
          <w:szCs w:val="22"/>
        </w:rPr>
        <w:t xml:space="preserve"> (1992) et l’Organisation des Nations Unies pour l’éducation, la science et la culture (UNESCO), traitent des aspects relatifs à la conservation, la préservation et la sauvegarde des savoirs traditionnels dans leurs cadres d’action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Principes directeurs de propriété intellectuelle applicables aux contrats concernant l’accès et le partage des avantages</w:t>
      </w:r>
    </w:p>
    <w:p w:rsidR="00DD607D" w:rsidRPr="00E8642C" w:rsidRDefault="00DD607D" w:rsidP="00EF6794">
      <w:pPr>
        <w:rPr>
          <w:rFonts w:cs="Arial"/>
          <w:b/>
          <w:szCs w:val="22"/>
        </w:rPr>
      </w:pPr>
    </w:p>
    <w:p w:rsidR="00DD607D" w:rsidRPr="00E8642C" w:rsidRDefault="00DD607D" w:rsidP="00EF6794">
      <w:pPr>
        <w:pStyle w:val="NormalArial"/>
        <w:spacing w:line="240" w:lineRule="auto"/>
        <w:ind w:left="0"/>
        <w:rPr>
          <w:rFonts w:cs="Arial"/>
          <w:szCs w:val="22"/>
        </w:rPr>
      </w:pPr>
      <w:r w:rsidRPr="00E8642C">
        <w:rPr>
          <w:rFonts w:cs="Arial"/>
          <w:szCs w:val="22"/>
        </w:rPr>
        <w:t>Dès sa première session, l’IGC s’est prononcé en faveur de travaux qui conduiraient à l’élaboration par l’OMPI de principes directeurs de propriété intellectuelle en matière d’accès et de partage des avantages.  Il a été proposé d’asseoir ces principes directeurs sur une étude systématique des arrangements contractuels types et effectifs figurant dans la base de données des accords d’accès et de partage des avantages en matière de biodiversité de l’OMPI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l’IGC pour l’élaboration de ces principes directeurs</w:t>
      </w:r>
      <w:r w:rsidRPr="00E8642C">
        <w:rPr>
          <w:rStyle w:val="FootnoteReference"/>
          <w:rFonts w:cs="Arial"/>
          <w:szCs w:val="22"/>
        </w:rPr>
        <w:footnoteReference w:id="133"/>
      </w:r>
      <w:r w:rsidRPr="00E8642C">
        <w:rPr>
          <w:szCs w:val="22"/>
        </w:rPr>
        <w:t>.  Ce projet a ensuite été actualisé pour la dix</w:t>
      </w:r>
      <w:r>
        <w:rPr>
          <w:szCs w:val="22"/>
        </w:rPr>
        <w:noBreakHyphen/>
      </w:r>
      <w:r w:rsidRPr="00E8642C">
        <w:rPr>
          <w:szCs w:val="22"/>
        </w:rPr>
        <w:t>septième session de l’IGC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d’accès et de partage des avantages visent à servir les intérêts des fournisseurs et des destinataires des ressources génétiques lorsque ceux</w:t>
      </w:r>
      <w:r>
        <w:rPr>
          <w:rFonts w:cs="Arial"/>
          <w:szCs w:val="22"/>
        </w:rPr>
        <w:noBreakHyphen/>
      </w:r>
      <w:r w:rsidRPr="00E8642C">
        <w:rPr>
          <w:rFonts w:cs="Arial"/>
          <w:szCs w:val="22"/>
        </w:rPr>
        <w:t>ci négocient, définissent et rédigent les éléments de propriété intellectuelle des modalités fixées d’un commun accord en ce qui concerne l’accès aux ressources génétiques et le partage des avantages.  Ils donnent des exemples des questions concrètes de propriété intellectuelle auxquelles les fournisseurs et les destinataires des ressources peuvent être confrontés lorsqu’ils négocient un accord, un contrat ou une licence.  La diversité des législations nationales et des intérêts concrets des fournisseurs et des destinataires peut déboucher sur une multitude de choix possibles lors de la négociation et de l’élaboration des clauses contractuelles.  Ces principes directeurs peuvent donc aider les fournisseurs et les destinataires à déterminer les conditions d’accès et de partage des avantages de façon équitable et d’un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En outre, aucun élément de ces principes directeurs ne doit être interprété comme portant atteinte aux droits souverains des États sur leurs ressources naturelles, y compris leur droit de fixer les conditions et les modalités d’accès et de partage des avantages.  Les principes directeurs seraient de nature purement facultative et indicative.  Ils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Pr>
          <w:rFonts w:cs="Arial"/>
          <w:szCs w:val="22"/>
          <w:lang w:eastAsia="zh-CN"/>
        </w:rPr>
        <w:noBreakHyphen/>
      </w:r>
      <w:r w:rsidRPr="00E8642C">
        <w:rPr>
          <w:rFonts w:cs="Arial"/>
          <w:szCs w:val="22"/>
          <w:lang w:eastAsia="zh-CN"/>
        </w:rPr>
        <w:t>ci peuvent être préservées, conservées et utilisées dans l’intérêt de l’humanité</w:t>
      </w:r>
      <w:r w:rsidRPr="00E8642C">
        <w:rPr>
          <w:rStyle w:val="FootnoteReference"/>
          <w:rFonts w:cs="Arial"/>
          <w:szCs w:val="22"/>
          <w:lang w:eastAsia="zh-CN"/>
        </w:rPr>
        <w:footnoteReference w:id="136"/>
      </w:r>
      <w:r w:rsidRPr="00E8642C">
        <w:rPr>
          <w:rFonts w:cs="Arial"/>
          <w:szCs w:val="22"/>
          <w:lang w:eastAsia="zh-CN"/>
        </w:rPr>
        <w:t>.  Ces principes directeurs s’appliquent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Propriété culturelle</w:t>
      </w:r>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l’article premier de la</w:t>
      </w:r>
      <w:r w:rsidRPr="00E8642C">
        <w:rPr>
          <w:rFonts w:cs="Arial"/>
          <w:i/>
          <w:snapToGrid w:val="0"/>
          <w:szCs w:val="22"/>
        </w:rPr>
        <w:t xml:space="preserve"> Convention concernant les mesures à prendre pour interdire et empêcher l’importation, l’exportation et le transfert de propriété illicites des biens culturels </w:t>
      </w:r>
      <w:r w:rsidRPr="00E8642C">
        <w:rPr>
          <w:rFonts w:cs="Arial"/>
          <w:snapToGrid w:val="0"/>
          <w:szCs w:val="22"/>
        </w:rPr>
        <w:t xml:space="preserve">(1970) </w:t>
      </w:r>
      <w:r w:rsidRPr="00E8642C">
        <w:rPr>
          <w:rFonts w:cs="Arial"/>
          <w:szCs w:val="22"/>
        </w:rPr>
        <w:t xml:space="preserve">de l’Organisation des Nations Unies pour l’éducation, la science et la culture </w:t>
      </w:r>
      <w:r w:rsidRPr="00E8642C">
        <w:rPr>
          <w:rFonts w:cs="Arial"/>
          <w:snapToGrid w:val="0"/>
          <w:szCs w:val="22"/>
        </w:rPr>
        <w:t>(UNESCO) comme suit : “biens qui, à titre religieux ou profane, sont désignés par chaque État comme étant d’importance pour l’archéologie, la préhistoire, l’histoire, la littérature, l’art ou la science, et qui appartiennent aux catégories ci</w:t>
      </w:r>
      <w:r>
        <w:rPr>
          <w:rFonts w:cs="Arial"/>
          <w:snapToGrid w:val="0"/>
          <w:szCs w:val="22"/>
        </w:rPr>
        <w:noBreakHyphen/>
      </w:r>
      <w:r w:rsidRPr="00E8642C">
        <w:rPr>
          <w:rFonts w:cs="Arial"/>
          <w:snapToGrid w:val="0"/>
          <w:szCs w:val="22"/>
        </w:rPr>
        <w:t>après : a) collections et spécimens rares de zoologie, de botanique, de minéralogie et d’anatomie;  objets présentant un intérêt paléontologique;  b) les biens concernant l’histoire, y compris l’histoire des sciences et des techniques, l’histoire militaire et sociale ainsi que la vie des dirigeants, penseurs, savants et artistes nationaux, et les événements d’importance nationale;  c) le produit des fouilles archéologiques (régulières et clandestines) et des découvertes archéologiques;  d) les éléments provenant du démembrement de monuments artistiques ou historiques et de sites archéologiques;  e) objets d’antiquité ayant plus de cent ans d’âge, tels qu’inscriptions, monnaies et sceaux gravés;  f) le matériel ethnologique;  g) les biens d’intérêt artistique tels que : i) tableaux, peintures et dessins faits entièrement à la main sur tout support et en toutes matières (à l’exclusion des dessins industriels et des articles manufacturés décorés à la main);  ii) productions originales de l’art statutaire et de la sculpture, en toutes matières;  iii) gravures, estampes et lithographies originales;  iv) assemblages et montages artistiques originaux, en toutes matières;  h) manuscrits rares et incunables, livres, documents et publications anciens d’intérêt spécial (historique, artistique, scientifique, littéraire, etc.) isolés ou en collections;  i) timbres</w:t>
      </w:r>
      <w:r>
        <w:rPr>
          <w:rFonts w:cs="Arial"/>
          <w:snapToGrid w:val="0"/>
          <w:szCs w:val="22"/>
        </w:rPr>
        <w:noBreakHyphen/>
      </w:r>
      <w:r w:rsidRPr="00E8642C">
        <w:rPr>
          <w:rFonts w:cs="Arial"/>
          <w:snapToGrid w:val="0"/>
          <w:szCs w:val="22"/>
        </w:rPr>
        <w:t>poste, timbres fiscaux et analogues, isolés ou en collections;  j) archives, y compris les archives phonographiques, photographiques et cinématographies;  k) objets d’ameublement ayant plus de cent ans d’âge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Protection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l’IGC fait généralement référence à la protection des savoirs traditionnels et des expressions culturelles traditionnelles contre certaines formes d’utilisation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L’IGC a exploré deux aspects de la protection positive des savoirs traditionnels et des expressions culturelles traditionnelles par les droits de propriété intellectuelle, l’un ayant trait à la prévention d’une utilisation non autorisée et l’autre ayant trait à l’exploitation active des savoirs traditionnels et des expressions culturelles traditionnelles par la communauté à l’origine de ces savoirs et expressions.  L’IGC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d’avoir accès de façon illicite à ces savoirs et expressions ou de les utiliser à des fins lucratives sans en partager équitablement les avantages, mais ils peuvent également être utilisés par des détenteurs de savoirs traditionnels et d’expressions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C21AB4">
      <w:pPr>
        <w:pStyle w:val="Heading3"/>
        <w:spacing w:line="240" w:lineRule="auto"/>
      </w:pPr>
      <w:r w:rsidRPr="00E8642C">
        <w:t>Protection défensive</w:t>
      </w:r>
    </w:p>
    <w:p w:rsidR="00DD607D" w:rsidRPr="00E8642C" w:rsidRDefault="00DD607D" w:rsidP="00C21AB4"/>
    <w:p w:rsidR="00DD607D" w:rsidRPr="00E8642C" w:rsidRDefault="00DD607D" w:rsidP="00C21AB4">
      <w:r w:rsidRPr="00E8642C">
        <w:t>La protection défensive a été définie comme un ensemble de stratégies visant à empêcher l’obtention de droits illégitimes ou infondés en matière de propriété intellectuelle sur les expressions culturelles traditionnelles, les savoirs traditionnels et les ressources génétiques qui s’y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C21AB4"/>
    <w:p w:rsidR="00DD607D" w:rsidRPr="00E8642C" w:rsidRDefault="00DD607D" w:rsidP="00C21AB4">
      <w:pPr>
        <w:pStyle w:val="Heading2"/>
        <w:spacing w:line="240" w:lineRule="auto"/>
      </w:pPr>
      <w:r w:rsidRPr="00E8642C">
        <w:t>Protocole</w:t>
      </w:r>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Les protocoles sont des accords juridiques, des codes de conduite, des directives ou des ensembles de mœurs qui expliquent comment les gens devraient se comporter dans certaines circonstances.  Ils peuvent être utilisés pour établir des normes communautaires sur la circulation et l’usage des connaissances pour les étrangers ainsi que pour aider à changer la manière de procéder et définir de nouvelles normes.  Généralement, les protocoles sont flexibles et peuvent changer au fil du temps.  Ils peuvent être utilisés comme des outils pour aider à atteindre certains objectifs que les autres domaines du droit ont été incapables d’atteindre.  En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r w:rsidRPr="00E8642C">
        <w:t>Protocole de Nagoya sur l’accès aux ressources génétiques et le partage juste et équitable des avantages découlant de leur utilisation relatif à la Convention sur la diversité biologique (2010)</w:t>
      </w:r>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(Japon).  Selon l’article 1, l’objectif de ce protocole est “le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E8642C">
        <w:t xml:space="preserve">  </w:t>
      </w:r>
      <w:r w:rsidRPr="00E8642C">
        <w:rPr>
          <w:rFonts w:cs="Arial"/>
          <w:szCs w:val="22"/>
        </w:rPr>
        <w:t>Ce protocole sera déposé auprès du Secrétaire général de l’Organisation des Nations Unies et sera ouvert à la signature au Siège de l’Organisation des Nations Unies à New York du 2 février 2011 au 1</w:t>
      </w:r>
      <w:r w:rsidRPr="00E8642C">
        <w:rPr>
          <w:rFonts w:cs="Arial"/>
          <w:szCs w:val="22"/>
          <w:vertAlign w:val="superscript"/>
        </w:rPr>
        <w:t>er</w:t>
      </w:r>
      <w:r w:rsidRPr="00E8642C">
        <w:rPr>
          <w:rFonts w:cs="Arial"/>
          <w:szCs w:val="22"/>
        </w:rPr>
        <w:t> 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l’article 7 (accès aux connaissances traditionnelles associées aux ressources génétiques), l’article 12 (connaissances traditionnelles associées aux ressources génétiques) et l’article 16 (respect de la législation ou des exigences internes en matière d’accès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Protocole de Swakopmund relatif à la protection des savoirs traditionnels et des expressions du folklore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l’Organisation régionale africaine de la propriété intellectuelle (ARIPO) en août 2010 durant la Conférence diplomatique qui s’est tenue à Swakopmund (Namibie).  Selon l’article 1.1, l’objectif de ce protocole est :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l’ARIPO ont déposé leurs instruments de ratification ou d’adhésion.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Publiquement disponible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Les experts de la Réunion du groupe d’experts techniques et juridiques sur les connaissances traditionnelles associées aux ressources génétiques dans le contexte du régime international d’accès et de partage des avantages ont opéré une distinction entre “domaine public” et “publiquement disponible” spécifiquement pour les connaissances traditionnelles associées aux ressources génétiques : </w:t>
      </w:r>
      <w:r w:rsidRPr="00E8642C">
        <w:rPr>
          <w:rFonts w:cs="Arial"/>
          <w:iCs/>
          <w:szCs w:val="22"/>
        </w:rPr>
        <w:t>“Il a été indiqué que l’expression ‘domaine public’, qui est utilisée pour indiquer la libre disponibilité, a été prise hors contexte et appliquée aux connaissances traditionnelles associées aux ressources génétiques qui sont publiquement disponibles.  ‘Publiquement disponible’ ne signifie pas normalement disponible gratuitement.  Cette expression pourrait signifier qu’il y a une condition pour imposer des modalités convenues d’un commun accord comme le paiement d’un droit d’accès.  Les connaissances traditionnelles ont souvent été considérées comme étant du domaine public et, par conséquent, librement disponibles dès qu’on y a eu accès et qu’on les a enlevées du contexte culturel particulier pour les diffuser.  Mais on ne peut pas supposer que les connaissances traditionnelles associées aux ressources génétiques qui ont été rendues publiquement disponibles n’appartiennent pas à quelqu’un.  Dans le cadre du concept de la disponibilité publique, le consentement préalable donné en connaissance de cause d’un détenteur de connaissances traditionnelles qui est identifiable pourrait encore être requis et les dispositions du partage des avantages rendues applicables même lorsqu’un changement d’utilisation est discernable d’un consentement préalable donné en connaissance de cause précédemment.  Lorsqu’un détenteur n’est pas identifiable, l’État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r w:rsidRPr="00E8642C">
        <w:t>Registres de savoirs traditionnels</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différentes.  Selon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d’un acte quelconque du gouvernement mais se fondent plutôt sur des droits préexistants, y compris les droits ancestraux, coutumiers, moraux et des droits humains.  Dans le cas des registres déclaratifs, bien que l’enregistrement n’ait pas d’incidence sur l’existence de ces droits, il peut être utilisé pour aider les examinateurs de brevets à analyser l’état de la technique, et pour appuyer des réclamations relatives à des brevets délivrés dans lesquels il pourrait être fait usage directement ou indirectement de savoirs traditionnels.  Lorsque ces registres se présentent sous forme électronique et sont disponibles via l’Internet, il est important de mettre en place un mécanisme qui permette d’assurer que les dates d’entrée des savoirs traditionnels sont valides lorsque des recherches relatives à la nouveauté et à l’inventivité sont effectuées.  Ces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s’inscrivent dans un régime juridique qui cherche à octroyer des droits sur des savoirs traditionnels.  Les registres constitutifs visent à enregistrer l’octroi de droits (c’est</w:t>
      </w:r>
      <w:r>
        <w:rPr>
          <w:rFonts w:cs="Arial"/>
          <w:szCs w:val="22"/>
        </w:rPr>
        <w:noBreakHyphen/>
      </w:r>
      <w:r w:rsidRPr="00E8642C">
        <w:rPr>
          <w:rFonts w:cs="Arial"/>
          <w:szCs w:val="22"/>
        </w:rPr>
        <w:t>à</w:t>
      </w:r>
      <w:r>
        <w:rPr>
          <w:rFonts w:cs="Arial"/>
          <w:szCs w:val="22"/>
        </w:rPr>
        <w:noBreakHyphen/>
      </w:r>
      <w:r w:rsidRPr="00E8642C">
        <w:rPr>
          <w:rFonts w:cs="Arial"/>
          <w:szCs w:val="22"/>
        </w:rPr>
        <w:t>dire des droits de propriété exclusifs) au détenteur des savoirs traditionnels afin d’assurer que les intérêts moraux, économiques et juridiques de ce dernier sont protégés et reconnus.  La plupart des registres constitutifs types sont de nature publique, sont gérés par une entité nationale et en vertu d’une loi ou d’un règlement qui définit clairement de quelle manière se déroule l’enregistrement valide de savoirs traditionnels et comment il est formellement reconnu et accepté.  À 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 xml:space="preserve">On peut citer comme exemple de loi nationale, l’article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proofErr w:type="spellStart"/>
      <w:r w:rsidRPr="00E8642C">
        <w:rPr>
          <w:rFonts w:cs="Arial"/>
          <w:iCs/>
          <w:szCs w:val="22"/>
        </w:rPr>
        <w:t>Indecopi</w:t>
      </w:r>
      <w:proofErr w:type="spellEnd"/>
      <w:r w:rsidRPr="00E8642C">
        <w:rPr>
          <w:rFonts w:cs="Arial"/>
          <w:iCs/>
          <w:szCs w:val="22"/>
        </w:rPr>
        <w:t xml:space="preserve">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 xml:space="preserve">L’article 15 prévoit également que </w:t>
      </w:r>
      <w:r w:rsidRPr="00E8642C">
        <w:rPr>
          <w:rFonts w:cs="Arial"/>
          <w:iCs/>
          <w:szCs w:val="22"/>
        </w:rPr>
        <w:t>“[l]es savoirs collectifs des peuples autochtones peuvent être inscrits dans trois types de registre :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r w:rsidRPr="00E8642C">
        <w:t>Règlement extrajudiciaire des litiges</w:t>
      </w:r>
    </w:p>
    <w:p w:rsidR="00DD607D" w:rsidRPr="00E8642C" w:rsidRDefault="00DD607D" w:rsidP="00EF6794">
      <w:pPr>
        <w:rPr>
          <w:b/>
          <w:szCs w:val="22"/>
        </w:rPr>
      </w:pPr>
    </w:p>
    <w:p w:rsidR="00AA3C26" w:rsidRDefault="00DD607D" w:rsidP="00AA3C26">
      <w:pPr>
        <w:autoSpaceDE w:val="0"/>
        <w:autoSpaceDN w:val="0"/>
        <w:adjustRightInd w:val="0"/>
        <w:rPr>
          <w:rFonts w:cs="Arial"/>
          <w:b/>
          <w:bCs/>
          <w:snapToGrid w:val="0"/>
          <w:szCs w:val="22"/>
          <w:lang w:eastAsia="en-US"/>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génétiques.  Il s’attache à résoudre les litiges de manière non conflictuelle afin d’obtenir des résultats mutuellement avantageux pour toutes les parties.  Grâce aux modes extrajudiciaires de règlement des litiges, les parties assument elles</w:t>
      </w:r>
      <w:r>
        <w:rPr>
          <w:rFonts w:cs="Arial"/>
          <w:szCs w:val="22"/>
        </w:rPr>
        <w:noBreakHyphen/>
      </w:r>
      <w:r w:rsidRPr="00E8642C">
        <w:rPr>
          <w:rFonts w:cs="Arial"/>
          <w:szCs w:val="22"/>
        </w:rPr>
        <w:t>mêmes la responsabilité de régler le différend et peuvent prendre en considération des questions qui dépassent les seules normes juridiques.  Le règlement extrajudiciaire des litiges se caractérise par des procédures formelles et informelles, un éventail de possibilités en dehors de l’action en justice et l’octroi d’un plus grand contrôle aux parties concernant les paramètres du litige et la meilleure manière de le régler.  Les quatre principaux modes de règlement extrajudiciaire des litiges sont la négociation, la médiation, l’arbitrage et le droit collaboratif.  Les questions relatives aux savoirs traditionnels sont souvent étroitement liées aux valeurs culturelles et de nombreux désaccords portent sur une utilisation appropriée sur le plan culturel, le partage des savoirs et leur attribution correcte.  Le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r w:rsidR="00AA3C26">
        <w:br w:type="page"/>
      </w:r>
    </w:p>
    <w:p w:rsidR="00DD607D" w:rsidRPr="00E8642C" w:rsidRDefault="00DD607D" w:rsidP="00EF6794">
      <w:pPr>
        <w:pStyle w:val="Heading2"/>
        <w:keepLines/>
        <w:spacing w:line="240" w:lineRule="auto"/>
      </w:pPr>
      <w:r w:rsidRPr="00E8642C">
        <w:t>Rémunération équitable</w:t>
      </w:r>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d’un acte accompli à l’égard d’une œuvre protégée par le droit d’auteur ou d’un objet de droits connexes, dont le mode et le montant sont conformes à ce qui serait considéré comme normal dans le commerce pour un acte de même nature accompli avec l’autorisation du titulaire de droit d’auteur ou de droits connexes.  Ce critère est généralement appliqué lorsque les droits patrimoniaux se limitent à un droit à rémunération (et dans le cadre d’une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 xml:space="preserve">Traité de l’OMPI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l’application de ce droit ou, pour autant qu’elle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Réputation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Selon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 terme “réputation” renvoie à l’estime dont une personne bénéficie auprès des tiers.  La réputation entre dans le champ de la protection des droits moraux de l’auteur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l’auteur, par opposition à “intérêts moraux” ou “intérêts spirituels”, qui visent des notions plus larges.  En cas de dommage, il y a une différence entre le dommage porté à la réputation et le dommage porté aux intérêts moraux ou spirituels de l’auteur.  Il ne suffit pas que l’auteur n’apprécie pas ce qui a été fait à son œuvre, l’acte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r w:rsidRPr="00E8642C">
        <w:t>Respect mutuel</w:t>
      </w:r>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Déclaration des Nations Unies sur les droits des peuples autochtones</w:t>
      </w:r>
      <w:r w:rsidRPr="00E8642C">
        <w:rPr>
          <w:rFonts w:cs="Arial"/>
          <w:szCs w:val="22"/>
        </w:rPr>
        <w:t xml:space="preserve"> (2007) fait du respect mutuel un idéal à atteindre dans un esprit de partenariat.  L’adjectif “mutuel” vise au moins deux personnes qui se trouvent dans les mêmes dispositions l’une vis</w:t>
      </w:r>
      <w:r>
        <w:rPr>
          <w:rFonts w:cs="Arial"/>
          <w:szCs w:val="22"/>
        </w:rPr>
        <w:noBreakHyphen/>
      </w:r>
      <w:r w:rsidRPr="00E8642C">
        <w:rPr>
          <w:rFonts w:cs="Arial"/>
          <w:szCs w:val="22"/>
        </w:rPr>
        <w:t>à</w:t>
      </w:r>
      <w:r>
        <w:rPr>
          <w:rFonts w:cs="Arial"/>
          <w:szCs w:val="22"/>
        </w:rPr>
        <w:noBreakHyphen/>
      </w:r>
      <w:r w:rsidRPr="00E8642C">
        <w:rPr>
          <w:rFonts w:cs="Arial"/>
          <w:szCs w:val="22"/>
        </w:rPr>
        <w:t xml:space="preserve">vis de l’autre et qui agissent dans le cadre d’une relation de réciprocité (Oxford English </w:t>
      </w:r>
      <w:proofErr w:type="spellStart"/>
      <w:r w:rsidRPr="00E8642C">
        <w:rPr>
          <w:rFonts w:cs="Arial"/>
          <w:szCs w:val="22"/>
        </w:rPr>
        <w:t>Dictionary</w:t>
      </w:r>
      <w:proofErr w:type="spellEnd"/>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Ressources biologiques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Pr>
          <w:rFonts w:cs="Arial"/>
          <w:iCs/>
          <w:szCs w:val="22"/>
        </w:rPr>
        <w:noBreakHyphen/>
      </w:r>
      <w:r w:rsidRPr="00E8642C">
        <w:rPr>
          <w:rFonts w:cs="Arial"/>
          <w:iCs/>
          <w:szCs w:val="22"/>
        </w:rPr>
        <w:t xml:space="preserve">ci, les populations, ou tout autre élément biotique des écosystèmes ayant une utilisation ou une valeur effective ou potentielle pour l’humanité”.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 xml:space="preserve">L’article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 xml:space="preserve">D’autres instruments juridiques de propriété intellectuelle n’emploient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Pr>
          <w:rFonts w:cs="Arial"/>
          <w:szCs w:val="22"/>
        </w:rPr>
        <w:noBreakHyphen/>
      </w:r>
      <w:r w:rsidRPr="00E8642C">
        <w:rPr>
          <w:rFonts w:cs="Arial"/>
          <w:szCs w:val="22"/>
        </w:rPr>
        <w:t>Unis d’Amérique,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Pr>
          <w:rFonts w:cs="Arial"/>
          <w:iCs/>
          <w:szCs w:val="22"/>
        </w:rPr>
        <w:noBreakHyphen/>
      </w:r>
      <w:r w:rsidRPr="00E8642C">
        <w:rPr>
          <w:rFonts w:cs="Arial"/>
          <w:iCs/>
          <w:szCs w:val="22"/>
        </w:rPr>
        <w:t>ci, les populations, ou tout autre élément biotique des écosystèmes ayant une utilisation ou une valeur effective ou potentielle pour l’humanité</w:t>
      </w:r>
      <w:r w:rsidRPr="00E8642C">
        <w:rPr>
          <w:rFonts w:cs="Arial"/>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rPr>
          <w:rStyle w:val="Strong"/>
          <w:b/>
        </w:rPr>
      </w:pPr>
      <w:r w:rsidRPr="00E8642C">
        <w:rPr>
          <w:rStyle w:val="Strong"/>
          <w:b/>
        </w:rPr>
        <w:t>Ressources génétiques</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 xml:space="preserve">L’article premier de la </w:t>
      </w:r>
      <w:r w:rsidRPr="00E8642C">
        <w:rPr>
          <w:rFonts w:cs="Arial"/>
          <w:i/>
          <w:szCs w:val="22"/>
        </w:rPr>
        <w:t>Décision n° 391</w:t>
      </w:r>
      <w:r w:rsidRPr="00E8642C">
        <w:rPr>
          <w:rFonts w:cs="Arial"/>
          <w:szCs w:val="22"/>
        </w:rPr>
        <w:t xml:space="preserve"> </w:t>
      </w:r>
      <w:r w:rsidRPr="00E8642C">
        <w:rPr>
          <w:rFonts w:cs="Arial"/>
          <w:i/>
          <w:szCs w:val="22"/>
        </w:rPr>
        <w:t>sur l’accès aux ressources génétiques de la Communauté andine</w:t>
      </w:r>
      <w:r w:rsidRPr="00E8642C">
        <w:rPr>
          <w:rFonts w:cs="Arial"/>
          <w:szCs w:val="22"/>
        </w:rPr>
        <w:t xml:space="preserve"> (1996) définit les “ressources génétiques” d’une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l’Organisation des Nations Unies pour l’alimentation et l’agriculture (FAO) définit ce terme comme le “</w:t>
      </w:r>
      <w:proofErr w:type="spellStart"/>
      <w:r w:rsidRPr="00E8642C">
        <w:rPr>
          <w:rFonts w:cs="Arial"/>
          <w:iCs/>
          <w:szCs w:val="22"/>
        </w:rPr>
        <w:t>germoplasme</w:t>
      </w:r>
      <w:proofErr w:type="spellEnd"/>
      <w:r w:rsidRPr="00E8642C">
        <w:rPr>
          <w:rFonts w:cs="Arial"/>
          <w:iCs/>
          <w:szCs w:val="22"/>
        </w:rPr>
        <w:t xml:space="preserve"> de végétaux, d’animaux ou d’autres organismes contenant des caractères utiles de valeur réelle ou potentielle.  Dans les espèces d’élevage, il s’agit de la somme des combinaisons génétiques produites au cours du processus d’évolution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D’autres instruments juridiques font référence aux ressources génétiques dans des termes différents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 xml:space="preserve">L’article 2 du </w:t>
      </w:r>
      <w:r w:rsidRPr="00E8642C">
        <w:rPr>
          <w:rFonts w:cs="Arial"/>
          <w:i/>
          <w:iCs/>
          <w:szCs w:val="22"/>
        </w:rPr>
        <w:t xml:space="preserve">Traité international sur les ressources phytogénétiques pour l’alimentation et l’agriculture </w:t>
      </w:r>
      <w:r w:rsidRPr="00E8642C">
        <w:rPr>
          <w:rFonts w:cs="Arial"/>
          <w:iCs/>
          <w:szCs w:val="22"/>
        </w:rPr>
        <w:t xml:space="preserve">(2001) de </w:t>
      </w:r>
      <w:r w:rsidRPr="00E8642C">
        <w:rPr>
          <w:rFonts w:cs="Arial"/>
          <w:szCs w:val="22"/>
        </w:rPr>
        <w:t xml:space="preserve">l’Organisation des Nations Unies pour l’alimentation et l’agriculture (FAO) </w:t>
      </w:r>
      <w:r w:rsidRPr="00E8642C">
        <w:rPr>
          <w:rFonts w:cs="Arial"/>
          <w:iCs/>
          <w:szCs w:val="22"/>
        </w:rPr>
        <w:t>définit les “ressources phytogénétiques” comme “le matériel d’origine végétale, y compris le matériel de reproduction et de multiplication végétative, contenant des unités fonctionnelles de l’hérédité”.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 xml:space="preserve">L’article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pour la collecte et le transfert de matériel phytogénétique</w:t>
      </w:r>
      <w:r w:rsidRPr="00E8642C">
        <w:rPr>
          <w:rFonts w:cs="Arial"/>
          <w:iCs/>
          <w:szCs w:val="22"/>
        </w:rPr>
        <w:t xml:space="preserve"> (1993) de </w:t>
      </w:r>
      <w:r w:rsidRPr="00E8642C">
        <w:rPr>
          <w:rFonts w:cs="Arial"/>
          <w:szCs w:val="22"/>
        </w:rPr>
        <w:t>l’Organisation des Nations Unies pour l’alimentation et l’agriculture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EF6794">
      <w:pPr>
        <w:rPr>
          <w:rFonts w:cs="Arial"/>
          <w:szCs w:val="22"/>
        </w:rPr>
      </w:pPr>
      <w:r w:rsidRPr="00E8642C">
        <w:rPr>
          <w:rFonts w:cs="Arial"/>
          <w:szCs w:val="22"/>
        </w:rPr>
        <w:t xml:space="preserve">L’article 2.1)a) de </w:t>
      </w:r>
      <w:r w:rsidRPr="00E8642C">
        <w:rPr>
          <w:rFonts w:cs="Arial"/>
          <w:i/>
          <w:szCs w:val="22"/>
        </w:rPr>
        <w:t>l’Engagement international sur les ressources phytogénétiques</w:t>
      </w:r>
      <w:r w:rsidRPr="00E8642C">
        <w:rPr>
          <w:rFonts w:cs="Arial"/>
          <w:szCs w:val="22"/>
        </w:rPr>
        <w:t xml:space="preserve"> (1983) de l’Organisation des Nations Unies pour l’alimentation et l’agriculture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d’élite et mutants)</w:t>
      </w:r>
      <w:r w:rsidRPr="00E8642C">
        <w:rPr>
          <w:rFonts w:cs="Arial"/>
          <w:szCs w:val="22"/>
        </w:rPr>
        <w:t>”.  L’Engagement international ne mentionne pas les “unités fonctionnelles de l’hérédité”.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Sacré</w:t>
      </w:r>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dernières.  Il est l’opposé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d’animaux, de minéraux et de micro</w:t>
      </w:r>
      <w:r>
        <w:rPr>
          <w:rFonts w:cs="Arial"/>
          <w:szCs w:val="22"/>
          <w:lang w:eastAsia="zh-CN"/>
        </w:rPr>
        <w:noBreakHyphen/>
      </w:r>
      <w:r w:rsidRPr="00E8642C">
        <w:rPr>
          <w:rFonts w:cs="Arial"/>
          <w:szCs w:val="22"/>
          <w:lang w:eastAsia="zh-CN"/>
        </w:rPr>
        <w:t>organismes ainsi que les sites sacrés.  Le caractère sacré des savoirs traditionnels dépend de la question de savoir s’ils revêtent une dimension sacrée pour la communauté concernée.  De nombreux savoirs sacrés, par définition, ne sont pas commercialisés mais certains objets et sites sacrés sont commercialisés à des fins différentes par les communautés religieuses et spirituelles elles</w:t>
      </w:r>
      <w:r>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l’OMPI sur les missions d’enquête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d’un point de vue spirituel.  Les aspects spirituels de la guérison qui précèdent l’administration de certains médicaments traditionnels sont considérés comme très importants, par exemple, dans tous les pays d’Afrique occidentale bien qu’il soit admis qu’ils ne puissent pas faire l’objet d’un examen scientifique approfondi.  Dans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d’un ‘livre’ sacré mais non écrit”</w:t>
      </w:r>
      <w:r w:rsidRPr="00E8642C">
        <w:rPr>
          <w:rStyle w:val="FootnoteReference"/>
          <w:rFonts w:cs="Arial"/>
          <w:szCs w:val="22"/>
          <w:lang w:eastAsia="zh-CN"/>
        </w:rPr>
        <w:footnoteReference w:id="154"/>
      </w:r>
      <w:r w:rsidRPr="00E8642C">
        <w:rPr>
          <w:rFonts w:cs="Arial"/>
          <w:szCs w:val="22"/>
          <w:lang w:eastAsia="zh-CN"/>
        </w:rPr>
        <w:t xml:space="preserve">.  Au sein des communautés autochtones et locales, les éléments essentiels des savoirs traditionnels sacrés et secrets sont </w:t>
      </w:r>
      <w:proofErr w:type="gramStart"/>
      <w:r w:rsidRPr="00E8642C">
        <w:rPr>
          <w:rFonts w:cs="Arial"/>
          <w:szCs w:val="22"/>
          <w:lang w:eastAsia="zh-CN"/>
        </w:rPr>
        <w:t>considérés</w:t>
      </w:r>
      <w:proofErr w:type="gramEnd"/>
      <w:r w:rsidRPr="00E8642C">
        <w:rPr>
          <w:rFonts w:cs="Arial"/>
          <w:szCs w:val="22"/>
          <w:lang w:eastAsia="zh-CN"/>
        </w:rPr>
        <w:t xml:space="preserve">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 :</w:t>
      </w:r>
    </w:p>
    <w:p w:rsidR="00DD607D" w:rsidRPr="00E8642C" w:rsidRDefault="00DD607D" w:rsidP="00C21AB4">
      <w:pPr>
        <w:rPr>
          <w:rFonts w:cs="Arial"/>
          <w:szCs w:val="22"/>
          <w:lang w:eastAsia="zh-CN"/>
        </w:rPr>
      </w:pPr>
    </w:p>
    <w:p w:rsidR="00DD607D" w:rsidRPr="00E8642C" w:rsidRDefault="00DD607D" w:rsidP="00C21AB4">
      <w:pPr>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 : que faut</w:t>
      </w:r>
      <w:r>
        <w:rPr>
          <w:rFonts w:cs="Arial"/>
          <w:szCs w:val="22"/>
          <w:lang w:eastAsia="zh-CN"/>
        </w:rPr>
        <w:noBreakHyphen/>
      </w:r>
      <w:r w:rsidRPr="00E8642C">
        <w:rPr>
          <w:rFonts w:cs="Arial"/>
          <w:szCs w:val="22"/>
          <w:lang w:eastAsia="zh-CN"/>
        </w:rPr>
        <w:t>il entendre par traditionnel, que faut</w:t>
      </w:r>
      <w:r>
        <w:rPr>
          <w:rFonts w:cs="Arial"/>
          <w:szCs w:val="22"/>
          <w:lang w:eastAsia="zh-CN"/>
        </w:rPr>
        <w:noBreakHyphen/>
      </w:r>
      <w:r w:rsidRPr="00E8642C">
        <w:rPr>
          <w:rFonts w:cs="Arial"/>
          <w:szCs w:val="22"/>
          <w:lang w:eastAsia="zh-CN"/>
        </w:rPr>
        <w:t>il entendre par savoirs et que faut</w:t>
      </w:r>
      <w:r>
        <w:rPr>
          <w:rFonts w:cs="Arial"/>
          <w:szCs w:val="22"/>
          <w:lang w:eastAsia="zh-CN"/>
        </w:rPr>
        <w:noBreakHyphen/>
      </w:r>
      <w:r w:rsidRPr="00E8642C">
        <w:rPr>
          <w:rFonts w:cs="Arial"/>
          <w:szCs w:val="22"/>
          <w:lang w:eastAsia="zh-CN"/>
        </w:rPr>
        <w:t>il protéger?  C’est ainsi par exemple que d’aucuns pensaient qu’il fallait inclure la spiritualité ou les religions dans les savoirs traditionnels alors que d’autres étaient eux d’avis qu’il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particulières.  Ainsi qu’il est indiqué ci</w:t>
      </w:r>
      <w:r>
        <w:rPr>
          <w:rFonts w:cs="Arial"/>
          <w:szCs w:val="22"/>
          <w:lang w:eastAsia="zh-CN"/>
        </w:rPr>
        <w:noBreakHyphen/>
      </w:r>
      <w:r w:rsidRPr="00E8642C">
        <w:rPr>
          <w:rFonts w:cs="Arial"/>
          <w:szCs w:val="22"/>
          <w:lang w:eastAsia="zh-CN"/>
        </w:rPr>
        <w:t>dessus et dans le document “Projet d’analyse des lacunes y relatives : version révisée” (WIPO/GRTKF/IC/13/5(b) </w:t>
      </w:r>
      <w:proofErr w:type="spellStart"/>
      <w:r w:rsidRPr="00E8642C">
        <w:rPr>
          <w:rFonts w:cs="Arial"/>
          <w:szCs w:val="22"/>
          <w:lang w:eastAsia="zh-CN"/>
        </w:rPr>
        <w:t>Rev</w:t>
      </w:r>
      <w:proofErr w:type="spellEnd"/>
      <w:r w:rsidRPr="00E8642C">
        <w:rPr>
          <w:rFonts w:cs="Arial"/>
          <w:szCs w:val="22"/>
          <w:lang w:eastAsia="zh-CN"/>
        </w:rPr>
        <w:t>.), les savoirs traditionnels non divulgués peuvent être protégés en tant qu’éléments non divulgués par la législation internationale en matière de propriété intellectuelle.  Néanmoins, des considérations particulières peuvent s’appliquer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Sauvegarde</w:t>
      </w:r>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l’Organisation des Nations Unies pour l’éducation, la science et la culture (UNESCO)</w:t>
      </w:r>
      <w:r w:rsidRPr="00E8642C">
        <w:rPr>
          <w:rFonts w:cs="Arial"/>
          <w:i/>
          <w:szCs w:val="22"/>
        </w:rPr>
        <w:t xml:space="preserve"> </w:t>
      </w:r>
      <w:r w:rsidRPr="00E8642C">
        <w:rPr>
          <w:rFonts w:cs="Arial"/>
          <w:szCs w:val="22"/>
        </w:rPr>
        <w:t>décrit les mesures de sauvegarde de la manière suivante :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différents aspects de ce patrimoine”.  La sauvegarde se rapporte à l’adoption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autochtones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autochtones.  Les savoirs autochtones font donc partie de la catégorie des savoirs traditionnels mais les savoirs traditionnels ne sont pas nécessairement autochtones.  Néanmoins, cette expression est aussi utilisée pour décrire les savoirs qui sont eux</w:t>
      </w:r>
      <w:r>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n’existe aucune définition internationalement acceptée de l’expression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L’expression “savoirs traditionnels”, en tant que description générale de la question englobe généralement le patrimoine intellectuel et culturel immatériel, les pratiques et systèmes de connaissance des communautés traditionnelles, y compris les communautés autochtones et locales (les savoirs traditionnels au sens général du terme ou lato sensu).  En d’autres termes, l’expression “savoirs traditionnels” au sens général vise le contenu des savoirs proprement dits ainsi que les expressions culturelles traditionnelles, y compris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l’expression “savoirs traditionnels” est utilisée au sens strict et s’entend des savoirs résultant d’une activité intellectuelle dans un contexte traditionnel, et comprend le savoir</w:t>
      </w:r>
      <w:r>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savoirs traditionnels peuvent se présenter dans les contextes les plus variés, y compris : savoirs agricoles;  les savoirs scientifiques;  les savoirs techniques;  les savoirs écologiques;  les savoirs médicaux, y compris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traditionnels codifiés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 xml:space="preserve">Dans le domaine de la médecine traditionnelle, par exemple, l’Équipe Médecine traditionnelle de l’Organisation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xml:space="preserve">, qui n’ont pas été mis par écrit, ne sont en général pas divulgués par leurs détenteurs et sont transmis oralement de génération en génération.  Ainsi, en Asie du Sud, les systèmes de savoirs codifiés comprennent la médecine ayurvédique, codifiée dans 54 livres faisant autorité, le système Siddha, codifié dans 29 livres faisant autorité, et le système </w:t>
      </w:r>
      <w:proofErr w:type="spellStart"/>
      <w:r w:rsidRPr="00E8642C">
        <w:rPr>
          <w:rFonts w:cs="Arial"/>
          <w:szCs w:val="22"/>
        </w:rPr>
        <w:t>Unani</w:t>
      </w:r>
      <w:proofErr w:type="spellEnd"/>
      <w:r w:rsidRPr="00E8642C">
        <w:rPr>
          <w:rFonts w:cs="Arial"/>
          <w:szCs w:val="22"/>
        </w:rPr>
        <w:t> </w:t>
      </w:r>
      <w:proofErr w:type="spellStart"/>
      <w:r w:rsidRPr="00E8642C">
        <w:rPr>
          <w:rFonts w:cs="Arial"/>
          <w:szCs w:val="22"/>
        </w:rPr>
        <w:t>Tibb</w:t>
      </w:r>
      <w:proofErr w:type="spellEnd"/>
      <w:r w:rsidRPr="00E8642C">
        <w:rPr>
          <w:rFonts w:cs="Arial"/>
          <w:szCs w:val="22"/>
        </w:rPr>
        <w:t>,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autre distinction a été faite, à savoir que les savoirs traditionnels se répartissaient en deux catégories principales : i) les savoirs traditionnels codifiés, c’est</w:t>
      </w:r>
      <w:r>
        <w:rPr>
          <w:rFonts w:cs="Arial"/>
          <w:szCs w:val="22"/>
        </w:rPr>
        <w:noBreakHyphen/>
      </w:r>
      <w:r w:rsidRPr="00E8642C">
        <w:rPr>
          <w:rFonts w:cs="Arial"/>
          <w:szCs w:val="22"/>
        </w:rPr>
        <w:t>à</w:t>
      </w:r>
      <w:r>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r w:rsidRPr="00E8642C">
        <w:t>Savoirs traditionnels divulgués</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n’appartenant pas à la communauté autochtone ou locale considérée comme le ‘détenteur’ du savoir traditionnel;  ces savoirs traditionnels peuvent être largement accessibles au public sur un support physique, l’Internet ou d’autres types de télécommunications ou d’enregistrements;  ces savoirs peuvent être divulgués à des tiers ou à des personnes n’appartenant pas aux communautés autochtones et locales dont sont issus ces savoirs, avec ou sans l’autorisation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r w:rsidRPr="00E8642C">
        <w:t>Secret</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n’est pas porté à la connaissance de tiers ou n’est partagé qu’avec les personnes concernées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Les savoirs traditionnels et expressions culturelles traditionnelles “sacrés</w:t>
      </w:r>
      <w:r>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Source de ressources génétiques</w:t>
      </w:r>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d’obliger les déposants de demandes de brevet à déclarer la “source” des ressources génétiques et des savoirs traditionnels.  Elle a indiqué que “</w:t>
      </w:r>
      <w:r w:rsidRPr="00E8642C">
        <w:rPr>
          <w:rFonts w:cs="Arial"/>
          <w:iCs/>
          <w:szCs w:val="22"/>
        </w:rPr>
        <w:t>le terme “source” doit s’entendre au sens le plus large possible</w:t>
      </w:r>
      <w:r w:rsidRPr="00E8642C">
        <w:rPr>
          <w:rFonts w:cs="Arial"/>
          <w:szCs w:val="22"/>
        </w:rPr>
        <w:t>”, étant donné qu’une “</w:t>
      </w:r>
      <w:r w:rsidRPr="00E8642C">
        <w:rPr>
          <w:rFonts w:cs="Arial"/>
          <w:iCs/>
          <w:szCs w:val="22"/>
        </w:rPr>
        <w:t>multitude d’entités peuvent intervenir dans l’accès et le partage des avantages.  Doit être déclarée en tant que source l’entité compétente pour 1) </w:t>
      </w:r>
      <w:proofErr w:type="gramStart"/>
      <w:r w:rsidRPr="00E8642C">
        <w:rPr>
          <w:rFonts w:cs="Arial"/>
          <w:iCs/>
          <w:szCs w:val="22"/>
        </w:rPr>
        <w:t>octroyer</w:t>
      </w:r>
      <w:proofErr w:type="gramEnd"/>
      <w:r w:rsidRPr="00E8642C">
        <w:rPr>
          <w:rFonts w:cs="Arial"/>
          <w:iCs/>
          <w:szCs w:val="22"/>
        </w:rPr>
        <w:t xml:space="preserve"> l’accès aux ressources génétiques ou aux savoirs traditionnels ou 2) participer au partage des avantages découlant de leur utilisation.  Selon les ressources génétiques ou les savoirs traditionnels en cause, on peut distinguer, d’une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l’Organisation des Nations Unies pour l’alimentation et l’agriculture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r w:rsidRPr="00E8642C">
        <w:rPr>
          <w:i/>
        </w:rPr>
        <w:t>Sui generis</w:t>
      </w:r>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w:t>
      </w:r>
      <w:r w:rsidRPr="00E8642C">
        <w:rPr>
          <w:rFonts w:cs="Arial"/>
          <w:i/>
          <w:iCs/>
          <w:szCs w:val="22"/>
        </w:rPr>
        <w:t>sui generis</w:t>
      </w:r>
      <w:r w:rsidRPr="00E8642C">
        <w:rPr>
          <w:rFonts w:cs="Arial"/>
          <w:szCs w:val="22"/>
        </w:rPr>
        <w:t>” de la manière suivante : “</w:t>
      </w:r>
      <w:r w:rsidRPr="00E8642C">
        <w:rPr>
          <w:rFonts w:cs="Arial"/>
          <w:i/>
          <w:iCs/>
          <w:szCs w:val="22"/>
        </w:rPr>
        <w:t xml:space="preserve">[Du latin ‘de son espèce’] </w:t>
      </w:r>
      <w:r w:rsidRPr="00E8642C">
        <w:rPr>
          <w:rFonts w:cs="Arial"/>
          <w:iCs/>
          <w:szCs w:val="22"/>
        </w:rPr>
        <w:t xml:space="preserve">De son espèce ou classe;  unique ou particulier.  Ce terme est utilisé en droit de propriété intellectuelle pour décrire un régime conçu pour protéger des droits qui ne relèvent pas de la doctrine relative aux brevets et aux marques, au droit d’auteur et aux secrets des affaires.  Par exemple, une base de données peut ne pas être protégée par le droit d’auteur si son contenu n’est pas original, mais pourrait être protégée par une loi </w:t>
      </w:r>
      <w:r w:rsidRPr="00E8642C">
        <w:rPr>
          <w:rFonts w:cs="Arial"/>
          <w:szCs w:val="22"/>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précise.  Il existe déjà plusieurs exemples de droits de propriété intellectuelle </w:t>
      </w:r>
      <w:r w:rsidRPr="00E8642C">
        <w:rPr>
          <w:rFonts w:cs="Arial"/>
          <w:i/>
          <w:iCs/>
          <w:szCs w:val="22"/>
        </w:rPr>
        <w:t>sui generis</w:t>
      </w:r>
      <w:r w:rsidRPr="00E8642C">
        <w:rPr>
          <w:rFonts w:cs="Arial"/>
          <w:szCs w:val="22"/>
        </w:rPr>
        <w:t xml:space="preserve">, tels que les droits d’obtenteur qui font l’objet de la </w:t>
      </w:r>
      <w:r w:rsidRPr="00E8642C">
        <w:rPr>
          <w:rFonts w:cs="Arial"/>
          <w:i/>
          <w:szCs w:val="22"/>
        </w:rPr>
        <w:t>Convention internationale pour la protection des obtentions végétales</w:t>
      </w:r>
      <w:r w:rsidRPr="00E8642C">
        <w:rPr>
          <w:rFonts w:cs="Arial"/>
          <w:szCs w:val="22"/>
        </w:rPr>
        <w:t xml:space="preserve"> de 1991 (“Convention UPOV”) et la protection des droits de propriété intellectuelle en matière de circuits intégrés faisant l’objet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autres.  La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Traité international sur les ressources phytogénétiques pour l’alimentation et l’agriculture</w:t>
      </w:r>
    </w:p>
    <w:p w:rsidR="00DD607D" w:rsidRPr="00E8642C" w:rsidRDefault="00DD607D" w:rsidP="00EF6794"/>
    <w:p w:rsidR="00DD607D" w:rsidRPr="00E8642C" w:rsidRDefault="00DD607D" w:rsidP="00EF6794">
      <w:r w:rsidRPr="00E8642C">
        <w:t>Le Traité international sur les ressources phytogénétiques pour l’alimentation et l’agriculture (Traité international) a été adopté à la trente et unième session de la Conférence de l’Organisation des Nations Unies pour l’alimentation et l’agriculture le 3 novembre 2001 et il est entré en vigueur en 2004.  Ce traité a pour objet : 1) de reconnaître l’énorme contribution des agriculteurs à la diversité des plantes qui nourrissent le monde;  2) de mettre en place un système mondial permettant aux agriculteurs, aux obtenteurs et aux chercheurs d’avoir accès au matériel phytogénétique;  et 3) de faire en sorte que les destinataires partagent les avantages qu’ils tirent de l’utilisation de ces ressources génétiques avec les pays d’où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r w:rsidRPr="00E8642C">
        <w:t>Utilisation</w:t>
      </w:r>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l’article </w:t>
      </w:r>
      <w:proofErr w:type="spellStart"/>
      <w:r w:rsidRPr="00E8642C">
        <w:rPr>
          <w:rFonts w:cs="Arial"/>
          <w:szCs w:val="22"/>
          <w:lang w:eastAsia="zh-CN"/>
        </w:rPr>
        <w:t>2.c</w:t>
      </w:r>
      <w:proofErr w:type="spellEnd"/>
      <w:r w:rsidRPr="00E8642C">
        <w:rPr>
          <w:rFonts w:cs="Arial"/>
          <w:szCs w:val="22"/>
          <w:lang w:eastAsia="zh-CN"/>
        </w:rPr>
        <w:t>) comme suit :</w:t>
      </w:r>
      <w:r w:rsidRPr="00E8642C">
        <w:rPr>
          <w:rFonts w:cs="Arial"/>
          <w:szCs w:val="22"/>
        </w:rPr>
        <w:t xml:space="preserve"> “les activités de recherche et de développement sur la composition génétique et/ou biochimique de ressources génétiques, notamment par l’application de la biotechnologie, conformément à la définition fournie à l’article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Utilisation des expressions culturelles traditionnelles/savoirs traditionnels</w:t>
      </w:r>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raisons.  Parmi ces utilisations, on peut citer les utilisations à des fins commerciales ou industrielles, l’usage coutumier, l’usage loyal et l’usage de la médecine traditionnelle à des fins domestiques et de santé publique, et l’utilisation à des fins de recherche et d’enseignement.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l’“utilisation commerciale” de la manière suivante : “</w:t>
      </w:r>
      <w:r w:rsidRPr="00E8642C">
        <w:rPr>
          <w:rFonts w:cs="Arial"/>
          <w:iCs/>
          <w:szCs w:val="22"/>
        </w:rPr>
        <w:t>[toute] utilisation qui est liée à une activité lucrative en cours ou qui sert celle</w:t>
      </w:r>
      <w:r>
        <w:rPr>
          <w:rFonts w:cs="Arial"/>
          <w:iCs/>
          <w:szCs w:val="22"/>
        </w:rPr>
        <w:noBreakHyphen/>
      </w:r>
      <w:r w:rsidRPr="00E8642C">
        <w:rPr>
          <w:rFonts w:cs="Arial"/>
          <w:iCs/>
          <w:szCs w:val="22"/>
        </w:rPr>
        <w:t>ci</w:t>
      </w:r>
      <w:r w:rsidRPr="00E8642C">
        <w:rPr>
          <w:rFonts w:cs="Arial"/>
          <w:szCs w:val="22"/>
        </w:rPr>
        <w:t>”.  L’expression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l’usage coutumier comme “</w:t>
      </w:r>
      <w:r w:rsidRPr="00E8642C">
        <w:rPr>
          <w:rFonts w:cs="Arial"/>
          <w:iCs/>
          <w:szCs w:val="22"/>
        </w:rPr>
        <w:t>l’utilisation qui est faite de savoirs traditionnels ou d’expressions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L’expression “utilisation coutumière continue” renvoie à la persistance et à la nature vivante de l’utilisation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du droit d’auteur,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“usage loyal” de la manière suivante : “</w:t>
      </w:r>
      <w:r w:rsidRPr="00E8642C">
        <w:rPr>
          <w:rFonts w:cs="Arial"/>
          <w:iCs/>
          <w:szCs w:val="22"/>
        </w:rPr>
        <w:t>[tout] usage raisonnable et limité d’une œuvre protégée par le droit d’auteur sans l’autorisation de son auteur, comme le fait de citer un livre dans la critique d’un livre ou d’utiliser des parties d’un livre dans une parodie.  L’usage loyal constitue un moyen de défense dans une action en contrefaçon, selon les critères suivants : 1) le but et le caractère de l’utilisation, 2) la nature de l’œuvre protégée par le droit d’auteur, 3) la part de l’œuvre utilisée et 4) l’incidence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“ménager”</w:t>
      </w:r>
      <w:r w:rsidRPr="00E8642C">
        <w:rPr>
          <w:rFonts w:cs="Arial"/>
          <w:iCs/>
          <w:szCs w:val="22"/>
        </w:rPr>
        <w:t xml:space="preserve"> de la manière suivante : “[a]</w:t>
      </w:r>
      <w:proofErr w:type="spellStart"/>
      <w:r w:rsidRPr="00E8642C">
        <w:rPr>
          <w:rFonts w:cs="Arial"/>
          <w:iCs/>
          <w:szCs w:val="22"/>
        </w:rPr>
        <w:t>ppartenant</w:t>
      </w:r>
      <w:proofErr w:type="spellEnd"/>
      <w:r w:rsidRPr="00E8642C">
        <w:rPr>
          <w:rFonts w:cs="Arial"/>
          <w:iCs/>
          <w:szCs w:val="22"/>
        </w:rPr>
        <w:t xml:space="preserve">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L’article 1 de la Déclaration de Doha sur l’Accord sur les ADPIC et la santé publique reconnaît “</w:t>
      </w:r>
      <w:r w:rsidRPr="00E8642C">
        <w:rPr>
          <w:rFonts w:cs="Arial"/>
          <w:iCs/>
          <w:szCs w:val="22"/>
        </w:rPr>
        <w:t xml:space="preserve">la gravité des problèmes de santé publique qui touchent de nombreux pays en développement et pays les moins avancés, en particulier ceux qui résultent du VIH/SIDA, de la tuberculose, du paludisme et d’autres épidémies”.  </w:t>
      </w:r>
      <w:r w:rsidRPr="00E8642C">
        <w:rPr>
          <w:rFonts w:cs="Arial"/>
          <w:szCs w:val="22"/>
        </w:rPr>
        <w:t>L’article </w:t>
      </w:r>
      <w:proofErr w:type="spellStart"/>
      <w:r w:rsidRPr="00E8642C">
        <w:rPr>
          <w:rFonts w:cs="Arial"/>
          <w:szCs w:val="22"/>
        </w:rPr>
        <w:t>5.c</w:t>
      </w:r>
      <w:proofErr w:type="spellEnd"/>
      <w:r w:rsidRPr="00E8642C">
        <w:rPr>
          <w:rFonts w:cs="Arial"/>
          <w:szCs w:val="22"/>
        </w:rPr>
        <w:t xml:space="preserve">) ajoute que </w:t>
      </w:r>
      <w:r w:rsidRPr="00E8642C">
        <w:rPr>
          <w:rFonts w:cs="Arial"/>
          <w:iCs/>
          <w:szCs w:val="22"/>
        </w:rPr>
        <w:t>“[c]</w:t>
      </w:r>
      <w:proofErr w:type="spellStart"/>
      <w:r w:rsidRPr="00E8642C">
        <w:rPr>
          <w:rFonts w:cs="Arial"/>
          <w:iCs/>
          <w:szCs w:val="22"/>
        </w:rPr>
        <w:t>haque</w:t>
      </w:r>
      <w:proofErr w:type="spellEnd"/>
      <w:r w:rsidRPr="00E8642C">
        <w:rPr>
          <w:rFonts w:cs="Arial"/>
          <w:iCs/>
          <w:szCs w:val="22"/>
        </w:rPr>
        <w:t xml:space="preserve"> Membre a le droit de déterminer ce qui constitue une situation d’urgence nationale ou d’autres circonstances d’extrême urgence, étant entendu que les crises dans le domaine de la santé publique, y compris celles qui sont liées au VIH/SIDA, à la tuberculose, au paludisme et à d’autres épidémies, peuvent représenter une situation d’urgence nationale ou d’autres circonstances d’extrême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Dans le domaine des brevets,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l’expression “défense au titre de l’usage expérimental” de la manière suivante : “</w:t>
      </w:r>
      <w:r w:rsidRPr="00E8642C">
        <w:rPr>
          <w:rFonts w:cs="Arial"/>
          <w:iCs/>
          <w:szCs w:val="22"/>
        </w:rPr>
        <w:t>[tout] moyen de défense contre une action en atteinte au brevet intentée lorsque la création et l’utilisation de l’invention brevetée visaient uniquement un but scientifique.  Bien qu’il soit encore reconnu, ce moyen de défense est très limité et ne s’applique aujourd’hui plus qu’au domaine de la recherche visant à tester les revendications de l’inventeur</w:t>
      </w:r>
      <w:r w:rsidRPr="00E8642C">
        <w:rPr>
          <w:rFonts w:cs="Arial"/>
          <w:szCs w:val="22"/>
        </w:rPr>
        <w:t>”.  Il convient de noter que, bien que les droits de propriété intellectuelle soient des droits exclusifs, certaines exceptions et limitations relatives aux droits exclusifs existent.  Par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Utilisation illicite</w:t>
      </w:r>
      <w:r w:rsidRPr="00E8642C">
        <w:rPr>
          <w:rStyle w:val="FootnoteReference"/>
          <w:b w:val="0"/>
          <w:bCs w:val="0"/>
          <w:caps/>
        </w:rPr>
        <w:footnoteReference w:id="172"/>
      </w:r>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 xml:space="preserve">Dans le domaine des brevets, le </w:t>
      </w:r>
      <w:proofErr w:type="spellStart"/>
      <w:r w:rsidRPr="00E8642C">
        <w:rPr>
          <w:rFonts w:cs="Arial"/>
          <w:szCs w:val="22"/>
        </w:rPr>
        <w:t>Black’s</w:t>
      </w:r>
      <w:proofErr w:type="spellEnd"/>
      <w:r w:rsidRPr="00E8642C">
        <w:rPr>
          <w:rFonts w:cs="Arial"/>
          <w:szCs w:val="22"/>
        </w:rPr>
        <w:t xml:space="preserve"> Law </w:t>
      </w:r>
      <w:proofErr w:type="spellStart"/>
      <w:r w:rsidRPr="00E8642C">
        <w:rPr>
          <w:rFonts w:cs="Arial"/>
          <w:szCs w:val="22"/>
        </w:rPr>
        <w:t>Dictionary</w:t>
      </w:r>
      <w:proofErr w:type="spellEnd"/>
      <w:r w:rsidRPr="00E8642C">
        <w:rPr>
          <w:rFonts w:cs="Arial"/>
          <w:szCs w:val="22"/>
        </w:rPr>
        <w:t xml:space="preserve"> définit le terme “utilisation illicite” de la manière suivante : “</w:t>
      </w:r>
      <w:r w:rsidRPr="00E8642C">
        <w:rPr>
          <w:rFonts w:cs="Arial"/>
          <w:iCs/>
          <w:szCs w:val="22"/>
        </w:rPr>
        <w:t>utilisation d’un brevet soit pour étendre indûment le monopole conféré à des biens non brevetés, soit pour violer les lois antitrust</w:t>
      </w:r>
      <w:r w:rsidRPr="00E8642C">
        <w:rPr>
          <w:rFonts w:cs="Arial"/>
          <w:szCs w:val="22"/>
        </w:rPr>
        <w:t>”.  D’une manière générale, il la définit comme une utilisation impropre, d’une manière non intentionnelle ou non prévisible.  Les dictionnaires définissent généralement l’utilisation illicite comme une utilisation erronée, incorrecte ou abusive, ou un abus de pouvoir.  L’utilisation illicite peut également renvoyer à une utilisation abusive ou excessive, ou à des actes qui modifient l’objet ou la fonction même d’une chose.</w:t>
      </w: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E8642C" w:rsidRDefault="00AA3C26" w:rsidP="00AA3C26">
      <w:pPr>
        <w:rPr>
          <w:rFonts w:cs="Arial"/>
          <w:szCs w:val="22"/>
        </w:rPr>
      </w:pPr>
    </w:p>
    <w:p w:rsidR="00AA3C26" w:rsidRPr="00E8642C" w:rsidRDefault="00AA3C26" w:rsidP="00AA3C26">
      <w:pPr>
        <w:pStyle w:val="Endofdocument-Annex"/>
      </w:pPr>
      <w:r w:rsidRPr="00E8642C">
        <w:t xml:space="preserve">[Fin de </w:t>
      </w:r>
      <w:proofErr w:type="spellStart"/>
      <w:r w:rsidRPr="00E8642C">
        <w:t>l’annexe</w:t>
      </w:r>
      <w:proofErr w:type="spellEnd"/>
      <w:r w:rsidRPr="00E8642C">
        <w:t xml:space="preserve"> </w:t>
      </w:r>
      <w:proofErr w:type="gramStart"/>
      <w:r w:rsidRPr="00E8642C">
        <w:t>et</w:t>
      </w:r>
      <w:proofErr w:type="gramEnd"/>
      <w:r w:rsidRPr="00E8642C">
        <w:t xml:space="preserve"> du document]</w:t>
      </w:r>
    </w:p>
    <w:sectPr w:rsidR="00AA3C26" w:rsidRPr="00E8642C"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9D" w:rsidRDefault="000C2C9D">
      <w:r>
        <w:separator/>
      </w:r>
    </w:p>
  </w:endnote>
  <w:endnote w:type="continuationSeparator" w:id="0">
    <w:p w:rsidR="000C2C9D" w:rsidRDefault="000C2C9D">
      <w:r>
        <w:continuationSeparator/>
      </w:r>
    </w:p>
  </w:endnote>
  <w:endnote w:type="continuationNotice" w:id="1">
    <w:p w:rsidR="000C2C9D" w:rsidRDefault="000C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Pr="008576A7" w:rsidRDefault="000C2C9D"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9D" w:rsidRDefault="000C2C9D">
      <w:r>
        <w:separator/>
      </w:r>
    </w:p>
  </w:footnote>
  <w:footnote w:type="continuationSeparator" w:id="0">
    <w:p w:rsidR="000C2C9D" w:rsidRDefault="000C2C9D">
      <w:r>
        <w:separator/>
      </w:r>
    </w:p>
    <w:p w:rsidR="000C2C9D" w:rsidRDefault="000C2C9D" w:rsidP="00BD4DE0">
      <w:pPr>
        <w:spacing w:after="60"/>
      </w:pPr>
      <w:r w:rsidRPr="009D30E6">
        <w:rPr>
          <w:sz w:val="17"/>
          <w:szCs w:val="17"/>
        </w:rPr>
        <w:t>[Suite de la note de la page précédente]</w:t>
      </w:r>
    </w:p>
  </w:footnote>
  <w:footnote w:type="continuationNotice" w:id="1">
    <w:p w:rsidR="000C2C9D" w:rsidRPr="009D30E6" w:rsidRDefault="000C2C9D" w:rsidP="00BD4DE0">
      <w:pPr>
        <w:spacing w:before="60"/>
        <w:jc w:val="right"/>
        <w:rPr>
          <w:sz w:val="17"/>
          <w:szCs w:val="17"/>
        </w:rPr>
      </w:pPr>
      <w:r w:rsidRPr="009D30E6">
        <w:rPr>
          <w:sz w:val="17"/>
          <w:szCs w:val="17"/>
        </w:rPr>
        <w:t>[Suite de la note page suivante]</w:t>
      </w:r>
    </w:p>
  </w:footnote>
  <w:footnote w:id="2">
    <w:p w:rsidR="000C2C9D" w:rsidRPr="00E8642C" w:rsidRDefault="000C2C9D" w:rsidP="0051068B">
      <w:pPr>
        <w:pStyle w:val="FootnoteText"/>
        <w:ind w:left="0" w:firstLine="0"/>
        <w:rPr>
          <w:rStyle w:val="FooterChar"/>
          <w:rFonts w:cs="Arial"/>
          <w:noProof/>
          <w:sz w:val="18"/>
          <w:szCs w:val="18"/>
          <w:lang w:val="fr-FR"/>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8642C">
        <w:rPr>
          <w:rStyle w:val="FooterChar"/>
          <w:rFonts w:cs="Arial"/>
          <w:noProof/>
          <w:sz w:val="18"/>
          <w:szCs w:val="18"/>
          <w:lang w:val="fr-FR"/>
        </w:rPr>
        <w:t>septième session du comité (document WIPO/GRTKF/IC/17/12).</w:t>
      </w:r>
    </w:p>
  </w:footnote>
  <w:footnote w:id="3">
    <w:p w:rsidR="000C2C9D" w:rsidRPr="00E8642C" w:rsidRDefault="000C2C9D">
      <w:pPr>
        <w:pStyle w:val="FootnoteText"/>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Style w:val="FooterChar"/>
          <w:rFonts w:cs="Arial"/>
          <w:noProof/>
          <w:sz w:val="18"/>
          <w:szCs w:val="18"/>
          <w:lang w:val="fr-FR"/>
        </w:rPr>
        <w:t>Rapport de la dix</w:t>
      </w:r>
      <w:r>
        <w:rPr>
          <w:rStyle w:val="FooterChar"/>
          <w:rFonts w:cs="Arial"/>
          <w:noProof/>
          <w:sz w:val="18"/>
          <w:szCs w:val="18"/>
          <w:lang w:val="fr-FR"/>
        </w:rPr>
        <w:noBreakHyphen/>
      </w:r>
      <w:r w:rsidRPr="00E8642C">
        <w:rPr>
          <w:rStyle w:val="FooterChar"/>
          <w:rFonts w:cs="Arial"/>
          <w:noProof/>
          <w:sz w:val="18"/>
          <w:szCs w:val="18"/>
          <w:lang w:val="fr-FR"/>
        </w:rPr>
        <w:t>neuvième session du comité (document WIPO/GRTKF/IC/19/12).</w:t>
      </w:r>
    </w:p>
  </w:footnote>
  <w:footnote w:id="4">
    <w:p w:rsidR="000C2C9D" w:rsidRPr="00E8642C" w:rsidRDefault="000C2C9D" w:rsidP="0051068B">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0C2C9D" w:rsidRPr="00E8642C" w:rsidRDefault="000C2C9D" w:rsidP="0051068B">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23 des Lignes directrices de Bonn sur l’accès aux ressources génétiques et le partage juste et équitable des avantages résultant de leur utilisation.</w:t>
      </w:r>
    </w:p>
  </w:footnote>
  <w:footnote w:id="6">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WIPO/GRTKF/IC/17/INF/12.</w:t>
      </w:r>
    </w:p>
  </w:footnote>
  <w:footnote w:id="7">
    <w:p w:rsidR="000C2C9D" w:rsidRPr="00E8642C" w:rsidRDefault="000C2C9D" w:rsidP="00EF6794">
      <w:pPr>
        <w:rPr>
          <w:rFonts w:cs="Arial"/>
          <w:noProof/>
          <w:color w:val="000000"/>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l’adresse</w:t>
      </w:r>
      <w:r>
        <w:rPr>
          <w:rFonts w:cs="Arial"/>
          <w:noProof/>
          <w:sz w:val="18"/>
          <w:szCs w:val="18"/>
        </w:rPr>
        <w:t xml:space="preserve"> </w:t>
      </w:r>
      <w:hyperlink r:id="rId1" w:history="1">
        <w:r w:rsidRPr="00A331FB">
          <w:rPr>
            <w:rStyle w:val="Hyperlink"/>
            <w:rFonts w:cs="Arial"/>
            <w:noProof/>
            <w:sz w:val="18"/>
            <w:szCs w:val="18"/>
          </w:rPr>
          <w:t>http://www.wipo.int/tk/en/databases/contracts/index.html</w:t>
        </w:r>
      </w:hyperlink>
      <w:r w:rsidRPr="00E8642C">
        <w:rPr>
          <w:rFonts w:cs="Arial"/>
          <w:noProof/>
          <w:sz w:val="18"/>
          <w:szCs w:val="18"/>
        </w:rPr>
        <w:t>.</w:t>
      </w:r>
    </w:p>
  </w:footnote>
  <w:footnote w:id="8">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l’adresse</w:t>
      </w:r>
      <w:r>
        <w:rPr>
          <w:rFonts w:cs="Arial"/>
          <w:noProof/>
          <w:sz w:val="18"/>
          <w:szCs w:val="18"/>
        </w:rPr>
        <w:t xml:space="preserve"> </w:t>
      </w:r>
      <w:hyperlink r:id="rId2" w:history="1">
        <w:r w:rsidRPr="00A331FB">
          <w:rPr>
            <w:rStyle w:val="Hyperlink"/>
            <w:rFonts w:cs="Arial"/>
            <w:noProof/>
            <w:sz w:val="18"/>
            <w:szCs w:val="18"/>
          </w:rPr>
          <w:t>http://www.fao.org/3/a</w:t>
        </w:r>
        <w:r>
          <w:rPr>
            <w:rStyle w:val="Hyperlink"/>
            <w:rFonts w:cs="Arial"/>
            <w:noProof/>
            <w:sz w:val="18"/>
            <w:szCs w:val="18"/>
          </w:rPr>
          <w:t>-</w:t>
        </w:r>
        <w:r w:rsidRPr="00A331FB">
          <w:rPr>
            <w:rStyle w:val="Hyperlink"/>
            <w:rFonts w:cs="Arial"/>
            <w:noProof/>
            <w:sz w:val="18"/>
            <w:szCs w:val="18"/>
          </w:rPr>
          <w:t>be623e.pdf</w:t>
        </w:r>
      </w:hyperlink>
      <w:r w:rsidRPr="00E8642C">
        <w:rPr>
          <w:rFonts w:cs="Arial"/>
          <w:noProof/>
          <w:sz w:val="18"/>
          <w:szCs w:val="18"/>
        </w:rPr>
        <w:t>.</w:t>
      </w:r>
    </w:p>
  </w:footnote>
  <w:footnote w:id="9">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WIPO Intellectual Property Handbook, publication n° 489(E) de l’OMPI, 2008, page 20.</w:t>
      </w:r>
    </w:p>
  </w:footnote>
  <w:footnote w:id="11">
    <w:p w:rsidR="000C2C9D" w:rsidRPr="00E8642C" w:rsidRDefault="000C2C9D" w:rsidP="00EF679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l’article 103 du titre 35 du Code des États</w:t>
      </w:r>
      <w:r>
        <w:rPr>
          <w:rFonts w:cs="Arial"/>
          <w:sz w:val="18"/>
          <w:szCs w:val="18"/>
        </w:rPr>
        <w:noBreakHyphen/>
      </w:r>
      <w:r w:rsidRPr="00E8642C">
        <w:rPr>
          <w:rFonts w:cs="Arial"/>
          <w:sz w:val="18"/>
          <w:szCs w:val="18"/>
        </w:rPr>
        <w:t xml:space="preserve">Unis d’Amérique, disponible à l’adresse </w:t>
      </w:r>
      <w:hyperlink r:id="rId3" w:history="1">
        <w:r w:rsidRPr="00A331FB">
          <w:rPr>
            <w:rStyle w:val="Hyperlink"/>
            <w:rFonts w:cs="Arial"/>
            <w:sz w:val="18"/>
            <w:szCs w:val="18"/>
          </w:rPr>
          <w:t>https://www.uspto.gov/web/offices/pac/mpep/s2158.html</w:t>
        </w:r>
      </w:hyperlink>
      <w:r>
        <w:rPr>
          <w:rFonts w:cs="Arial"/>
          <w:sz w:val="18"/>
          <w:szCs w:val="18"/>
        </w:rPr>
        <w:t>.</w:t>
      </w:r>
    </w:p>
  </w:footnote>
  <w:footnote w:id="12">
    <w:p w:rsidR="000C2C9D" w:rsidRPr="00E8642C" w:rsidRDefault="000C2C9D" w:rsidP="004B68AF">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TextChar"/>
          <w:noProof/>
          <w:sz w:val="18"/>
          <w:szCs w:val="18"/>
          <w:lang w:val="fr-FR"/>
        </w:rPr>
        <w:t xml:space="preserve"> </w:t>
      </w:r>
      <w:r w:rsidRPr="00E8642C">
        <w:rPr>
          <w:rStyle w:val="FootnoteTextChar"/>
          <w:noProof/>
          <w:sz w:val="18"/>
          <w:szCs w:val="18"/>
          <w:lang w:val="fr-FR"/>
        </w:rPr>
        <w:tab/>
      </w:r>
      <w:r w:rsidRPr="00E8642C">
        <w:rPr>
          <w:rFonts w:cs="Arial"/>
          <w:noProof/>
          <w:sz w:val="18"/>
          <w:szCs w:val="18"/>
          <w:lang w:eastAsia="en-US"/>
        </w:rPr>
        <w:t>Guide des traités sur le droit d’auteur et les droits connexes administrés par l’OMPI et Glossaire du droit d’auteur et des droits connexes, page 264.</w:t>
      </w:r>
    </w:p>
  </w:footnote>
  <w:footnote w:id="1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L’édition utilisée aux fins du présent document est la </w:t>
      </w:r>
      <w:r w:rsidR="00E0296C">
        <w:rPr>
          <w:rFonts w:cs="Arial"/>
          <w:noProof/>
          <w:sz w:val="18"/>
          <w:szCs w:val="18"/>
        </w:rPr>
        <w:t>dixième</w:t>
      </w:r>
      <w:r w:rsidRPr="00E8642C">
        <w:rPr>
          <w:rFonts w:cs="Arial"/>
          <w:noProof/>
          <w:sz w:val="18"/>
          <w:szCs w:val="18"/>
        </w:rPr>
        <w:t xml:space="preserve"> édition, de Bryan A. Garner.</w:t>
      </w:r>
    </w:p>
  </w:footnote>
  <w:footnote w:id="1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“Cadre juridique de la protection des savoirs traditionnels à Sri Lanka”, première version du document de travail (janvier 2009).</w:t>
      </w:r>
    </w:p>
  </w:footnote>
  <w:footnote w:id="15">
    <w:p w:rsidR="000C2C9D" w:rsidRPr="00E8642C" w:rsidRDefault="000C2C9D" w:rsidP="00903B5D">
      <w:pPr>
        <w:pStyle w:val="FootnoteText"/>
        <w:ind w:left="0" w:firstLine="0"/>
        <w:rPr>
          <w:rFonts w:cs="Arial"/>
          <w:noProof/>
          <w:sz w:val="18"/>
          <w:szCs w:val="18"/>
        </w:rPr>
      </w:pPr>
      <w:r w:rsidRPr="00E8642C">
        <w:rPr>
          <w:rStyle w:val="FootnoteReference"/>
          <w:rFonts w:cs="Arial"/>
          <w:sz w:val="18"/>
          <w:szCs w:val="18"/>
        </w:rPr>
        <w:footnoteRef/>
      </w:r>
      <w:r w:rsidRPr="00E8642C">
        <w:rPr>
          <w:rStyle w:val="FootnoteReference"/>
          <w:rFonts w:cs="Arial"/>
          <w:sz w:val="18"/>
          <w:szCs w:val="18"/>
        </w:rPr>
        <w:t xml:space="preserve"> </w:t>
      </w:r>
      <w:r w:rsidRPr="00E8642C">
        <w:rPr>
          <w:rFonts w:cs="Arial"/>
          <w:sz w:val="18"/>
          <w:szCs w:val="18"/>
        </w:rPr>
        <w:tab/>
      </w:r>
      <w:r w:rsidRPr="00E8642C">
        <w:rPr>
          <w:rFonts w:cs="Arial"/>
          <w:noProof/>
          <w:sz w:val="18"/>
          <w:szCs w:val="18"/>
        </w:rPr>
        <w:t>Sam Ricketson et Jane C. Ginsburg, International Copyright and Neighboring Rights—The Berne Convention and Beyond, Oxford, vol. I, page 603.</w:t>
      </w:r>
    </w:p>
  </w:footnote>
  <w:footnote w:id="16">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 page 293.</w:t>
      </w:r>
    </w:p>
  </w:footnote>
  <w:footnote w:id="17">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2 du document OMPI/GRTKF/IC/2/3;  la base de données en ligne figure à l’adresse</w:t>
      </w:r>
      <w:r>
        <w:rPr>
          <w:rFonts w:cs="Arial"/>
          <w:noProof/>
          <w:sz w:val="18"/>
          <w:szCs w:val="18"/>
        </w:rPr>
        <w:t xml:space="preserve"> </w:t>
      </w:r>
      <w:hyperlink r:id="rId4" w:history="1">
        <w:r w:rsidRPr="00A331FB">
          <w:rPr>
            <w:rStyle w:val="Hyperlink"/>
            <w:rFonts w:cs="Arial"/>
            <w:noProof/>
            <w:sz w:val="18"/>
            <w:szCs w:val="18"/>
          </w:rPr>
          <w:t>http://www.wipo.int/tk/en/databases/contracts/index.html</w:t>
        </w:r>
      </w:hyperlink>
      <w:r w:rsidRPr="00E8642C">
        <w:rPr>
          <w:rFonts w:cs="Arial"/>
          <w:noProof/>
          <w:sz w:val="18"/>
          <w:szCs w:val="18"/>
        </w:rPr>
        <w:t>.</w:t>
      </w:r>
    </w:p>
  </w:footnote>
  <w:footnote w:id="18">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WIPO/GRTKF/IC/17/INF/11.</w:t>
      </w:r>
    </w:p>
  </w:footnote>
  <w:footnote w:id="19">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sur la dix</w:t>
      </w:r>
      <w:r>
        <w:rPr>
          <w:rFonts w:cs="Arial"/>
          <w:noProof/>
          <w:sz w:val="18"/>
          <w:szCs w:val="18"/>
        </w:rPr>
        <w:noBreakHyphen/>
      </w:r>
      <w:r w:rsidRPr="00E8642C">
        <w:rPr>
          <w:rFonts w:cs="Arial"/>
          <w:noProof/>
          <w:sz w:val="18"/>
          <w:szCs w:val="18"/>
        </w:rPr>
        <w:t>septième session du comité (document WIPO/GRTKF/IC/17/12).</w:t>
      </w:r>
    </w:p>
  </w:footnote>
  <w:footnote w:id="2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plus d’informations, on peut consulter le site</w:t>
      </w:r>
      <w:r>
        <w:rPr>
          <w:rFonts w:cs="Arial"/>
          <w:noProof/>
          <w:sz w:val="18"/>
          <w:szCs w:val="18"/>
        </w:rPr>
        <w:t xml:space="preserve"> </w:t>
      </w:r>
      <w:hyperlink r:id="rId5" w:history="1">
        <w:r w:rsidRPr="00836283">
          <w:rPr>
            <w:rStyle w:val="Hyperlink"/>
            <w:rFonts w:cs="Arial"/>
            <w:noProof/>
            <w:sz w:val="18"/>
            <w:szCs w:val="18"/>
          </w:rPr>
          <w:t>http://www.wipo.int/publications/fr/details.jsp?id=283&amp;plang=EN</w:t>
        </w:r>
      </w:hyperlink>
      <w:r w:rsidRPr="00E8642C">
        <w:rPr>
          <w:rFonts w:cs="Arial"/>
          <w:noProof/>
          <w:sz w:val="18"/>
          <w:szCs w:val="18"/>
        </w:rPr>
        <w:t>.</w:t>
      </w:r>
    </w:p>
  </w:footnote>
  <w:footnote w:id="21">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The Role of Registers &amp; Databases in the Protection of Traditional Knowledge : Rapport de l’UNU IAS, janvier 2004, p. 18.</w:t>
      </w:r>
    </w:p>
  </w:footnote>
  <w:footnote w:id="22">
    <w:p w:rsidR="000C2C9D" w:rsidRPr="00E8642C" w:rsidRDefault="000C2C9D" w:rsidP="004B68AF">
      <w:pPr>
        <w:pStyle w:val="FootnoteText"/>
        <w:ind w:left="0" w:firstLine="0"/>
        <w:rPr>
          <w:rFonts w:cs="Arial"/>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Déclaration de la FAO sur les biotechnologies, disponible à l’adresse</w:t>
      </w:r>
      <w:r>
        <w:rPr>
          <w:rFonts w:cs="Arial"/>
          <w:noProof/>
          <w:sz w:val="18"/>
          <w:szCs w:val="18"/>
        </w:rPr>
        <w:t xml:space="preserve"> </w:t>
      </w:r>
      <w:hyperlink r:id="rId6" w:history="1">
        <w:r w:rsidRPr="00E8642C">
          <w:rPr>
            <w:rStyle w:val="Hyperlink"/>
            <w:rFonts w:cs="Arial"/>
            <w:noProof/>
            <w:sz w:val="18"/>
            <w:szCs w:val="18"/>
          </w:rPr>
          <w:t>http://www.fao.org/biotech/fao</w:t>
        </w:r>
        <w:r>
          <w:rPr>
            <w:rStyle w:val="Hyperlink"/>
            <w:rFonts w:cs="Arial"/>
            <w:noProof/>
            <w:sz w:val="18"/>
            <w:szCs w:val="18"/>
          </w:rPr>
          <w:t>-</w:t>
        </w:r>
        <w:r w:rsidRPr="00E8642C">
          <w:rPr>
            <w:rStyle w:val="Hyperlink"/>
            <w:rFonts w:cs="Arial"/>
            <w:noProof/>
            <w:sz w:val="18"/>
            <w:szCs w:val="18"/>
          </w:rPr>
          <w:t>statement</w:t>
        </w:r>
        <w:r>
          <w:rPr>
            <w:rStyle w:val="Hyperlink"/>
            <w:rFonts w:cs="Arial"/>
            <w:noProof/>
            <w:sz w:val="18"/>
            <w:szCs w:val="18"/>
          </w:rPr>
          <w:t>-</w:t>
        </w:r>
        <w:r w:rsidRPr="00E8642C">
          <w:rPr>
            <w:rStyle w:val="Hyperlink"/>
            <w:rFonts w:cs="Arial"/>
            <w:noProof/>
            <w:sz w:val="18"/>
            <w:szCs w:val="18"/>
          </w:rPr>
          <w:t>on</w:t>
        </w:r>
        <w:r>
          <w:rPr>
            <w:rStyle w:val="Hyperlink"/>
            <w:rFonts w:cs="Arial"/>
            <w:noProof/>
            <w:sz w:val="18"/>
            <w:szCs w:val="18"/>
          </w:rPr>
          <w:t>-</w:t>
        </w:r>
        <w:r w:rsidRPr="00E8642C">
          <w:rPr>
            <w:rStyle w:val="Hyperlink"/>
            <w:rFonts w:cs="Arial"/>
            <w:noProof/>
            <w:sz w:val="18"/>
            <w:szCs w:val="18"/>
          </w:rPr>
          <w:t>biotechnology/fr/</w:t>
        </w:r>
      </w:hyperlink>
      <w:r w:rsidRPr="00E8642C">
        <w:rPr>
          <w:rFonts w:cs="Arial"/>
          <w:sz w:val="18"/>
          <w:szCs w:val="18"/>
        </w:rPr>
        <w:t>.</w:t>
      </w:r>
    </w:p>
  </w:footnote>
  <w:footnote w:id="2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la définition et la définition sous forme de liste à l’adresse</w:t>
      </w:r>
      <w:r>
        <w:rPr>
          <w:rFonts w:cs="Arial"/>
          <w:noProof/>
          <w:sz w:val="18"/>
          <w:szCs w:val="18"/>
        </w:rPr>
        <w:t xml:space="preserve"> </w:t>
      </w:r>
      <w:hyperlink r:id="rId7" w:history="1">
        <w:r w:rsidRPr="00E8642C">
          <w:rPr>
            <w:rStyle w:val="Hyperlink"/>
            <w:rFonts w:cs="Arial"/>
            <w:noProof/>
            <w:sz w:val="18"/>
            <w:szCs w:val="18"/>
          </w:rPr>
          <w:t>http://www.oecd.org/fr/sti/biotech/definitionstatistiquedelabiotechnologiemiseajouren2005.htm</w:t>
        </w:r>
      </w:hyperlink>
      <w:r w:rsidRPr="00E8642C">
        <w:rPr>
          <w:rFonts w:cs="Arial"/>
          <w:noProof/>
          <w:sz w:val="18"/>
          <w:szCs w:val="18"/>
        </w:rPr>
        <w:t>.</w:t>
      </w:r>
    </w:p>
  </w:footnote>
  <w:footnote w:id="24">
    <w:p w:rsidR="000C2C9D" w:rsidRPr="00E8642C" w:rsidRDefault="000C2C9D" w:rsidP="0040085A">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 OMPI, p. 289.</w:t>
      </w:r>
    </w:p>
  </w:footnote>
  <w:footnote w:id="2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PATENTSCOPE de l’OMPI.</w:t>
      </w:r>
    </w:p>
  </w:footnote>
  <w:footnote w:id="2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009F43E8" w:rsidRPr="00E8642C">
        <w:rPr>
          <w:rFonts w:cs="Arial"/>
          <w:noProof/>
          <w:sz w:val="18"/>
          <w:szCs w:val="18"/>
        </w:rPr>
        <w:t>The Role of Registers &amp; Databases in the Protection of Traditional Knowledge : Rapport de l’UNU IAS, janvier 2004, p. 18.</w:t>
      </w:r>
      <w:bookmarkStart w:id="6" w:name="_GoBack"/>
      <w:bookmarkEnd w:id="6"/>
    </w:p>
  </w:footnote>
  <w:footnote w:id="2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de plus d’informations, on peut consulter le site</w:t>
      </w:r>
      <w:r>
        <w:rPr>
          <w:rFonts w:cs="Arial"/>
          <w:noProof/>
          <w:sz w:val="18"/>
          <w:szCs w:val="18"/>
        </w:rPr>
        <w:t xml:space="preserve"> </w:t>
      </w:r>
      <w:hyperlink r:id="rId8" w:history="1">
        <w:r w:rsidRPr="00836283">
          <w:rPr>
            <w:rStyle w:val="Hyperlink"/>
            <w:rFonts w:cs="Arial"/>
            <w:noProof/>
            <w:sz w:val="18"/>
            <w:szCs w:val="18"/>
          </w:rPr>
          <w:t>http://www.tkdl.res.in/tkdl/langdefault/common/TKRC.asp?GL=Eng</w:t>
        </w:r>
      </w:hyperlink>
      <w:r w:rsidRPr="00E8642C">
        <w:rPr>
          <w:rFonts w:cs="Arial"/>
          <w:noProof/>
          <w:sz w:val="18"/>
          <w:szCs w:val="18"/>
        </w:rPr>
        <w:t>.</w:t>
      </w:r>
    </w:p>
  </w:footnote>
  <w:footnote w:id="28">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PATENTSCOPE de l’OMPI.</w:t>
      </w:r>
    </w:p>
  </w:footnote>
  <w:footnote w:id="29">
    <w:p w:rsidR="000C2C9D" w:rsidRPr="00E8642C" w:rsidRDefault="000C2C9D" w:rsidP="004B68AF">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8642C">
        <w:rPr>
          <w:rFonts w:cs="Arial"/>
          <w:noProof/>
          <w:sz w:val="18"/>
          <w:szCs w:val="18"/>
        </w:rPr>
        <w:t>Bas pour l’UNESCO (document TER/CH/2002/WD/4), 2002.</w:t>
      </w:r>
    </w:p>
  </w:footnote>
  <w:footnote w:id="3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8642C">
        <w:rPr>
          <w:rFonts w:cs="Arial"/>
          <w:iCs/>
          <w:noProof/>
          <w:sz w:val="18"/>
          <w:szCs w:val="18"/>
        </w:rPr>
        <w:t>Voir aussi</w:t>
      </w:r>
      <w:r w:rsidRPr="00E8642C">
        <w:rPr>
          <w:rFonts w:cs="Arial"/>
          <w:i/>
          <w:iCs/>
          <w:noProof/>
          <w:sz w:val="18"/>
          <w:szCs w:val="18"/>
        </w:rPr>
        <w:t xml:space="preserve"> </w:t>
      </w:r>
      <w:r w:rsidRPr="00E8642C">
        <w:rPr>
          <w:rFonts w:cs="Arial"/>
          <w:noProof/>
          <w:sz w:val="18"/>
          <w:szCs w:val="18"/>
        </w:rPr>
        <w:t>le document UNEP/CBD/WS</w:t>
      </w:r>
      <w:r>
        <w:rPr>
          <w:rFonts w:cs="Arial"/>
          <w:noProof/>
          <w:sz w:val="18"/>
          <w:szCs w:val="18"/>
        </w:rPr>
        <w:noBreakHyphen/>
      </w:r>
      <w:r w:rsidRPr="00E8642C">
        <w:rPr>
          <w:rFonts w:cs="Arial"/>
          <w:noProof/>
          <w:sz w:val="18"/>
          <w:szCs w:val="18"/>
        </w:rPr>
        <w:t>CB/LAC/1/INF/5.</w:t>
      </w:r>
    </w:p>
  </w:footnote>
  <w:footnote w:id="31">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Voir la CDB, Development of Elements of </w:t>
      </w:r>
      <w:r w:rsidRPr="00E8642C">
        <w:rPr>
          <w:rFonts w:cs="Arial"/>
          <w:i/>
          <w:iCs/>
          <w:noProof/>
          <w:sz w:val="18"/>
          <w:szCs w:val="18"/>
        </w:rPr>
        <w:t>Sui Generis</w:t>
      </w:r>
      <w:r w:rsidRPr="00E8642C">
        <w:rPr>
          <w:rFonts w:cs="Arial"/>
          <w:noProof/>
          <w:sz w:val="18"/>
          <w:szCs w:val="18"/>
        </w:rPr>
        <w:t xml:space="preserve"> Systems for the Protection of Traditional Knowledge, Innovations and Practices, UNEP/CBD/WG8J/4/INF/18, page 5.</w:t>
      </w:r>
    </w:p>
  </w:footnote>
  <w:footnote w:id="3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32 du document UNEP/CBD/COP/4/22.</w:t>
      </w:r>
    </w:p>
  </w:footnote>
  <w:footnote w:id="33">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également Marc G. Stevenson, “Indigenous Knowledge in Environmental Assessments”, 49 ARCTIC 278 (1996), page 281.</w:t>
      </w:r>
    </w:p>
  </w:footnote>
  <w:footnote w:id="3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ab/>
        <w:t>Stephen Allen et Alexandra Xanthaki, “Reflections on the UN Declaration on the Rights of Indigenous Peoples”, Oxford and Portland, Oregon, page 49.  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0C2C9D" w:rsidRPr="00E8642C" w:rsidRDefault="000C2C9D" w:rsidP="004B68AF">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Terri Janke, </w:t>
      </w:r>
      <w:r w:rsidRPr="00E8642C">
        <w:rPr>
          <w:rFonts w:cs="Arial"/>
          <w:iCs/>
          <w:noProof/>
          <w:sz w:val="18"/>
          <w:szCs w:val="18"/>
        </w:rPr>
        <w:t>Pathways &amp; Protocols – A Filmmaker’s guide to Working with Indigenous People, Culture and Concepts,</w:t>
      </w:r>
      <w:r w:rsidRPr="00E8642C">
        <w:rPr>
          <w:rFonts w:cs="Arial"/>
          <w:noProof/>
          <w:sz w:val="18"/>
          <w:szCs w:val="18"/>
        </w:rPr>
        <w:t xml:space="preserve"> page 51.</w:t>
      </w:r>
    </w:p>
  </w:footnote>
  <w:footnote w:id="38">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Nino Pires de Carvalho, From the Shaman’s Hut to the Patent Office : A Road Under Construction.  </w:t>
      </w:r>
      <w:r w:rsidRPr="00E8642C">
        <w:rPr>
          <w:rFonts w:cs="Arial"/>
          <w:sz w:val="18"/>
          <w:szCs w:val="18"/>
        </w:rPr>
        <w:t>Chapitre</w:t>
      </w:r>
      <w:r w:rsidRPr="00E8642C">
        <w:rPr>
          <w:rFonts w:cs="Arial"/>
          <w:noProof/>
          <w:sz w:val="18"/>
          <w:szCs w:val="18"/>
        </w:rPr>
        <w:t> 18 de Biodiversity and the Law, page 244.</w:t>
      </w:r>
    </w:p>
  </w:footnote>
  <w:footnote w:id="4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53 du document WIPO/GRTKF/IC/5/3 intitulé “Analyse globale de la protection juridique des expressions culturelles traditionnelles”.</w:t>
      </w:r>
    </w:p>
  </w:footnote>
  <w:footnote w:id="41">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Paragraphe 27 du document WIPO/GRTKF/IC/4/8 intitulé “Éléments constitutifs d’un système </w:t>
      </w:r>
      <w:r w:rsidRPr="00E8642C">
        <w:rPr>
          <w:rFonts w:cs="Arial"/>
          <w:i/>
          <w:iCs/>
          <w:noProof/>
          <w:sz w:val="18"/>
          <w:szCs w:val="18"/>
        </w:rPr>
        <w:t xml:space="preserve">sui generis </w:t>
      </w:r>
      <w:r w:rsidRPr="00E8642C">
        <w:rPr>
          <w:rFonts w:cs="Arial"/>
          <w:noProof/>
          <w:sz w:val="18"/>
          <w:szCs w:val="18"/>
        </w:rPr>
        <w:t xml:space="preserve">de protection des savoirs traditionnels”.  </w:t>
      </w:r>
    </w:p>
  </w:footnote>
  <w:footnote w:id="43">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WIPO/GRTKF/IC/17/INF/12.</w:t>
      </w:r>
    </w:p>
  </w:footnote>
  <w:footnote w:id="44">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les articles 10 à 13 du Traité international sur les ressources phytogénétiques pour l’alimentation et l’agriculture.</w:t>
      </w:r>
    </w:p>
  </w:footnote>
  <w:footnote w:id="4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Pr="00E8642C">
        <w:rPr>
          <w:rFonts w:cs="Arial"/>
          <w:noProof/>
          <w:sz w:val="18"/>
          <w:szCs w:val="18"/>
          <w:lang w:eastAsia="zh-CN"/>
        </w:rPr>
        <w:t xml:space="preserve"> WIPO/GRTKF/IC/3/9.</w:t>
      </w:r>
    </w:p>
  </w:footnote>
  <w:footnote w:id="4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57 du document WIPO/GRTKF/IC/5/3 intitulé “Analyse globale de la protection juridique des expressions culturelles traditionnelles”.</w:t>
      </w:r>
    </w:p>
  </w:footnote>
  <w:footnote w:id="47">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Daniel Gervais, The TRIPS Agreement.  Drafting and Analysis, 3</w:t>
      </w:r>
      <w:r w:rsidRPr="00E8642C">
        <w:rPr>
          <w:rFonts w:cs="Arial"/>
          <w:noProof/>
          <w:sz w:val="18"/>
          <w:szCs w:val="18"/>
          <w:vertAlign w:val="superscript"/>
        </w:rPr>
        <w:t>e</w:t>
      </w:r>
      <w:r w:rsidRPr="00E8642C">
        <w:rPr>
          <w:rFonts w:cs="Arial"/>
          <w:noProof/>
          <w:sz w:val="18"/>
          <w:szCs w:val="18"/>
        </w:rPr>
        <w:t xml:space="preserve"> éd., Sweet &amp; Maxwell, page 132.</w:t>
      </w:r>
    </w:p>
  </w:footnote>
  <w:footnote w:id="4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Paragraphe 54 du document WIPO/GRTKF/IC/5/3 intitulé “Analyse globale de la protection juridique des expressions culturelles traditionnelles”.  </w:t>
      </w:r>
    </w:p>
  </w:footnote>
  <w:footnote w:id="49">
    <w:p w:rsidR="000C2C9D" w:rsidRPr="00E8642C" w:rsidRDefault="000C2C9D" w:rsidP="00C21AB4">
      <w:pPr>
        <w:pStyle w:val="FootnoteText"/>
        <w:rPr>
          <w:rFonts w:cs="Arial"/>
          <w:sz w:val="18"/>
          <w:szCs w:val="18"/>
          <w:lang w:val="fr-CH"/>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Fonts w:cs="Arial"/>
          <w:color w:val="000000"/>
          <w:sz w:val="18"/>
          <w:szCs w:val="18"/>
        </w:rPr>
        <w:t>Voir</w:t>
      </w:r>
      <w:r>
        <w:rPr>
          <w:rFonts w:cs="Arial"/>
          <w:color w:val="000000"/>
          <w:sz w:val="18"/>
          <w:szCs w:val="18"/>
        </w:rPr>
        <w:t xml:space="preserve"> </w:t>
      </w:r>
      <w:hyperlink r:id="rId9" w:history="1">
        <w:r w:rsidRPr="00836283">
          <w:rPr>
            <w:rStyle w:val="Hyperlink"/>
            <w:rFonts w:cs="Arial"/>
            <w:sz w:val="18"/>
            <w:szCs w:val="18"/>
          </w:rPr>
          <w:t>http://www.un.org/fr/universal</w:t>
        </w:r>
        <w:r>
          <w:rPr>
            <w:rStyle w:val="Hyperlink"/>
            <w:rFonts w:cs="Arial"/>
            <w:sz w:val="18"/>
            <w:szCs w:val="18"/>
          </w:rPr>
          <w:t>-</w:t>
        </w:r>
        <w:r w:rsidRPr="00836283">
          <w:rPr>
            <w:rStyle w:val="Hyperlink"/>
            <w:rFonts w:cs="Arial"/>
            <w:sz w:val="18"/>
            <w:szCs w:val="18"/>
          </w:rPr>
          <w:t>declaration</w:t>
        </w:r>
        <w:r>
          <w:rPr>
            <w:rStyle w:val="Hyperlink"/>
            <w:rFonts w:cs="Arial"/>
            <w:sz w:val="18"/>
            <w:szCs w:val="18"/>
          </w:rPr>
          <w:t>-</w:t>
        </w:r>
        <w:r w:rsidRPr="00836283">
          <w:rPr>
            <w:rStyle w:val="Hyperlink"/>
            <w:rFonts w:cs="Arial"/>
            <w:sz w:val="18"/>
            <w:szCs w:val="18"/>
          </w:rPr>
          <w:t>human</w:t>
        </w:r>
        <w:r>
          <w:rPr>
            <w:rStyle w:val="Hyperlink"/>
            <w:rFonts w:cs="Arial"/>
            <w:sz w:val="18"/>
            <w:szCs w:val="18"/>
          </w:rPr>
          <w:t>-</w:t>
        </w:r>
        <w:r w:rsidRPr="00836283">
          <w:rPr>
            <w:rStyle w:val="Hyperlink"/>
            <w:rFonts w:cs="Arial"/>
            <w:sz w:val="18"/>
            <w:szCs w:val="18"/>
          </w:rPr>
          <w:t>rights/</w:t>
        </w:r>
      </w:hyperlink>
      <w:r>
        <w:rPr>
          <w:rFonts w:cs="Arial"/>
          <w:color w:val="000000"/>
          <w:sz w:val="18"/>
          <w:szCs w:val="18"/>
        </w:rPr>
        <w:t>.</w:t>
      </w:r>
    </w:p>
  </w:footnote>
  <w:footnote w:id="5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de l’OMPI sur les missions d’enquête consacrées à la propriété intellectuelle et aux savoirs traditionnels (1998</w:t>
      </w:r>
      <w:r>
        <w:rPr>
          <w:rFonts w:cs="Arial"/>
          <w:noProof/>
          <w:color w:val="000000"/>
          <w:sz w:val="18"/>
          <w:szCs w:val="18"/>
        </w:rPr>
        <w:noBreakHyphen/>
      </w:r>
      <w:r w:rsidRPr="00E8642C">
        <w:rPr>
          <w:rFonts w:cs="Arial"/>
          <w:noProof/>
          <w:sz w:val="18"/>
          <w:szCs w:val="18"/>
        </w:rPr>
        <w:t>1999), “Savoirs traditionnels : besoins et attentes en matière de propriété intellectuelle”, p. 26.</w:t>
      </w:r>
    </w:p>
  </w:footnote>
  <w:footnote w:id="51">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r>
      <w:r w:rsidRPr="00E8642C">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0C2C9D" w:rsidRPr="00E8642C" w:rsidRDefault="000C2C9D" w:rsidP="004B68AF">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4.1) de la Convention sur la protection et la promotion de la diversité des expressions culturelles de l’UNESCO (2005).</w:t>
      </w:r>
    </w:p>
  </w:footnote>
  <w:footnote w:id="53">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 OMPI,</w:t>
      </w:r>
      <w:r w:rsidRPr="00E8642C">
        <w:rPr>
          <w:rStyle w:val="FootnoteReference"/>
          <w:rFonts w:cs="Arial"/>
          <w:noProof/>
          <w:sz w:val="18"/>
          <w:szCs w:val="18"/>
          <w:vertAlign w:val="baseline"/>
        </w:rPr>
        <w:t xml:space="preserve"> page</w:t>
      </w:r>
      <w:r w:rsidRPr="00E8642C">
        <w:rPr>
          <w:rFonts w:cs="Arial"/>
          <w:noProof/>
          <w:sz w:val="18"/>
          <w:szCs w:val="18"/>
        </w:rPr>
        <w:t> </w:t>
      </w:r>
      <w:r w:rsidRPr="00E8642C">
        <w:rPr>
          <w:rStyle w:val="FootnoteReference"/>
          <w:rFonts w:cs="Arial"/>
          <w:noProof/>
          <w:sz w:val="18"/>
          <w:szCs w:val="18"/>
          <w:vertAlign w:val="baseline"/>
        </w:rPr>
        <w:t>282</w:t>
      </w:r>
      <w:r w:rsidRPr="00E8642C">
        <w:rPr>
          <w:rFonts w:cs="Arial"/>
          <w:noProof/>
          <w:sz w:val="18"/>
          <w:szCs w:val="18"/>
        </w:rPr>
        <w:t>.</w:t>
      </w:r>
    </w:p>
  </w:footnote>
  <w:footnote w:id="54">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sz w:val="18"/>
          <w:szCs w:val="18"/>
          <w:vertAlign w:val="baseline"/>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icles </w:t>
      </w:r>
      <w:r w:rsidRPr="00E8642C">
        <w:rPr>
          <w:rStyle w:val="FootnoteReference"/>
          <w:rFonts w:cs="Arial"/>
          <w:noProof/>
          <w:sz w:val="18"/>
          <w:szCs w:val="18"/>
          <w:vertAlign w:val="baseline"/>
        </w:rPr>
        <w:t>10</w:t>
      </w:r>
      <w:r w:rsidRPr="00E8642C">
        <w:rPr>
          <w:rStyle w:val="FootnoteReference"/>
          <w:rFonts w:cs="Arial"/>
          <w:i/>
          <w:noProof/>
          <w:sz w:val="18"/>
          <w:szCs w:val="18"/>
          <w:vertAlign w:val="baseline"/>
        </w:rPr>
        <w:t>bis</w:t>
      </w:r>
      <w:r w:rsidRPr="00E8642C">
        <w:rPr>
          <w:rStyle w:val="FootnoteReference"/>
          <w:rFonts w:cs="Arial"/>
          <w:noProof/>
          <w:sz w:val="18"/>
          <w:szCs w:val="18"/>
          <w:vertAlign w:val="baseline"/>
        </w:rPr>
        <w:t xml:space="preserve"> et 11.  </w:t>
      </w:r>
      <w:r w:rsidRPr="00E8642C">
        <w:rPr>
          <w:rFonts w:cs="Arial"/>
          <w:noProof/>
          <w:sz w:val="18"/>
          <w:szCs w:val="18"/>
        </w:rPr>
        <w:t>Voir aussi</w:t>
      </w:r>
      <w:r w:rsidRPr="00E8642C">
        <w:rPr>
          <w:rFonts w:cs="Arial"/>
          <w:i/>
          <w:noProof/>
          <w:sz w:val="18"/>
          <w:szCs w:val="18"/>
        </w:rPr>
        <w:t xml:space="preserve"> </w:t>
      </w:r>
      <w:r w:rsidRPr="00E8642C">
        <w:rPr>
          <w:rFonts w:cs="Arial"/>
          <w:noProof/>
          <w:sz w:val="18"/>
          <w:szCs w:val="18"/>
        </w:rPr>
        <w:t>Sam Ricketson et Jane C. Ginsburg, International Copyright and Neighboring Rights—The Berne Convention and Beyond, Oxford, vol. I, page 614.</w:t>
      </w:r>
    </w:p>
  </w:footnote>
  <w:footnote w:id="55">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l’adresse</w:t>
      </w:r>
      <w:r>
        <w:rPr>
          <w:rFonts w:cs="Arial"/>
          <w:noProof/>
          <w:sz w:val="18"/>
          <w:szCs w:val="18"/>
        </w:rPr>
        <w:t xml:space="preserve"> </w:t>
      </w:r>
      <w:hyperlink r:id="rId10" w:history="1">
        <w:r w:rsidRPr="00A331FB">
          <w:rPr>
            <w:rStyle w:val="Hyperlink"/>
            <w:rFonts w:cs="Arial"/>
            <w:noProof/>
            <w:sz w:val="18"/>
            <w:szCs w:val="18"/>
          </w:rPr>
          <w:t>http://www.wipo.int/pct/fr/texts/glossary.html#D</w:t>
        </w:r>
      </w:hyperlink>
      <w:r w:rsidRPr="00E8642C">
        <w:rPr>
          <w:rFonts w:cs="Arial"/>
          <w:noProof/>
          <w:sz w:val="18"/>
          <w:szCs w:val="18"/>
        </w:rPr>
        <w:t>.</w:t>
      </w:r>
    </w:p>
  </w:footnote>
  <w:footnote w:id="56">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IX 2.1 des Directives concernant la recherche internationale selon le PCT (dans leur version du 18 septembre 1998).</w:t>
      </w:r>
    </w:p>
  </w:footnote>
  <w:footnote w:id="57">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Documentation minimale du PCT, document PCT/MIA/9/4 (en anglais seulement).</w:t>
      </w:r>
    </w:p>
  </w:footnote>
  <w:footnote w:id="5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SCP/13/5.</w:t>
      </w:r>
    </w:p>
  </w:footnote>
  <w:footnote w:id="5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Fonts w:cs="Arial"/>
          <w:noProof/>
          <w:sz w:val="18"/>
          <w:szCs w:val="18"/>
          <w:lang w:eastAsia="en-US"/>
        </w:rPr>
        <w:t>Guide des traités sur le droit d’auteur et les droits connexes administrés par l’OMPI et Glossaire du droit d’auteur et des droits connexes.</w:t>
      </w:r>
    </w:p>
  </w:footnote>
  <w:footnote w:id="6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SCP/13/5.</w:t>
      </w:r>
    </w:p>
  </w:footnote>
  <w:footnote w:id="61">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Protection Rights over Traditional Knowledge : Implications of Customary Laws and Practices, Research Planning Workshop, Cuzco (Pérou), 20 – 25 mai 2005.</w:t>
      </w:r>
    </w:p>
  </w:footnote>
  <w:footnote w:id="62">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Fonts w:cs="Arial"/>
          <w:noProof/>
          <w:sz w:val="18"/>
          <w:szCs w:val="18"/>
        </w:rPr>
        <w:tab/>
        <w:t>Customary Law, Traditional Knowledge and Intellectual Property : An Outline of the Issues (2013)</w:t>
      </w:r>
      <w:r>
        <w:rPr>
          <w:rFonts w:cs="Arial"/>
          <w:noProof/>
          <w:sz w:val="18"/>
          <w:szCs w:val="18"/>
        </w:rPr>
        <w:t xml:space="preserve"> </w:t>
      </w:r>
      <w:hyperlink r:id="rId11" w:history="1">
        <w:r w:rsidRPr="00E8642C">
          <w:rPr>
            <w:rStyle w:val="Hyperlink"/>
            <w:rFonts w:cs="Arial"/>
            <w:noProof/>
            <w:sz w:val="18"/>
            <w:szCs w:val="18"/>
          </w:rPr>
          <w:t>http://www.wipo.int/export/sites/www/tk/en/resources/pdf/overview_customary_law.pdf</w:t>
        </w:r>
      </w:hyperlink>
      <w:r w:rsidRPr="00E8642C">
        <w:rPr>
          <w:rFonts w:cs="Arial"/>
          <w:noProof/>
          <w:sz w:val="18"/>
          <w:szCs w:val="18"/>
        </w:rPr>
        <w:t>.</w:t>
      </w:r>
    </w:p>
  </w:footnote>
  <w:footnote w:id="63">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ab/>
        <w:t>WIPO Intellectual Property Handbook, Publication OMPI n° 489(E), 2008, page 19.</w:t>
      </w:r>
    </w:p>
  </w:footnote>
  <w:footnote w:id="65">
    <w:p w:rsidR="000C2C9D" w:rsidRPr="00E8642C" w:rsidRDefault="000C2C9D" w:rsidP="00C21AB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l’article 102 du titre 35 du Code des États</w:t>
      </w:r>
      <w:r>
        <w:rPr>
          <w:rFonts w:cs="Arial"/>
          <w:sz w:val="18"/>
          <w:szCs w:val="18"/>
        </w:rPr>
        <w:noBreakHyphen/>
      </w:r>
      <w:r w:rsidRPr="00E8642C">
        <w:rPr>
          <w:rFonts w:cs="Arial"/>
          <w:sz w:val="18"/>
          <w:szCs w:val="18"/>
        </w:rPr>
        <w:t>Unis d’Amérique, disponible à l’adresse</w:t>
      </w:r>
      <w:r>
        <w:rPr>
          <w:rFonts w:cs="Arial"/>
          <w:sz w:val="18"/>
          <w:szCs w:val="18"/>
        </w:rPr>
        <w:t xml:space="preserve"> </w:t>
      </w:r>
      <w:hyperlink r:id="rId12" w:history="1">
        <w:r w:rsidRPr="00A331FB">
          <w:rPr>
            <w:rStyle w:val="Hyperlink"/>
            <w:rFonts w:cs="Arial"/>
            <w:sz w:val="18"/>
            <w:szCs w:val="18"/>
          </w:rPr>
          <w:t>https://www.uspto.gov/web/offices/pac/mpep/mpep</w:t>
        </w:r>
        <w:r>
          <w:rPr>
            <w:rStyle w:val="Hyperlink"/>
            <w:rFonts w:cs="Arial"/>
            <w:sz w:val="18"/>
            <w:szCs w:val="18"/>
          </w:rPr>
          <w:t>-</w:t>
        </w:r>
        <w:r w:rsidRPr="00A331FB">
          <w:rPr>
            <w:rStyle w:val="Hyperlink"/>
            <w:rFonts w:cs="Arial"/>
            <w:sz w:val="18"/>
            <w:szCs w:val="18"/>
          </w:rPr>
          <w:t>9015</w:t>
        </w:r>
        <w:r>
          <w:rPr>
            <w:rStyle w:val="Hyperlink"/>
            <w:rFonts w:cs="Arial"/>
            <w:sz w:val="18"/>
            <w:szCs w:val="18"/>
          </w:rPr>
          <w:t>-</w:t>
        </w:r>
        <w:r w:rsidRPr="00A331FB">
          <w:rPr>
            <w:rStyle w:val="Hyperlink"/>
            <w:rFonts w:cs="Arial"/>
            <w:sz w:val="18"/>
            <w:szCs w:val="18"/>
          </w:rPr>
          <w:t>appx</w:t>
        </w:r>
        <w:r>
          <w:rPr>
            <w:rStyle w:val="Hyperlink"/>
            <w:rFonts w:cs="Arial"/>
            <w:sz w:val="18"/>
            <w:szCs w:val="18"/>
          </w:rPr>
          <w:t>-</w:t>
        </w:r>
        <w:r w:rsidRPr="00A331FB">
          <w:rPr>
            <w:rStyle w:val="Hyperlink"/>
            <w:rFonts w:cs="Arial"/>
            <w:sz w:val="18"/>
            <w:szCs w:val="18"/>
          </w:rPr>
          <w:t>l.html#al_d1fbe1_19797_b0</w:t>
        </w:r>
      </w:hyperlink>
      <w:r w:rsidRPr="00E8642C">
        <w:rPr>
          <w:rFonts w:cs="Arial"/>
          <w:sz w:val="18"/>
          <w:szCs w:val="18"/>
        </w:rPr>
        <w:t>.  Il est également fait référence à l’article 151 du titre 35 du Code des États</w:t>
      </w:r>
      <w:r>
        <w:rPr>
          <w:rFonts w:cs="Arial"/>
          <w:sz w:val="18"/>
          <w:szCs w:val="18"/>
        </w:rPr>
        <w:noBreakHyphen/>
      </w:r>
      <w:r w:rsidRPr="00E8642C">
        <w:rPr>
          <w:rFonts w:cs="Arial"/>
          <w:sz w:val="18"/>
          <w:szCs w:val="18"/>
        </w:rPr>
        <w:t xml:space="preserve">Unis d’Amérique – Délivrance du brevet, disponible à l’adresse </w:t>
      </w:r>
      <w:hyperlink r:id="rId13" w:history="1">
        <w:r w:rsidRPr="00A331FB">
          <w:rPr>
            <w:rStyle w:val="Hyperlink"/>
            <w:rFonts w:cs="Arial"/>
            <w:sz w:val="18"/>
            <w:szCs w:val="18"/>
          </w:rPr>
          <w:t>https://www.gpo.gov/fdsys/pkg/USCODE</w:t>
        </w:r>
        <w:r>
          <w:rPr>
            <w:rStyle w:val="Hyperlink"/>
            <w:rFonts w:cs="Arial"/>
            <w:sz w:val="18"/>
            <w:szCs w:val="18"/>
          </w:rPr>
          <w:t>-</w:t>
        </w:r>
        <w:r w:rsidRPr="00A331FB">
          <w:rPr>
            <w:rStyle w:val="Hyperlink"/>
            <w:rFonts w:cs="Arial"/>
            <w:sz w:val="18"/>
            <w:szCs w:val="18"/>
          </w:rPr>
          <w:t>2011</w:t>
        </w:r>
        <w:r>
          <w:rPr>
            <w:rStyle w:val="Hyperlink"/>
            <w:rFonts w:cs="Arial"/>
            <w:sz w:val="18"/>
            <w:szCs w:val="18"/>
          </w:rPr>
          <w:t>-</w:t>
        </w:r>
        <w:r w:rsidRPr="00A331FB">
          <w:rPr>
            <w:rStyle w:val="Hyperlink"/>
            <w:rFonts w:cs="Arial"/>
            <w:sz w:val="18"/>
            <w:szCs w:val="18"/>
          </w:rPr>
          <w:t>title35/pdf/USCODE</w:t>
        </w:r>
        <w:r>
          <w:rPr>
            <w:rStyle w:val="Hyperlink"/>
            <w:rFonts w:cs="Arial"/>
            <w:sz w:val="18"/>
            <w:szCs w:val="18"/>
          </w:rPr>
          <w:t>-</w:t>
        </w:r>
        <w:r w:rsidRPr="00A331FB">
          <w:rPr>
            <w:rStyle w:val="Hyperlink"/>
            <w:rFonts w:cs="Arial"/>
            <w:sz w:val="18"/>
            <w:szCs w:val="18"/>
          </w:rPr>
          <w:t>2011</w:t>
        </w:r>
        <w:r>
          <w:rPr>
            <w:rStyle w:val="Hyperlink"/>
            <w:rFonts w:cs="Arial"/>
            <w:sz w:val="18"/>
            <w:szCs w:val="18"/>
          </w:rPr>
          <w:t>-</w:t>
        </w:r>
        <w:r w:rsidRPr="00A331FB">
          <w:rPr>
            <w:rStyle w:val="Hyperlink"/>
            <w:rFonts w:cs="Arial"/>
            <w:sz w:val="18"/>
            <w:szCs w:val="18"/>
          </w:rPr>
          <w:t>title35</w:t>
        </w:r>
        <w:r>
          <w:rPr>
            <w:rStyle w:val="Hyperlink"/>
            <w:rFonts w:cs="Arial"/>
            <w:sz w:val="18"/>
            <w:szCs w:val="18"/>
          </w:rPr>
          <w:t>-</w:t>
        </w:r>
        <w:r w:rsidRPr="00A331FB">
          <w:rPr>
            <w:rStyle w:val="Hyperlink"/>
            <w:rFonts w:cs="Arial"/>
            <w:sz w:val="18"/>
            <w:szCs w:val="18"/>
          </w:rPr>
          <w:t>partII</w:t>
        </w:r>
        <w:r>
          <w:rPr>
            <w:rStyle w:val="Hyperlink"/>
            <w:rFonts w:cs="Arial"/>
            <w:sz w:val="18"/>
            <w:szCs w:val="18"/>
          </w:rPr>
          <w:t>-</w:t>
        </w:r>
        <w:r w:rsidRPr="00A331FB">
          <w:rPr>
            <w:rStyle w:val="Hyperlink"/>
            <w:rFonts w:cs="Arial"/>
            <w:sz w:val="18"/>
            <w:szCs w:val="18"/>
          </w:rPr>
          <w:t>chap14</w:t>
        </w:r>
        <w:r>
          <w:rPr>
            <w:rStyle w:val="Hyperlink"/>
            <w:rFonts w:cs="Arial"/>
            <w:sz w:val="18"/>
            <w:szCs w:val="18"/>
          </w:rPr>
          <w:t>-</w:t>
        </w:r>
        <w:r w:rsidRPr="00A331FB">
          <w:rPr>
            <w:rStyle w:val="Hyperlink"/>
            <w:rFonts w:cs="Arial"/>
            <w:sz w:val="18"/>
            <w:szCs w:val="18"/>
          </w:rPr>
          <w:t>sec151.pdf</w:t>
        </w:r>
      </w:hyperlink>
      <w:r>
        <w:rPr>
          <w:rFonts w:cs="Arial"/>
          <w:sz w:val="18"/>
          <w:szCs w:val="18"/>
        </w:rPr>
        <w:t xml:space="preserve"> </w:t>
      </w:r>
      <w:r w:rsidRPr="00E8642C">
        <w:rPr>
          <w:rFonts w:cs="Arial"/>
          <w:sz w:val="18"/>
          <w:szCs w:val="18"/>
        </w:rPr>
        <w:t>et à l’article </w:t>
      </w:r>
      <w:proofErr w:type="spellStart"/>
      <w:r w:rsidRPr="00E8642C">
        <w:rPr>
          <w:rFonts w:cs="Arial"/>
          <w:sz w:val="18"/>
          <w:szCs w:val="18"/>
        </w:rPr>
        <w:t>122.b</w:t>
      </w:r>
      <w:proofErr w:type="spellEnd"/>
      <w:r w:rsidRPr="00E8642C">
        <w:rPr>
          <w:rFonts w:cs="Arial"/>
          <w:sz w:val="18"/>
          <w:szCs w:val="18"/>
        </w:rPr>
        <w:t>) du titre 35 du Code des États</w:t>
      </w:r>
      <w:r>
        <w:rPr>
          <w:rFonts w:cs="Arial"/>
          <w:sz w:val="18"/>
          <w:szCs w:val="18"/>
        </w:rPr>
        <w:noBreakHyphen/>
      </w:r>
      <w:r w:rsidRPr="00E8642C">
        <w:rPr>
          <w:rFonts w:cs="Arial"/>
          <w:sz w:val="18"/>
          <w:szCs w:val="18"/>
        </w:rPr>
        <w:t>Unis d’Amérique</w:t>
      </w:r>
      <w:r w:rsidRPr="00E8642C">
        <w:rPr>
          <w:rFonts w:cs="Arial"/>
          <w:sz w:val="18"/>
          <w:szCs w:val="18"/>
          <w:lang w:eastAsia="en-US"/>
        </w:rPr>
        <w:t xml:space="preserve"> – Caractère confidentiel des demandes;  publication des demandes de brevet, disponible à l’adresse</w:t>
      </w:r>
      <w:r>
        <w:rPr>
          <w:rFonts w:cs="Arial"/>
          <w:sz w:val="18"/>
          <w:szCs w:val="18"/>
          <w:lang w:eastAsia="en-US"/>
        </w:rPr>
        <w:t xml:space="preserve"> </w:t>
      </w:r>
      <w:hyperlink r:id="rId14" w:history="1">
        <w:r w:rsidRPr="00A331FB">
          <w:rPr>
            <w:rStyle w:val="Hyperlink"/>
            <w:rFonts w:cs="Arial"/>
            <w:sz w:val="18"/>
            <w:szCs w:val="18"/>
            <w:lang w:eastAsia="en-US"/>
          </w:rPr>
          <w:t>https://www.gpo.gov/fdsys/pkg/USCODE</w:t>
        </w:r>
        <w:r>
          <w:rPr>
            <w:rStyle w:val="Hyperlink"/>
            <w:rFonts w:cs="Arial"/>
            <w:sz w:val="18"/>
            <w:szCs w:val="18"/>
            <w:lang w:eastAsia="en-US"/>
          </w:rPr>
          <w:t>-</w:t>
        </w:r>
        <w:r w:rsidRPr="00A331FB">
          <w:rPr>
            <w:rStyle w:val="Hyperlink"/>
            <w:rFonts w:cs="Arial"/>
            <w:sz w:val="18"/>
            <w:szCs w:val="18"/>
            <w:lang w:eastAsia="en-US"/>
          </w:rPr>
          <w:t>2011</w:t>
        </w:r>
        <w:r>
          <w:rPr>
            <w:rStyle w:val="Hyperlink"/>
            <w:rFonts w:cs="Arial"/>
            <w:sz w:val="18"/>
            <w:szCs w:val="18"/>
            <w:lang w:eastAsia="en-US"/>
          </w:rPr>
          <w:t>-</w:t>
        </w:r>
        <w:r w:rsidRPr="00A331FB">
          <w:rPr>
            <w:rStyle w:val="Hyperlink"/>
            <w:rFonts w:cs="Arial"/>
            <w:sz w:val="18"/>
            <w:szCs w:val="18"/>
            <w:lang w:eastAsia="en-US"/>
          </w:rPr>
          <w:t>title35/pdf/USCODE</w:t>
        </w:r>
        <w:r>
          <w:rPr>
            <w:rStyle w:val="Hyperlink"/>
            <w:rFonts w:cs="Arial"/>
            <w:sz w:val="18"/>
            <w:szCs w:val="18"/>
            <w:lang w:eastAsia="en-US"/>
          </w:rPr>
          <w:t>-</w:t>
        </w:r>
        <w:r w:rsidRPr="00A331FB">
          <w:rPr>
            <w:rStyle w:val="Hyperlink"/>
            <w:rFonts w:cs="Arial"/>
            <w:sz w:val="18"/>
            <w:szCs w:val="18"/>
            <w:lang w:eastAsia="en-US"/>
          </w:rPr>
          <w:t>2011</w:t>
        </w:r>
        <w:r>
          <w:rPr>
            <w:rStyle w:val="Hyperlink"/>
            <w:rFonts w:cs="Arial"/>
            <w:sz w:val="18"/>
            <w:szCs w:val="18"/>
            <w:lang w:eastAsia="en-US"/>
          </w:rPr>
          <w:t>-</w:t>
        </w:r>
        <w:r w:rsidRPr="00A331FB">
          <w:rPr>
            <w:rStyle w:val="Hyperlink"/>
            <w:rFonts w:cs="Arial"/>
            <w:sz w:val="18"/>
            <w:szCs w:val="18"/>
            <w:lang w:eastAsia="en-US"/>
          </w:rPr>
          <w:t>title35</w:t>
        </w:r>
        <w:r>
          <w:rPr>
            <w:rStyle w:val="Hyperlink"/>
            <w:rFonts w:cs="Arial"/>
            <w:sz w:val="18"/>
            <w:szCs w:val="18"/>
            <w:lang w:eastAsia="en-US"/>
          </w:rPr>
          <w:t>-</w:t>
        </w:r>
        <w:r w:rsidRPr="00A331FB">
          <w:rPr>
            <w:rStyle w:val="Hyperlink"/>
            <w:rFonts w:cs="Arial"/>
            <w:sz w:val="18"/>
            <w:szCs w:val="18"/>
            <w:lang w:eastAsia="en-US"/>
          </w:rPr>
          <w:t>partII</w:t>
        </w:r>
        <w:r>
          <w:rPr>
            <w:rStyle w:val="Hyperlink"/>
            <w:rFonts w:cs="Arial"/>
            <w:sz w:val="18"/>
            <w:szCs w:val="18"/>
            <w:lang w:eastAsia="en-US"/>
          </w:rPr>
          <w:t>-</w:t>
        </w:r>
        <w:r w:rsidRPr="00A331FB">
          <w:rPr>
            <w:rStyle w:val="Hyperlink"/>
            <w:rFonts w:cs="Arial"/>
            <w:sz w:val="18"/>
            <w:szCs w:val="18"/>
            <w:lang w:eastAsia="en-US"/>
          </w:rPr>
          <w:t>chap11</w:t>
        </w:r>
        <w:r>
          <w:rPr>
            <w:rStyle w:val="Hyperlink"/>
            <w:rFonts w:cs="Arial"/>
            <w:sz w:val="18"/>
            <w:szCs w:val="18"/>
            <w:lang w:eastAsia="en-US"/>
          </w:rPr>
          <w:t>-</w:t>
        </w:r>
        <w:r w:rsidRPr="00A331FB">
          <w:rPr>
            <w:rStyle w:val="Hyperlink"/>
            <w:rFonts w:cs="Arial"/>
            <w:sz w:val="18"/>
            <w:szCs w:val="18"/>
            <w:lang w:eastAsia="en-US"/>
          </w:rPr>
          <w:t>sec122.pdf</w:t>
        </w:r>
      </w:hyperlink>
      <w:r w:rsidRPr="00E8642C">
        <w:rPr>
          <w:rFonts w:cs="Arial"/>
          <w:sz w:val="18"/>
          <w:szCs w:val="18"/>
          <w:lang w:eastAsia="en-US"/>
        </w:rPr>
        <w:t>.</w:t>
      </w:r>
    </w:p>
  </w:footnote>
  <w:footnote w:id="66">
    <w:p w:rsidR="000C2C9D" w:rsidRPr="00E8642C" w:rsidRDefault="000C2C9D" w:rsidP="00C21AB4">
      <w:pPr>
        <w:pStyle w:val="FootnoteText"/>
        <w:ind w:left="540" w:hanging="54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la loi japonaise sur les brevets à l’adresse</w:t>
      </w:r>
      <w:r>
        <w:rPr>
          <w:rFonts w:cs="Arial"/>
          <w:sz w:val="18"/>
          <w:szCs w:val="18"/>
        </w:rPr>
        <w:t xml:space="preserve"> </w:t>
      </w:r>
      <w:hyperlink r:id="rId15" w:history="1">
        <w:r w:rsidRPr="00A331FB">
          <w:rPr>
            <w:rStyle w:val="Hyperlink"/>
            <w:rFonts w:cs="Arial"/>
            <w:sz w:val="18"/>
            <w:szCs w:val="18"/>
          </w:rPr>
          <w:t>http://www.wipo.int/wipolex/fr/details.jsp?id=16061</w:t>
        </w:r>
      </w:hyperlink>
      <w:r w:rsidRPr="00E8642C">
        <w:rPr>
          <w:rFonts w:cs="Arial"/>
          <w:sz w:val="18"/>
          <w:szCs w:val="18"/>
        </w:rPr>
        <w:t>.</w:t>
      </w:r>
    </w:p>
  </w:footnote>
  <w:footnote w:id="67">
    <w:p w:rsidR="000C2C9D" w:rsidRPr="00E8642C" w:rsidRDefault="000C2C9D" w:rsidP="009031AF">
      <w:pPr>
        <w:pStyle w:val="FootnoteText"/>
        <w:ind w:left="0" w:firstLine="0"/>
        <w:rPr>
          <w:rStyle w:val="FootnoteReference"/>
          <w:rFonts w:cs="Arial"/>
          <w:b/>
          <w:bCs/>
          <w:noProof/>
          <w:sz w:val="18"/>
          <w:szCs w:val="18"/>
          <w:vertAlign w:val="baseline"/>
        </w:rPr>
      </w:pPr>
      <w:r w:rsidRPr="00E8642C">
        <w:rPr>
          <w:rStyle w:val="FootnoteReference"/>
          <w:rFonts w:cs="Arial"/>
          <w:bCs/>
          <w:noProof/>
          <w:sz w:val="18"/>
          <w:szCs w:val="18"/>
        </w:rPr>
        <w:footnoteRef/>
      </w:r>
      <w:r w:rsidRPr="00E8642C">
        <w:rPr>
          <w:rStyle w:val="FootnoteReference"/>
          <w:rFonts w:cs="Arial"/>
          <w:bCs/>
          <w:noProof/>
          <w:sz w:val="18"/>
          <w:szCs w:val="18"/>
        </w:rPr>
        <w:t xml:space="preserve"> </w:t>
      </w:r>
      <w:r w:rsidRPr="00E8642C">
        <w:rPr>
          <w:rFonts w:cs="Arial"/>
          <w:bCs/>
          <w:noProof/>
          <w:sz w:val="18"/>
          <w:szCs w:val="18"/>
        </w:rPr>
        <w:tab/>
        <w:t>Exceptions et limites aux droits d’auteur et droits voisins, étude présentée par M. Pierre Sirinelli (page 2 du document WCT</w:t>
      </w:r>
      <w:r>
        <w:rPr>
          <w:rFonts w:cs="Arial"/>
          <w:bCs/>
          <w:noProof/>
          <w:color w:val="000000"/>
          <w:sz w:val="18"/>
          <w:szCs w:val="18"/>
        </w:rPr>
        <w:noBreakHyphen/>
      </w:r>
      <w:r w:rsidRPr="00E8642C">
        <w:rPr>
          <w:rFonts w:cs="Arial"/>
          <w:bCs/>
          <w:noProof/>
          <w:sz w:val="18"/>
          <w:szCs w:val="18"/>
        </w:rPr>
        <w:t>WPPT/IMP/1) (1999).</w:t>
      </w:r>
    </w:p>
  </w:footnote>
  <w:footnote w:id="68">
    <w:p w:rsidR="000C2C9D" w:rsidRPr="00E8642C" w:rsidRDefault="000C2C9D" w:rsidP="009031AF">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Arti</w:t>
      </w:r>
      <w:r w:rsidRPr="00E8642C">
        <w:rPr>
          <w:rFonts w:cs="Arial"/>
          <w:noProof/>
          <w:sz w:val="18"/>
          <w:szCs w:val="18"/>
        </w:rPr>
        <w:t>cle </w:t>
      </w:r>
      <w:r w:rsidRPr="00E8642C">
        <w:rPr>
          <w:rStyle w:val="FootnoteReference"/>
          <w:rFonts w:cs="Arial"/>
          <w:noProof/>
          <w:sz w:val="18"/>
          <w:szCs w:val="18"/>
          <w:vertAlign w:val="baseline"/>
        </w:rPr>
        <w:t>9</w:t>
      </w:r>
      <w:r w:rsidRPr="00E8642C">
        <w:rPr>
          <w:rFonts w:cs="Arial"/>
          <w:noProof/>
          <w:sz w:val="18"/>
          <w:szCs w:val="18"/>
        </w:rPr>
        <w:t>.</w:t>
      </w:r>
      <w:r w:rsidRPr="00E8642C">
        <w:rPr>
          <w:rStyle w:val="FootnoteReference"/>
          <w:rFonts w:cs="Arial"/>
          <w:noProof/>
          <w:sz w:val="18"/>
          <w:szCs w:val="18"/>
          <w:vertAlign w:val="baseline"/>
        </w:rPr>
        <w:t>2).</w:t>
      </w:r>
    </w:p>
  </w:footnote>
  <w:footnote w:id="69">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la page 37 de l’annexe du document WO/GA/32/8.</w:t>
      </w:r>
    </w:p>
  </w:footnote>
  <w:footnote w:id="7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Pour de plus amples informations, voir les pages 7 à 11 de l’annexe I du document WIPO/GRTKF/IC/16/6</w:t>
      </w:r>
      <w:r w:rsidRPr="00E8642C">
        <w:rPr>
          <w:rFonts w:cs="Arial"/>
          <w:iCs/>
          <w:noProof/>
          <w:sz w:val="18"/>
          <w:szCs w:val="18"/>
        </w:rPr>
        <w:t>.</w:t>
      </w:r>
    </w:p>
  </w:footnote>
  <w:footnote w:id="71">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WIPO Technical Study on Patent Disclosure Requirements related to Genetic Resources and Traditional Knowledge, Publication OMPI n° 786(E), page 65.  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w:t>
      </w:r>
      <w:r>
        <w:rPr>
          <w:rFonts w:cs="Arial"/>
          <w:noProof/>
          <w:sz w:val="18"/>
          <w:szCs w:val="18"/>
        </w:rPr>
        <w:t xml:space="preserve"> </w:t>
      </w:r>
      <w:hyperlink r:id="rId16" w:history="1">
        <w:r w:rsidRPr="00A331FB">
          <w:rPr>
            <w:rStyle w:val="Hyperlink"/>
            <w:rFonts w:cs="Arial"/>
            <w:noProof/>
            <w:sz w:val="18"/>
            <w:szCs w:val="18"/>
          </w:rPr>
          <w:t>http://www.wipo.int/publications/fr/details.jsp?id=4194</w:t>
        </w:r>
      </w:hyperlink>
      <w:r w:rsidRPr="00E8642C">
        <w:rPr>
          <w:rFonts w:cs="Arial"/>
          <w:noProof/>
          <w:sz w:val="18"/>
          <w:szCs w:val="18"/>
        </w:rPr>
        <w:t>.</w:t>
      </w:r>
    </w:p>
  </w:footnote>
  <w:footnote w:id="72">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WIPO/GRTKF/IC/9/13 (Autre proposition).</w:t>
      </w:r>
    </w:p>
  </w:footnote>
  <w:footnote w:id="73">
    <w:p w:rsidR="000C2C9D" w:rsidRPr="00E8642C" w:rsidRDefault="000C2C9D" w:rsidP="00903B5D">
      <w:pPr>
        <w:pStyle w:val="FootnoteText"/>
        <w:ind w:left="0" w:firstLine="0"/>
        <w:rPr>
          <w:rFonts w:cs="Arial"/>
          <w:i/>
          <w:iCs/>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w:t>
      </w:r>
      <w:r w:rsidRPr="00E8642C">
        <w:rPr>
          <w:rFonts w:cs="Arial"/>
          <w:i/>
          <w:iCs/>
          <w:noProof/>
          <w:sz w:val="18"/>
          <w:szCs w:val="18"/>
        </w:rPr>
        <w:t xml:space="preserve"> </w:t>
      </w:r>
      <w:r w:rsidRPr="00E8642C">
        <w:rPr>
          <w:rFonts w:cs="Arial"/>
          <w:iCs/>
          <w:noProof/>
          <w:sz w:val="18"/>
          <w:szCs w:val="18"/>
        </w:rPr>
        <w:t>TN/</w:t>
      </w:r>
      <w:r w:rsidRPr="00E8642C">
        <w:rPr>
          <w:rFonts w:cs="Arial"/>
          <w:noProof/>
          <w:sz w:val="18"/>
          <w:szCs w:val="18"/>
        </w:rPr>
        <w:t>C/W/</w:t>
      </w:r>
      <w:r w:rsidRPr="00E8642C">
        <w:rPr>
          <w:rFonts w:cs="Arial"/>
          <w:iCs/>
          <w:noProof/>
          <w:sz w:val="18"/>
          <w:szCs w:val="18"/>
        </w:rPr>
        <w:t>52</w:t>
      </w:r>
      <w:r w:rsidRPr="00E8642C">
        <w:rPr>
          <w:rFonts w:cs="Arial"/>
          <w:i/>
          <w:iCs/>
          <w:noProof/>
          <w:sz w:val="18"/>
          <w:szCs w:val="18"/>
        </w:rPr>
        <w:t>.</w:t>
      </w:r>
    </w:p>
  </w:footnote>
  <w:footnote w:id="74">
    <w:p w:rsidR="000C2C9D" w:rsidRPr="00E8642C" w:rsidRDefault="000C2C9D" w:rsidP="00C9238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0C2C9D" w:rsidRPr="00E8642C" w:rsidRDefault="000C2C9D" w:rsidP="00C9238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4.3) de la Convention sur la protection et la promotion de la diversité des expressions culturelles de l’UNESCO (2005).</w:t>
      </w:r>
    </w:p>
  </w:footnote>
  <w:footnote w:id="77">
    <w:p w:rsidR="000C2C9D" w:rsidRPr="00E8642C" w:rsidRDefault="000C2C9D" w:rsidP="00C9238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Troisième partie des Dispositions types de législation nationale sur la protection des expressions du folklore contre leur exploitation illicite et autres actions dommageables (1982).</w:t>
      </w:r>
      <w:r w:rsidRPr="00E8642C">
        <w:rPr>
          <w:rFonts w:cs="Arial"/>
          <w:sz w:val="18"/>
          <w:szCs w:val="18"/>
        </w:rPr>
        <w:t xml:space="preserve"> </w:t>
      </w:r>
      <w:r w:rsidRPr="00E8642C">
        <w:rPr>
          <w:rFonts w:cs="Arial"/>
          <w:noProof/>
          <w:sz w:val="18"/>
          <w:szCs w:val="18"/>
        </w:rPr>
        <w:t xml:space="preserve"> </w:t>
      </w:r>
    </w:p>
  </w:footnote>
  <w:footnote w:id="79">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w:t>
      </w:r>
      <w:r w:rsidRPr="00E8642C">
        <w:rPr>
          <w:rStyle w:val="FootnoteReference"/>
          <w:rFonts w:cs="Arial"/>
          <w:noProof/>
          <w:sz w:val="18"/>
          <w:szCs w:val="18"/>
          <w:vertAlign w:val="baseline"/>
        </w:rPr>
        <w:t>2</w:t>
      </w:r>
      <w:r w:rsidRPr="00E8642C">
        <w:rPr>
          <w:rFonts w:cs="Arial"/>
          <w:noProof/>
          <w:sz w:val="18"/>
          <w:szCs w:val="18"/>
        </w:rPr>
        <w:t>.</w:t>
      </w:r>
      <w:r w:rsidRPr="00E8642C">
        <w:rPr>
          <w:rStyle w:val="FootnoteReference"/>
          <w:rFonts w:cs="Arial"/>
          <w:noProof/>
          <w:sz w:val="18"/>
          <w:szCs w:val="18"/>
          <w:vertAlign w:val="baseline"/>
        </w:rPr>
        <w:t>iv)</w:t>
      </w:r>
      <w:r w:rsidRPr="00E8642C">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 OMPI, page 290.</w:t>
      </w:r>
    </w:p>
  </w:footnote>
  <w:footnote w:id="82">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w:t>
      </w:r>
      <w:r w:rsidRPr="00E8642C">
        <w:rPr>
          <w:rStyle w:val="FootnoteReference"/>
          <w:rFonts w:cs="Arial"/>
          <w:noProof/>
          <w:sz w:val="18"/>
          <w:szCs w:val="18"/>
          <w:vertAlign w:val="baseline"/>
        </w:rPr>
        <w:t> 2</w:t>
      </w:r>
      <w:r w:rsidRPr="00E8642C">
        <w:rPr>
          <w:rFonts w:cs="Arial"/>
          <w:noProof/>
          <w:sz w:val="18"/>
          <w:szCs w:val="18"/>
        </w:rPr>
        <w:t>.</w:t>
      </w:r>
      <w:r w:rsidRPr="00E8642C">
        <w:rPr>
          <w:rStyle w:val="FootnoteReference"/>
          <w:rFonts w:cs="Arial"/>
          <w:noProof/>
          <w:sz w:val="18"/>
          <w:szCs w:val="18"/>
          <w:vertAlign w:val="baseline"/>
        </w:rPr>
        <w:t>2).</w:t>
      </w:r>
      <w:r w:rsidRPr="00E8642C">
        <w:rPr>
          <w:rStyle w:val="FootnoteReference"/>
          <w:rFonts w:cs="Arial"/>
          <w:sz w:val="18"/>
          <w:szCs w:val="18"/>
          <w:vertAlign w:val="baseline"/>
        </w:rPr>
        <w:t xml:space="preserve"> </w:t>
      </w:r>
      <w:r w:rsidRPr="00E8642C">
        <w:rPr>
          <w:rStyle w:val="FootnoteReference"/>
          <w:rFonts w:cs="Arial"/>
          <w:noProof/>
          <w:sz w:val="18"/>
          <w:szCs w:val="18"/>
          <w:vertAlign w:val="baseline"/>
        </w:rPr>
        <w:t xml:space="preserve"> </w:t>
      </w:r>
    </w:p>
  </w:footnote>
  <w:footnote w:id="83">
    <w:p w:rsidR="000C2C9D" w:rsidRPr="00E8642C" w:rsidRDefault="000C2C9D" w:rsidP="0040085A">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Fonts w:cs="Arial"/>
          <w:iCs/>
          <w:noProof/>
          <w:sz w:val="18"/>
          <w:szCs w:val="18"/>
        </w:rPr>
        <w:t>Voir</w:t>
      </w:r>
      <w:r w:rsidRPr="00E8642C">
        <w:rPr>
          <w:rFonts w:cs="Arial"/>
          <w:noProof/>
          <w:sz w:val="18"/>
          <w:szCs w:val="18"/>
        </w:rPr>
        <w:t xml:space="preserve"> Terry Janke, “Unauthorized Reproduction of Rock Art”</w:t>
      </w:r>
      <w:r w:rsidRPr="00E8642C">
        <w:rPr>
          <w:rFonts w:cs="Arial"/>
          <w:i/>
          <w:iCs/>
          <w:noProof/>
          <w:sz w:val="18"/>
          <w:szCs w:val="18"/>
        </w:rPr>
        <w:t>, in</w:t>
      </w:r>
      <w:r w:rsidRPr="00E8642C">
        <w:rPr>
          <w:rFonts w:cs="Arial"/>
          <w:noProof/>
          <w:sz w:val="18"/>
          <w:szCs w:val="18"/>
        </w:rPr>
        <w:t xml:space="preserve"> Minding Culture : Case Studies on Intellectual Property and Traditional Cultural Expressions, OMPI (2003).</w:t>
      </w:r>
    </w:p>
  </w:footnote>
  <w:footnote w:id="84">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50 du rapport sur la dix</w:t>
      </w:r>
      <w:r>
        <w:rPr>
          <w:rFonts w:cs="Arial"/>
          <w:noProof/>
          <w:sz w:val="18"/>
          <w:szCs w:val="18"/>
        </w:rPr>
        <w:noBreakHyphen/>
      </w:r>
      <w:r w:rsidRPr="00E8642C">
        <w:rPr>
          <w:rFonts w:cs="Arial"/>
          <w:noProof/>
          <w:sz w:val="18"/>
          <w:szCs w:val="18"/>
        </w:rPr>
        <w:t>septième session du comité (document WIPO/GRTKF/IC/17/12).</w:t>
      </w:r>
    </w:p>
  </w:footnote>
  <w:footnote w:id="85">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 OMPI, page 290.</w:t>
      </w:r>
    </w:p>
  </w:footnote>
  <w:footnote w:id="87">
    <w:p w:rsidR="000C2C9D" w:rsidRPr="00E8642C" w:rsidRDefault="000C2C9D" w:rsidP="0040085A">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8642C">
        <w:rPr>
          <w:rFonts w:cs="Arial"/>
          <w:iCs/>
          <w:noProof/>
          <w:sz w:val="18"/>
          <w:szCs w:val="18"/>
        </w:rPr>
        <w:t>Voir le</w:t>
      </w:r>
      <w:r w:rsidRPr="00E8642C">
        <w:rPr>
          <w:rFonts w:cs="Arial"/>
          <w:i/>
          <w:iCs/>
          <w:noProof/>
          <w:sz w:val="18"/>
          <w:szCs w:val="18"/>
        </w:rPr>
        <w:t xml:space="preserve"> </w:t>
      </w:r>
      <w:r w:rsidRPr="00E8642C">
        <w:rPr>
          <w:rFonts w:cs="Arial"/>
          <w:noProof/>
          <w:sz w:val="18"/>
          <w:szCs w:val="18"/>
        </w:rPr>
        <w:t>Guide des traités sur le droit d’auteur et les droits connexes administrés par l’OMPI et le Glossaire du droit d’auteur et des droits connexes, OMPI, page 291.</w:t>
      </w:r>
    </w:p>
  </w:footnote>
  <w:footnote w:id="8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WIPO/GRTKF/17/INF/12.</w:t>
      </w:r>
    </w:p>
  </w:footnote>
  <w:footnote w:id="89">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TextChar"/>
          <w:noProof/>
          <w:sz w:val="18"/>
          <w:szCs w:val="18"/>
          <w:lang w:val="fr-FR"/>
        </w:rPr>
        <w:t xml:space="preserve"> </w:t>
      </w:r>
      <w:r w:rsidRPr="00E8642C">
        <w:rPr>
          <w:rStyle w:val="FootnoteTextChar"/>
          <w:noProof/>
          <w:sz w:val="18"/>
          <w:szCs w:val="18"/>
          <w:lang w:val="fr-FR"/>
        </w:rPr>
        <w:tab/>
      </w:r>
      <w:r w:rsidRPr="00E8642C">
        <w:rPr>
          <w:rFonts w:cs="Arial"/>
          <w:noProof/>
          <w:sz w:val="18"/>
          <w:szCs w:val="18"/>
          <w:lang w:eastAsia="en-US"/>
        </w:rPr>
        <w:t>Thesaurus de l’UNESCO, disponible à l’adresse</w:t>
      </w:r>
      <w:r>
        <w:rPr>
          <w:rFonts w:cs="Arial"/>
          <w:noProof/>
          <w:sz w:val="18"/>
          <w:szCs w:val="18"/>
          <w:lang w:eastAsia="en-US"/>
        </w:rPr>
        <w:t xml:space="preserve"> </w:t>
      </w:r>
      <w:hyperlink r:id="rId17" w:history="1">
        <w:r w:rsidRPr="00E8642C">
          <w:rPr>
            <w:rStyle w:val="Hyperlink"/>
            <w:rFonts w:cs="Arial"/>
            <w:noProof/>
            <w:sz w:val="18"/>
            <w:szCs w:val="18"/>
            <w:lang w:eastAsia="en-US"/>
          </w:rPr>
          <w:t>http://www.vocabularyserver.com/unesco/en/index.php?tema=2526&amp;/cultural</w:t>
        </w:r>
        <w:r>
          <w:rPr>
            <w:rStyle w:val="Hyperlink"/>
            <w:rFonts w:cs="Arial"/>
            <w:noProof/>
            <w:sz w:val="18"/>
            <w:szCs w:val="18"/>
            <w:lang w:eastAsia="en-US"/>
          </w:rPr>
          <w:t>-</w:t>
        </w:r>
        <w:r w:rsidRPr="00E8642C">
          <w:rPr>
            <w:rStyle w:val="Hyperlink"/>
            <w:rFonts w:cs="Arial"/>
            <w:noProof/>
            <w:sz w:val="18"/>
            <w:szCs w:val="18"/>
            <w:lang w:eastAsia="en-US"/>
          </w:rPr>
          <w:t>identity</w:t>
        </w:r>
      </w:hyperlink>
      <w:r w:rsidRPr="00E8642C">
        <w:rPr>
          <w:rFonts w:cs="Arial"/>
          <w:noProof/>
          <w:sz w:val="18"/>
          <w:szCs w:val="18"/>
        </w:rPr>
        <w:t>.</w:t>
      </w:r>
    </w:p>
  </w:footnote>
  <w:footnote w:id="90">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2.2)b) de la Convention concernant les peuples indigènes et tribaux dans les pays indépendants du BIT (1989).</w:t>
      </w:r>
    </w:p>
  </w:footnote>
  <w:footnote w:id="91">
    <w:p w:rsidR="000C2C9D" w:rsidRPr="00E8642C" w:rsidRDefault="000C2C9D" w:rsidP="00C21AB4">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 xml:space="preserve">L’instrument d’aide à la fixation des savoirs traditionnels de l’OMPI est accessible à l’adresse </w:t>
      </w:r>
      <w:hyperlink r:id="rId18" w:history="1">
        <w:r w:rsidRPr="00E8642C">
          <w:rPr>
            <w:rStyle w:val="Hyperlink"/>
            <w:rFonts w:cs="Arial"/>
            <w:sz w:val="18"/>
            <w:szCs w:val="18"/>
          </w:rPr>
          <w:t>http://www.wipo.int/publications/fr/details.jsp?id=4235</w:t>
        </w:r>
      </w:hyperlink>
      <w:r w:rsidRPr="00E8642C">
        <w:rPr>
          <w:rFonts w:cs="Arial"/>
          <w:sz w:val="18"/>
          <w:szCs w:val="18"/>
        </w:rPr>
        <w:t>.</w:t>
      </w:r>
    </w:p>
  </w:footnote>
  <w:footnote w:id="92">
    <w:p w:rsidR="000C2C9D" w:rsidRPr="00E8642C" w:rsidRDefault="000C2C9D" w:rsidP="0040085A">
      <w:pPr>
        <w:pStyle w:val="FootnoteText"/>
        <w:ind w:left="0" w:firstLine="0"/>
        <w:rPr>
          <w:rFonts w:cs="Arial"/>
          <w:noProof/>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Fonts w:cs="Arial"/>
          <w:noProof/>
          <w:sz w:val="18"/>
          <w:szCs w:val="18"/>
        </w:rPr>
        <w:t>Sam Ricketson et Jane C. Ginsburg, International Copyright and Neighboring Rights—The Berne Convention and Beyond, Oxford, vol. I, page 602.</w:t>
      </w:r>
    </w:p>
  </w:footnote>
  <w:footnote w:id="9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3.1 de la Directive 98/44/CE du Parlement européen et du Conseil du 6 juillet 1998 relative à la protection juridique des inventions biotechnologiques.</w:t>
      </w:r>
    </w:p>
  </w:footnote>
  <w:footnote w:id="94">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paragraphe 16 du document OMPI/GRTKF/IC/1/3.</w:t>
      </w:r>
    </w:p>
  </w:footnote>
  <w:footnote w:id="95">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articles 1, 7.a) et 17 à 21 des Lignes directrices de Bonn.</w:t>
      </w:r>
    </w:p>
  </w:footnote>
  <w:footnote w:id="96">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paragraphes 24 à 50 et l’appendice II des Lignes directrices de Bonn.</w:t>
      </w:r>
    </w:p>
  </w:footnote>
  <w:footnote w:id="97">
    <w:p w:rsidR="000C2C9D" w:rsidRPr="00E8642C" w:rsidRDefault="000C2C9D" w:rsidP="00EF6794">
      <w:pPr>
        <w:pStyle w:val="FootnoteText"/>
        <w:ind w:left="0" w:firstLine="0"/>
        <w:rPr>
          <w:rStyle w:val="FootnoteReference"/>
          <w:rFonts w:cs="Arial"/>
          <w:b/>
          <w:bCs/>
          <w:noProof/>
          <w:sz w:val="18"/>
          <w:szCs w:val="18"/>
          <w:vertAlign w:val="baseline"/>
        </w:rPr>
      </w:pPr>
      <w:r w:rsidRPr="00E8642C">
        <w:rPr>
          <w:rStyle w:val="FootnoteReference"/>
          <w:rFonts w:cs="Arial"/>
          <w:bCs/>
          <w:noProof/>
          <w:sz w:val="18"/>
          <w:szCs w:val="18"/>
        </w:rPr>
        <w:footnoteRef/>
      </w:r>
      <w:r w:rsidRPr="00E8642C">
        <w:rPr>
          <w:rFonts w:cs="Arial"/>
          <w:bCs/>
          <w:noProof/>
          <w:sz w:val="18"/>
          <w:szCs w:val="18"/>
        </w:rPr>
        <w:t xml:space="preserve"> </w:t>
      </w:r>
      <w:r w:rsidRPr="00E8642C">
        <w:rPr>
          <w:rFonts w:cs="Arial"/>
          <w:bCs/>
          <w:noProof/>
          <w:sz w:val="18"/>
          <w:szCs w:val="18"/>
        </w:rPr>
        <w:tab/>
        <w:t>“Limitations et exceptions au droit d’auteur et aux droits connexes” (page 2 du document WCT</w:t>
      </w:r>
      <w:r>
        <w:rPr>
          <w:rFonts w:cs="Arial"/>
          <w:bCs/>
          <w:noProof/>
          <w:sz w:val="18"/>
          <w:szCs w:val="18"/>
        </w:rPr>
        <w:noBreakHyphen/>
      </w:r>
      <w:r w:rsidRPr="00E8642C">
        <w:rPr>
          <w:rFonts w:cs="Arial"/>
          <w:bCs/>
          <w:noProof/>
          <w:sz w:val="18"/>
          <w:szCs w:val="18"/>
        </w:rPr>
        <w:t>WPPT/IMP/1).</w:t>
      </w:r>
    </w:p>
  </w:footnote>
  <w:footnote w:id="98">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sz w:val="18"/>
          <w:szCs w:val="18"/>
          <w:vertAlign w:val="baseline"/>
        </w:rPr>
        <w:t xml:space="preserve"> </w:t>
      </w:r>
      <w:r w:rsidRPr="00E8642C">
        <w:rPr>
          <w:rFonts w:cs="Arial"/>
          <w:noProof/>
          <w:sz w:val="18"/>
          <w:szCs w:val="18"/>
        </w:rPr>
        <w:tab/>
        <w:t xml:space="preserve">Partie du site Web de l’OMPI consacrée au droit d’auteur et aux droits connexes : </w:t>
      </w:r>
      <w:hyperlink r:id="rId19" w:history="1">
        <w:r w:rsidRPr="00E8642C">
          <w:rPr>
            <w:rStyle w:val="Hyperlink"/>
            <w:rFonts w:cs="Arial"/>
            <w:iCs/>
            <w:noProof/>
            <w:sz w:val="18"/>
            <w:szCs w:val="18"/>
          </w:rPr>
          <w:t>http://www.wipo.int/copyright/fr/limitations/index.html</w:t>
        </w:r>
      </w:hyperlink>
      <w:r w:rsidRPr="00E8642C">
        <w:rPr>
          <w:rFonts w:cs="Arial"/>
          <w:iCs/>
          <w:noProof/>
          <w:sz w:val="18"/>
          <w:szCs w:val="18"/>
        </w:rPr>
        <w:t>.</w:t>
      </w:r>
    </w:p>
  </w:footnote>
  <w:footnote w:id="99">
    <w:p w:rsidR="000C2C9D" w:rsidRPr="00E8642C" w:rsidRDefault="000C2C9D" w:rsidP="00EF679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w:t>
      </w:r>
      <w:r w:rsidRPr="00E8642C">
        <w:rPr>
          <w:rStyle w:val="FootnoteReference"/>
          <w:rFonts w:cs="Arial"/>
          <w:noProof/>
          <w:sz w:val="18"/>
          <w:szCs w:val="18"/>
          <w:vertAlign w:val="baseline"/>
        </w:rPr>
        <w:t> 10.1)</w:t>
      </w:r>
      <w:r w:rsidRPr="00E8642C">
        <w:rPr>
          <w:rFonts w:cs="Arial"/>
          <w:noProof/>
          <w:sz w:val="18"/>
          <w:szCs w:val="18"/>
        </w:rPr>
        <w:t>.</w:t>
      </w:r>
    </w:p>
  </w:footnote>
  <w:footnote w:id="100">
    <w:p w:rsidR="000C2C9D" w:rsidRPr="00E8642C" w:rsidRDefault="000C2C9D" w:rsidP="00EF679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Style w:val="FootnoteReference"/>
          <w:rFonts w:cs="Arial"/>
          <w:noProof/>
          <w:sz w:val="18"/>
          <w:szCs w:val="18"/>
          <w:vertAlign w:val="baseline"/>
        </w:rPr>
        <w:t>Art</w:t>
      </w:r>
      <w:r w:rsidRPr="00E8642C">
        <w:rPr>
          <w:rFonts w:cs="Arial"/>
          <w:noProof/>
          <w:sz w:val="18"/>
          <w:szCs w:val="18"/>
        </w:rPr>
        <w:t>icle</w:t>
      </w:r>
      <w:r w:rsidRPr="00E8642C">
        <w:rPr>
          <w:rStyle w:val="FootnoteReference"/>
          <w:rFonts w:cs="Arial"/>
          <w:noProof/>
          <w:sz w:val="18"/>
          <w:szCs w:val="18"/>
          <w:vertAlign w:val="baseline"/>
        </w:rPr>
        <w:t> 9.2)</w:t>
      </w:r>
      <w:r w:rsidRPr="00E8642C">
        <w:rPr>
          <w:rFonts w:cs="Arial"/>
          <w:noProof/>
          <w:sz w:val="18"/>
          <w:szCs w:val="18"/>
        </w:rPr>
        <w:t>.</w:t>
      </w:r>
    </w:p>
  </w:footnote>
  <w:footnote w:id="101">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w:t>
      </w:r>
      <w:r w:rsidRPr="00E8642C">
        <w:rPr>
          <w:rStyle w:val="FootnoteReference"/>
          <w:rFonts w:cs="Arial"/>
          <w:noProof/>
          <w:sz w:val="18"/>
          <w:szCs w:val="18"/>
          <w:vertAlign w:val="baseline"/>
        </w:rPr>
        <w:t>, p</w:t>
      </w:r>
      <w:r w:rsidRPr="00E8642C">
        <w:rPr>
          <w:rFonts w:cs="Arial"/>
          <w:noProof/>
          <w:sz w:val="18"/>
          <w:szCs w:val="18"/>
        </w:rPr>
        <w:t>age</w:t>
      </w:r>
      <w:r w:rsidRPr="00E8642C">
        <w:rPr>
          <w:rStyle w:val="FootnoteReference"/>
          <w:rFonts w:cs="Arial"/>
          <w:noProof/>
          <w:sz w:val="18"/>
          <w:szCs w:val="18"/>
          <w:vertAlign w:val="baseline"/>
        </w:rPr>
        <w:t> 313</w:t>
      </w:r>
      <w:r w:rsidRPr="00E8642C">
        <w:rPr>
          <w:rFonts w:cs="Arial"/>
          <w:noProof/>
          <w:sz w:val="18"/>
          <w:szCs w:val="18"/>
        </w:rPr>
        <w:t>.</w:t>
      </w:r>
    </w:p>
  </w:footnote>
  <w:footnote w:id="102">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UNEP/CBD/WG</w:t>
      </w:r>
      <w:r>
        <w:rPr>
          <w:rFonts w:cs="Arial"/>
          <w:noProof/>
          <w:sz w:val="18"/>
          <w:szCs w:val="18"/>
        </w:rPr>
        <w:noBreakHyphen/>
      </w:r>
      <w:r w:rsidRPr="00E8642C">
        <w:rPr>
          <w:rFonts w:cs="Arial"/>
          <w:noProof/>
          <w:sz w:val="18"/>
          <w:szCs w:val="18"/>
        </w:rPr>
        <w:t>ABS/9/INF/1 (The Concept of “Genetic Resources” in the Convention on Biological Diversity and how it relates to a functional international regime on access and benefit</w:t>
      </w:r>
      <w:r>
        <w:rPr>
          <w:rFonts w:cs="Arial"/>
          <w:noProof/>
          <w:sz w:val="18"/>
          <w:szCs w:val="18"/>
        </w:rPr>
        <w:noBreakHyphen/>
      </w:r>
      <w:r w:rsidRPr="00E8642C">
        <w:rPr>
          <w:rFonts w:cs="Arial"/>
          <w:noProof/>
          <w:sz w:val="18"/>
          <w:szCs w:val="18"/>
        </w:rPr>
        <w:t>sharing”), page 8.</w:t>
      </w:r>
    </w:p>
  </w:footnote>
  <w:footnote w:id="103">
    <w:p w:rsidR="000C2C9D" w:rsidRPr="00E8642C" w:rsidRDefault="000C2C9D" w:rsidP="004B68AF">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Glossaire du PNUE</w:t>
      </w:r>
      <w:r w:rsidRPr="00E8642C">
        <w:rPr>
          <w:rFonts w:cs="Arial"/>
          <w:color w:val="000000"/>
          <w:sz w:val="18"/>
          <w:szCs w:val="18"/>
        </w:rPr>
        <w:t xml:space="preserve"> (</w:t>
      </w:r>
      <w:proofErr w:type="spellStart"/>
      <w:r w:rsidRPr="00E8642C">
        <w:rPr>
          <w:rFonts w:cs="Arial"/>
          <w:color w:val="000000"/>
          <w:sz w:val="18"/>
          <w:szCs w:val="18"/>
        </w:rPr>
        <w:t>Glossary</w:t>
      </w:r>
      <w:proofErr w:type="spellEnd"/>
      <w:r w:rsidRPr="00E8642C">
        <w:rPr>
          <w:rFonts w:cs="Arial"/>
          <w:color w:val="000000"/>
          <w:sz w:val="18"/>
          <w:szCs w:val="18"/>
        </w:rPr>
        <w:t xml:space="preserve"> of </w:t>
      </w:r>
      <w:proofErr w:type="spellStart"/>
      <w:r w:rsidRPr="00E8642C">
        <w:rPr>
          <w:rFonts w:cs="Arial"/>
          <w:color w:val="000000"/>
          <w:sz w:val="18"/>
          <w:szCs w:val="18"/>
        </w:rPr>
        <w:t>Terms</w:t>
      </w:r>
      <w:proofErr w:type="spellEnd"/>
      <w:r w:rsidRPr="00E8642C">
        <w:rPr>
          <w:rFonts w:cs="Arial"/>
          <w:color w:val="000000"/>
          <w:sz w:val="18"/>
          <w:szCs w:val="18"/>
        </w:rPr>
        <w:t xml:space="preserve"> for </w:t>
      </w:r>
      <w:proofErr w:type="spellStart"/>
      <w:r w:rsidRPr="00E8642C">
        <w:rPr>
          <w:rFonts w:cs="Arial"/>
          <w:color w:val="000000"/>
          <w:sz w:val="18"/>
          <w:szCs w:val="18"/>
        </w:rPr>
        <w:t>Negotiators</w:t>
      </w:r>
      <w:proofErr w:type="spellEnd"/>
      <w:r w:rsidRPr="00E8642C">
        <w:rPr>
          <w:rFonts w:cs="Arial"/>
          <w:color w:val="000000"/>
          <w:sz w:val="18"/>
          <w:szCs w:val="18"/>
        </w:rPr>
        <w:t xml:space="preserve"> of </w:t>
      </w:r>
      <w:proofErr w:type="spellStart"/>
      <w:r w:rsidRPr="00E8642C">
        <w:rPr>
          <w:rFonts w:cs="Arial"/>
          <w:color w:val="000000"/>
          <w:sz w:val="18"/>
          <w:szCs w:val="18"/>
        </w:rPr>
        <w:t>Multilateral</w:t>
      </w:r>
      <w:proofErr w:type="spellEnd"/>
      <w:r w:rsidRPr="00E8642C">
        <w:rPr>
          <w:rFonts w:cs="Arial"/>
          <w:color w:val="000000"/>
          <w:sz w:val="18"/>
          <w:szCs w:val="18"/>
        </w:rPr>
        <w:t xml:space="preserve"> </w:t>
      </w:r>
      <w:proofErr w:type="spellStart"/>
      <w:r w:rsidRPr="00E8642C">
        <w:rPr>
          <w:rFonts w:cs="Arial"/>
          <w:color w:val="000000"/>
          <w:sz w:val="18"/>
          <w:szCs w:val="18"/>
        </w:rPr>
        <w:t>Environmental</w:t>
      </w:r>
      <w:proofErr w:type="spellEnd"/>
      <w:r w:rsidRPr="00E8642C">
        <w:rPr>
          <w:rFonts w:cs="Arial"/>
          <w:color w:val="000000"/>
          <w:sz w:val="18"/>
          <w:szCs w:val="18"/>
        </w:rPr>
        <w:t xml:space="preserve"> </w:t>
      </w:r>
      <w:proofErr w:type="spellStart"/>
      <w:r w:rsidRPr="00E8642C">
        <w:rPr>
          <w:rFonts w:cs="Arial"/>
          <w:color w:val="000000"/>
          <w:sz w:val="18"/>
          <w:szCs w:val="18"/>
        </w:rPr>
        <w:t>Agreements</w:t>
      </w:r>
      <w:proofErr w:type="spellEnd"/>
      <w:r w:rsidRPr="00E8642C">
        <w:rPr>
          <w:rFonts w:cs="Arial"/>
          <w:color w:val="000000"/>
          <w:sz w:val="18"/>
          <w:szCs w:val="18"/>
        </w:rPr>
        <w:t>), page 22, disponible à l’adresse</w:t>
      </w:r>
      <w:r>
        <w:rPr>
          <w:rFonts w:cs="Arial"/>
          <w:color w:val="000000"/>
          <w:sz w:val="18"/>
          <w:szCs w:val="18"/>
        </w:rPr>
        <w:t xml:space="preserve"> </w:t>
      </w:r>
      <w:hyperlink r:id="rId20" w:history="1">
        <w:r w:rsidRPr="00E8642C">
          <w:rPr>
            <w:rStyle w:val="Hyperlink"/>
            <w:rFonts w:cs="Arial"/>
            <w:sz w:val="18"/>
            <w:szCs w:val="18"/>
          </w:rPr>
          <w:t>https://www.unenvironment.org/resources/report/glossary</w:t>
        </w:r>
        <w:r>
          <w:rPr>
            <w:rStyle w:val="Hyperlink"/>
            <w:rFonts w:cs="Arial"/>
            <w:sz w:val="18"/>
            <w:szCs w:val="18"/>
          </w:rPr>
          <w:t>-</w:t>
        </w:r>
        <w:r w:rsidRPr="00E8642C">
          <w:rPr>
            <w:rStyle w:val="Hyperlink"/>
            <w:rFonts w:cs="Arial"/>
            <w:sz w:val="18"/>
            <w:szCs w:val="18"/>
          </w:rPr>
          <w:t>terms</w:t>
        </w:r>
        <w:r>
          <w:rPr>
            <w:rStyle w:val="Hyperlink"/>
            <w:rFonts w:cs="Arial"/>
            <w:sz w:val="18"/>
            <w:szCs w:val="18"/>
          </w:rPr>
          <w:t>-</w:t>
        </w:r>
        <w:r w:rsidRPr="00E8642C">
          <w:rPr>
            <w:rStyle w:val="Hyperlink"/>
            <w:rFonts w:cs="Arial"/>
            <w:sz w:val="18"/>
            <w:szCs w:val="18"/>
          </w:rPr>
          <w:t>negotiators</w:t>
        </w:r>
        <w:r>
          <w:rPr>
            <w:rStyle w:val="Hyperlink"/>
            <w:rFonts w:cs="Arial"/>
            <w:sz w:val="18"/>
            <w:szCs w:val="18"/>
          </w:rPr>
          <w:t>-</w:t>
        </w:r>
        <w:r w:rsidRPr="00E8642C">
          <w:rPr>
            <w:rStyle w:val="Hyperlink"/>
            <w:rFonts w:cs="Arial"/>
            <w:sz w:val="18"/>
            <w:szCs w:val="18"/>
          </w:rPr>
          <w:t>multilateral</w:t>
        </w:r>
        <w:r>
          <w:rPr>
            <w:rStyle w:val="Hyperlink"/>
            <w:rFonts w:cs="Arial"/>
            <w:sz w:val="18"/>
            <w:szCs w:val="18"/>
          </w:rPr>
          <w:t>-</w:t>
        </w:r>
        <w:r w:rsidRPr="00E8642C">
          <w:rPr>
            <w:rStyle w:val="Hyperlink"/>
            <w:rFonts w:cs="Arial"/>
            <w:sz w:val="18"/>
            <w:szCs w:val="18"/>
          </w:rPr>
          <w:t>environmental</w:t>
        </w:r>
        <w:r>
          <w:rPr>
            <w:rStyle w:val="Hyperlink"/>
            <w:rFonts w:cs="Arial"/>
            <w:sz w:val="18"/>
            <w:szCs w:val="18"/>
          </w:rPr>
          <w:t>-</w:t>
        </w:r>
        <w:r w:rsidRPr="00E8642C">
          <w:rPr>
            <w:rStyle w:val="Hyperlink"/>
            <w:rFonts w:cs="Arial"/>
            <w:sz w:val="18"/>
            <w:szCs w:val="18"/>
          </w:rPr>
          <w:t>agreements</w:t>
        </w:r>
      </w:hyperlink>
      <w:r w:rsidRPr="00E8642C">
        <w:rPr>
          <w:rFonts w:cs="Arial"/>
          <w:color w:val="000000"/>
          <w:sz w:val="18"/>
          <w:szCs w:val="18"/>
        </w:rPr>
        <w:t>.</w:t>
      </w:r>
    </w:p>
  </w:footnote>
  <w:footnote w:id="10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Principes méthodologiques généraux de l’OMS pour la recherche et l’évaluation relatives à la médecine traditionnelle (WHO/EDM/TRM/2000.1), page 1.</w:t>
      </w:r>
    </w:p>
  </w:footnote>
  <w:footnote w:id="10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Stratégie de l’OMS pour la médecine traditionnelle pour 2002</w:t>
      </w:r>
      <w:r>
        <w:rPr>
          <w:rFonts w:cs="Arial"/>
          <w:noProof/>
          <w:sz w:val="18"/>
          <w:szCs w:val="18"/>
        </w:rPr>
        <w:noBreakHyphen/>
      </w:r>
      <w:r w:rsidRPr="00E8642C">
        <w:rPr>
          <w:rFonts w:cs="Arial"/>
          <w:noProof/>
          <w:sz w:val="18"/>
          <w:szCs w:val="18"/>
        </w:rPr>
        <w:t>2005, page 7.</w:t>
      </w:r>
    </w:p>
  </w:footnote>
  <w:footnote w:id="106">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0C2C9D" w:rsidRPr="00E8642C" w:rsidRDefault="000C2C9D" w:rsidP="00EF679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Daniel Gervais, The TRIPS Agreement.  Drafting and Analysi</w:t>
      </w:r>
      <w:r w:rsidRPr="00E8642C">
        <w:rPr>
          <w:rFonts w:cs="Arial"/>
          <w:i/>
          <w:iCs/>
          <w:noProof/>
          <w:sz w:val="18"/>
          <w:szCs w:val="18"/>
        </w:rPr>
        <w:t>s</w:t>
      </w:r>
      <w:r w:rsidRPr="00E8642C">
        <w:rPr>
          <w:rFonts w:cs="Arial"/>
          <w:noProof/>
          <w:sz w:val="18"/>
          <w:szCs w:val="18"/>
        </w:rPr>
        <w:t>, 3</w:t>
      </w:r>
      <w:r w:rsidRPr="00E8642C">
        <w:rPr>
          <w:rFonts w:cs="Arial"/>
          <w:noProof/>
          <w:sz w:val="18"/>
          <w:szCs w:val="18"/>
          <w:vertAlign w:val="superscript"/>
        </w:rPr>
        <w:t>e</w:t>
      </w:r>
      <w:r w:rsidRPr="00E8642C">
        <w:rPr>
          <w:rFonts w:cs="Arial"/>
          <w:noProof/>
          <w:sz w:val="18"/>
          <w:szCs w:val="18"/>
        </w:rPr>
        <w:t xml:space="preserve"> édition, Sweet &amp; Maxwell, page 161.</w:t>
      </w:r>
    </w:p>
  </w:footnote>
  <w:footnote w:id="111">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Dieter Kugelmann, The Protection of Minorities and Indigenous Peoples Respective Cultural Diversity, A. Von Bogdandy et R. Wolffrum, (éd.), Max Planck Year Book of United Nations Law, vol. 11, 2007, page 235.</w:t>
      </w:r>
    </w:p>
  </w:footnote>
  <w:footnote w:id="11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sur le patrimoine culturel immatériel de la Commission des Pays</w:t>
      </w:r>
      <w:r>
        <w:rPr>
          <w:rFonts w:cs="Arial"/>
          <w:noProof/>
          <w:sz w:val="18"/>
          <w:szCs w:val="18"/>
        </w:rPr>
        <w:noBreakHyphen/>
      </w:r>
      <w:r w:rsidRPr="00E8642C">
        <w:rPr>
          <w:rFonts w:cs="Arial"/>
          <w:noProof/>
          <w:sz w:val="18"/>
          <w:szCs w:val="18"/>
        </w:rPr>
        <w:t>Bas pour l’UNESCO, 2002</w:t>
      </w:r>
      <w:r w:rsidRPr="00E8642C">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WIPO Intellectual Property Handbook, Publication OMPI n° 489(E), 2008, page 19.</w:t>
      </w:r>
    </w:p>
  </w:footnote>
  <w:footnote w:id="114">
    <w:p w:rsidR="000C2C9D" w:rsidRPr="00E8642C" w:rsidRDefault="000C2C9D" w:rsidP="00E8642C">
      <w:pPr>
        <w:pStyle w:val="FootnoteText"/>
        <w:keepLines/>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Voir l’article 102 du titre 35 du Code des États</w:t>
      </w:r>
      <w:r>
        <w:rPr>
          <w:rFonts w:cs="Arial"/>
          <w:sz w:val="18"/>
          <w:szCs w:val="18"/>
        </w:rPr>
        <w:noBreakHyphen/>
      </w:r>
      <w:r w:rsidRPr="00E8642C">
        <w:rPr>
          <w:rFonts w:cs="Arial"/>
          <w:sz w:val="18"/>
          <w:szCs w:val="18"/>
        </w:rPr>
        <w:t>Unis d’Amérique, disponible à l’adresse</w:t>
      </w:r>
      <w:r>
        <w:rPr>
          <w:rFonts w:cs="Arial"/>
          <w:sz w:val="18"/>
          <w:szCs w:val="18"/>
        </w:rPr>
        <w:t xml:space="preserve"> </w:t>
      </w:r>
      <w:hyperlink r:id="rId21" w:history="1">
        <w:r w:rsidRPr="00A331FB">
          <w:rPr>
            <w:rStyle w:val="Hyperlink"/>
            <w:rFonts w:cs="Arial"/>
            <w:sz w:val="18"/>
            <w:szCs w:val="18"/>
          </w:rPr>
          <w:t>https://www.uspto.gov/web/offices/pac/mpep/mpep</w:t>
        </w:r>
        <w:r>
          <w:rPr>
            <w:rStyle w:val="Hyperlink"/>
            <w:rFonts w:cs="Arial"/>
            <w:sz w:val="18"/>
            <w:szCs w:val="18"/>
          </w:rPr>
          <w:t>-</w:t>
        </w:r>
        <w:r w:rsidRPr="00A331FB">
          <w:rPr>
            <w:rStyle w:val="Hyperlink"/>
            <w:rFonts w:cs="Arial"/>
            <w:sz w:val="18"/>
            <w:szCs w:val="18"/>
          </w:rPr>
          <w:t>9015</w:t>
        </w:r>
        <w:r>
          <w:rPr>
            <w:rStyle w:val="Hyperlink"/>
            <w:rFonts w:cs="Arial"/>
            <w:sz w:val="18"/>
            <w:szCs w:val="18"/>
          </w:rPr>
          <w:t>-</w:t>
        </w:r>
        <w:r w:rsidRPr="00A331FB">
          <w:rPr>
            <w:rStyle w:val="Hyperlink"/>
            <w:rFonts w:cs="Arial"/>
            <w:sz w:val="18"/>
            <w:szCs w:val="18"/>
          </w:rPr>
          <w:t>appx</w:t>
        </w:r>
        <w:r>
          <w:rPr>
            <w:rStyle w:val="Hyperlink"/>
            <w:rFonts w:cs="Arial"/>
            <w:sz w:val="18"/>
            <w:szCs w:val="18"/>
          </w:rPr>
          <w:t>-</w:t>
        </w:r>
        <w:r w:rsidRPr="00A331FB">
          <w:rPr>
            <w:rStyle w:val="Hyperlink"/>
            <w:rFonts w:cs="Arial"/>
            <w:sz w:val="18"/>
            <w:szCs w:val="18"/>
          </w:rPr>
          <w:t>l.html#al_d1fbe1_19797_b0</w:t>
        </w:r>
      </w:hyperlink>
      <w:r w:rsidRPr="00E8642C">
        <w:rPr>
          <w:rFonts w:cs="Arial"/>
          <w:sz w:val="18"/>
          <w:szCs w:val="18"/>
        </w:rPr>
        <w:t>.  Il est également fait référence à l’article 151 du titre 35 du Code des États</w:t>
      </w:r>
      <w:r>
        <w:rPr>
          <w:rFonts w:cs="Arial"/>
          <w:sz w:val="18"/>
          <w:szCs w:val="18"/>
        </w:rPr>
        <w:noBreakHyphen/>
      </w:r>
      <w:r w:rsidRPr="00E8642C">
        <w:rPr>
          <w:rFonts w:cs="Arial"/>
          <w:sz w:val="18"/>
          <w:szCs w:val="18"/>
        </w:rPr>
        <w:t>Unis d’Amérique – Délivrance du brevet, disponible à l’adresse</w:t>
      </w:r>
      <w:r>
        <w:rPr>
          <w:rFonts w:cs="Arial"/>
          <w:sz w:val="18"/>
          <w:szCs w:val="18"/>
        </w:rPr>
        <w:t xml:space="preserve"> </w:t>
      </w:r>
      <w:hyperlink r:id="rId22" w:history="1">
        <w:r w:rsidRPr="00A331FB">
          <w:rPr>
            <w:rStyle w:val="Hyperlink"/>
            <w:rFonts w:cs="Arial"/>
            <w:sz w:val="18"/>
            <w:szCs w:val="18"/>
          </w:rPr>
          <w:t>https://www.gpo.gov/fdsys/pkg/USCODE</w:t>
        </w:r>
        <w:r>
          <w:rPr>
            <w:rStyle w:val="Hyperlink"/>
            <w:rFonts w:cs="Arial"/>
            <w:sz w:val="18"/>
            <w:szCs w:val="18"/>
          </w:rPr>
          <w:t>-</w:t>
        </w:r>
        <w:r w:rsidRPr="00A331FB">
          <w:rPr>
            <w:rStyle w:val="Hyperlink"/>
            <w:rFonts w:cs="Arial"/>
            <w:sz w:val="18"/>
            <w:szCs w:val="18"/>
          </w:rPr>
          <w:t>2011</w:t>
        </w:r>
        <w:r>
          <w:rPr>
            <w:rStyle w:val="Hyperlink"/>
            <w:rFonts w:cs="Arial"/>
            <w:sz w:val="18"/>
            <w:szCs w:val="18"/>
          </w:rPr>
          <w:t>-</w:t>
        </w:r>
        <w:r w:rsidRPr="00A331FB">
          <w:rPr>
            <w:rStyle w:val="Hyperlink"/>
            <w:rFonts w:cs="Arial"/>
            <w:sz w:val="18"/>
            <w:szCs w:val="18"/>
          </w:rPr>
          <w:t>title35/pdf/USCODE</w:t>
        </w:r>
        <w:r>
          <w:rPr>
            <w:rStyle w:val="Hyperlink"/>
            <w:rFonts w:cs="Arial"/>
            <w:sz w:val="18"/>
            <w:szCs w:val="18"/>
          </w:rPr>
          <w:t>-</w:t>
        </w:r>
        <w:r w:rsidRPr="00A331FB">
          <w:rPr>
            <w:rStyle w:val="Hyperlink"/>
            <w:rFonts w:cs="Arial"/>
            <w:sz w:val="18"/>
            <w:szCs w:val="18"/>
          </w:rPr>
          <w:t>2011</w:t>
        </w:r>
        <w:r>
          <w:rPr>
            <w:rStyle w:val="Hyperlink"/>
            <w:rFonts w:cs="Arial"/>
            <w:sz w:val="18"/>
            <w:szCs w:val="18"/>
          </w:rPr>
          <w:t>-</w:t>
        </w:r>
        <w:r w:rsidRPr="00A331FB">
          <w:rPr>
            <w:rStyle w:val="Hyperlink"/>
            <w:rFonts w:cs="Arial"/>
            <w:sz w:val="18"/>
            <w:szCs w:val="18"/>
          </w:rPr>
          <w:t>title35</w:t>
        </w:r>
        <w:r>
          <w:rPr>
            <w:rStyle w:val="Hyperlink"/>
            <w:rFonts w:cs="Arial"/>
            <w:sz w:val="18"/>
            <w:szCs w:val="18"/>
          </w:rPr>
          <w:t>-</w:t>
        </w:r>
        <w:r w:rsidRPr="00A331FB">
          <w:rPr>
            <w:rStyle w:val="Hyperlink"/>
            <w:rFonts w:cs="Arial"/>
            <w:sz w:val="18"/>
            <w:szCs w:val="18"/>
          </w:rPr>
          <w:t>partII</w:t>
        </w:r>
        <w:r>
          <w:rPr>
            <w:rStyle w:val="Hyperlink"/>
            <w:rFonts w:cs="Arial"/>
            <w:sz w:val="18"/>
            <w:szCs w:val="18"/>
          </w:rPr>
          <w:t>-</w:t>
        </w:r>
        <w:r w:rsidRPr="00A331FB">
          <w:rPr>
            <w:rStyle w:val="Hyperlink"/>
            <w:rFonts w:cs="Arial"/>
            <w:sz w:val="18"/>
            <w:szCs w:val="18"/>
          </w:rPr>
          <w:t>chap14</w:t>
        </w:r>
        <w:r>
          <w:rPr>
            <w:rStyle w:val="Hyperlink"/>
            <w:rFonts w:cs="Arial"/>
            <w:sz w:val="18"/>
            <w:szCs w:val="18"/>
          </w:rPr>
          <w:t>-</w:t>
        </w:r>
        <w:r w:rsidRPr="00A331FB">
          <w:rPr>
            <w:rStyle w:val="Hyperlink"/>
            <w:rFonts w:cs="Arial"/>
            <w:sz w:val="18"/>
            <w:szCs w:val="18"/>
          </w:rPr>
          <w:t>sec151.pdf</w:t>
        </w:r>
      </w:hyperlink>
      <w:r>
        <w:rPr>
          <w:rFonts w:cs="Arial"/>
          <w:sz w:val="18"/>
          <w:szCs w:val="18"/>
        </w:rPr>
        <w:t xml:space="preserve"> </w:t>
      </w:r>
      <w:r w:rsidRPr="00E8642C">
        <w:rPr>
          <w:rFonts w:cs="Arial"/>
          <w:sz w:val="18"/>
          <w:szCs w:val="18"/>
        </w:rPr>
        <w:t>et à l’article </w:t>
      </w:r>
      <w:proofErr w:type="spellStart"/>
      <w:r w:rsidRPr="00E8642C">
        <w:rPr>
          <w:rFonts w:cs="Arial"/>
          <w:sz w:val="18"/>
          <w:szCs w:val="18"/>
        </w:rPr>
        <w:t>122.b</w:t>
      </w:r>
      <w:proofErr w:type="spellEnd"/>
      <w:r w:rsidRPr="00E8642C">
        <w:rPr>
          <w:rFonts w:cs="Arial"/>
          <w:sz w:val="18"/>
          <w:szCs w:val="18"/>
        </w:rPr>
        <w:t>) du titre 35 du Code des États</w:t>
      </w:r>
      <w:r>
        <w:rPr>
          <w:rFonts w:cs="Arial"/>
          <w:sz w:val="18"/>
          <w:szCs w:val="18"/>
        </w:rPr>
        <w:noBreakHyphen/>
      </w:r>
      <w:r w:rsidRPr="00E8642C">
        <w:rPr>
          <w:rFonts w:cs="Arial"/>
          <w:sz w:val="18"/>
          <w:szCs w:val="18"/>
        </w:rPr>
        <w:t>Unis d’Amérique</w:t>
      </w:r>
      <w:r w:rsidRPr="00E8642C">
        <w:rPr>
          <w:rFonts w:cs="Arial"/>
          <w:sz w:val="18"/>
          <w:szCs w:val="18"/>
          <w:lang w:eastAsia="en-US"/>
        </w:rPr>
        <w:t xml:space="preserve"> – Caractère confidentiel des demandes;  publication des demandes de brevet, disponible à l’adresse</w:t>
      </w:r>
      <w:r>
        <w:rPr>
          <w:rFonts w:cs="Arial"/>
          <w:sz w:val="18"/>
          <w:szCs w:val="18"/>
          <w:lang w:eastAsia="en-US"/>
        </w:rPr>
        <w:t xml:space="preserve"> </w:t>
      </w:r>
      <w:hyperlink r:id="rId23" w:history="1">
        <w:r w:rsidRPr="00A331FB">
          <w:rPr>
            <w:rStyle w:val="Hyperlink"/>
            <w:rFonts w:cs="Arial"/>
            <w:sz w:val="18"/>
            <w:szCs w:val="18"/>
            <w:lang w:eastAsia="en-US"/>
          </w:rPr>
          <w:t>https://www.gpo.gov/fdsys/pkg/USCODE</w:t>
        </w:r>
        <w:r>
          <w:rPr>
            <w:rStyle w:val="Hyperlink"/>
            <w:rFonts w:cs="Arial"/>
            <w:sz w:val="18"/>
            <w:szCs w:val="18"/>
            <w:lang w:eastAsia="en-US"/>
          </w:rPr>
          <w:t>-</w:t>
        </w:r>
        <w:r w:rsidRPr="00A331FB">
          <w:rPr>
            <w:rStyle w:val="Hyperlink"/>
            <w:rFonts w:cs="Arial"/>
            <w:sz w:val="18"/>
            <w:szCs w:val="18"/>
            <w:lang w:eastAsia="en-US"/>
          </w:rPr>
          <w:t>2011</w:t>
        </w:r>
        <w:r>
          <w:rPr>
            <w:rStyle w:val="Hyperlink"/>
            <w:rFonts w:cs="Arial"/>
            <w:sz w:val="18"/>
            <w:szCs w:val="18"/>
            <w:lang w:eastAsia="en-US"/>
          </w:rPr>
          <w:t>-</w:t>
        </w:r>
        <w:r w:rsidRPr="00A331FB">
          <w:rPr>
            <w:rStyle w:val="Hyperlink"/>
            <w:rFonts w:cs="Arial"/>
            <w:sz w:val="18"/>
            <w:szCs w:val="18"/>
            <w:lang w:eastAsia="en-US"/>
          </w:rPr>
          <w:t>title35/pdf/USCODE</w:t>
        </w:r>
        <w:r>
          <w:rPr>
            <w:rStyle w:val="Hyperlink"/>
            <w:rFonts w:cs="Arial"/>
            <w:sz w:val="18"/>
            <w:szCs w:val="18"/>
            <w:lang w:eastAsia="en-US"/>
          </w:rPr>
          <w:t>-</w:t>
        </w:r>
        <w:r w:rsidRPr="00A331FB">
          <w:rPr>
            <w:rStyle w:val="Hyperlink"/>
            <w:rFonts w:cs="Arial"/>
            <w:sz w:val="18"/>
            <w:szCs w:val="18"/>
            <w:lang w:eastAsia="en-US"/>
          </w:rPr>
          <w:t>2011</w:t>
        </w:r>
        <w:r>
          <w:rPr>
            <w:rStyle w:val="Hyperlink"/>
            <w:rFonts w:cs="Arial"/>
            <w:sz w:val="18"/>
            <w:szCs w:val="18"/>
            <w:lang w:eastAsia="en-US"/>
          </w:rPr>
          <w:t>-</w:t>
        </w:r>
        <w:r w:rsidRPr="00A331FB">
          <w:rPr>
            <w:rStyle w:val="Hyperlink"/>
            <w:rFonts w:cs="Arial"/>
            <w:sz w:val="18"/>
            <w:szCs w:val="18"/>
            <w:lang w:eastAsia="en-US"/>
          </w:rPr>
          <w:t>title35</w:t>
        </w:r>
        <w:r>
          <w:rPr>
            <w:rStyle w:val="Hyperlink"/>
            <w:rFonts w:cs="Arial"/>
            <w:sz w:val="18"/>
            <w:szCs w:val="18"/>
            <w:lang w:eastAsia="en-US"/>
          </w:rPr>
          <w:t>-</w:t>
        </w:r>
        <w:r w:rsidRPr="00A331FB">
          <w:rPr>
            <w:rStyle w:val="Hyperlink"/>
            <w:rFonts w:cs="Arial"/>
            <w:sz w:val="18"/>
            <w:szCs w:val="18"/>
            <w:lang w:eastAsia="en-US"/>
          </w:rPr>
          <w:t>partII</w:t>
        </w:r>
        <w:r>
          <w:rPr>
            <w:rStyle w:val="Hyperlink"/>
            <w:rFonts w:cs="Arial"/>
            <w:sz w:val="18"/>
            <w:szCs w:val="18"/>
            <w:lang w:eastAsia="en-US"/>
          </w:rPr>
          <w:t>-</w:t>
        </w:r>
        <w:r w:rsidRPr="00A331FB">
          <w:rPr>
            <w:rStyle w:val="Hyperlink"/>
            <w:rFonts w:cs="Arial"/>
            <w:sz w:val="18"/>
            <w:szCs w:val="18"/>
            <w:lang w:eastAsia="en-US"/>
          </w:rPr>
          <w:t>chap11</w:t>
        </w:r>
        <w:r>
          <w:rPr>
            <w:rStyle w:val="Hyperlink"/>
            <w:rFonts w:cs="Arial"/>
            <w:sz w:val="18"/>
            <w:szCs w:val="18"/>
            <w:lang w:eastAsia="en-US"/>
          </w:rPr>
          <w:t>-</w:t>
        </w:r>
        <w:r w:rsidRPr="00A331FB">
          <w:rPr>
            <w:rStyle w:val="Hyperlink"/>
            <w:rFonts w:cs="Arial"/>
            <w:sz w:val="18"/>
            <w:szCs w:val="18"/>
            <w:lang w:eastAsia="en-US"/>
          </w:rPr>
          <w:t>sec122.pdf</w:t>
        </w:r>
      </w:hyperlink>
      <w:r w:rsidRPr="00E8642C">
        <w:rPr>
          <w:rFonts w:cs="Arial"/>
          <w:sz w:val="18"/>
          <w:szCs w:val="18"/>
          <w:lang w:eastAsia="en-US"/>
        </w:rPr>
        <w:t xml:space="preserve">.  </w:t>
      </w:r>
    </w:p>
  </w:footnote>
  <w:footnote w:id="115">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r>
      <w:r w:rsidRPr="00E8642C">
        <w:rPr>
          <w:rFonts w:cs="Arial"/>
          <w:noProof/>
          <w:sz w:val="18"/>
          <w:szCs w:val="18"/>
          <w:lang w:eastAsia="en-US"/>
        </w:rPr>
        <w:t>Guide des traités sur le droit d’auteur et les droits connexes administrés par l’OMPI et Glossaire du droit d’auteur et des droits connexes, OMPI</w:t>
      </w:r>
      <w:r w:rsidRPr="00E8642C">
        <w:rPr>
          <w:rFonts w:cs="Arial"/>
          <w:noProof/>
          <w:sz w:val="18"/>
          <w:szCs w:val="18"/>
        </w:rPr>
        <w:t>.</w:t>
      </w:r>
    </w:p>
  </w:footnote>
  <w:footnote w:id="117">
    <w:p w:rsidR="000C2C9D" w:rsidRPr="00E8642C" w:rsidRDefault="000C2C9D" w:rsidP="00903B5D">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2.5) de la Convention de Berne, article 10.2) de l’Accord sur les ADPIC et article 6 du Traité sur le droit d’auteur.</w:t>
      </w:r>
    </w:p>
  </w:footnote>
  <w:footnote w:id="118">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Fonts w:cs="Arial"/>
          <w:iCs/>
          <w:noProof/>
          <w:sz w:val="18"/>
          <w:szCs w:val="18"/>
        </w:rPr>
        <w:t>Sam Ricketson et Jane C. Ginsburg,</w:t>
      </w:r>
      <w:r w:rsidRPr="00E8642C">
        <w:rPr>
          <w:rFonts w:cs="Arial"/>
          <w:i/>
          <w:iCs/>
          <w:noProof/>
          <w:sz w:val="18"/>
          <w:szCs w:val="18"/>
        </w:rPr>
        <w:t xml:space="preserve"> </w:t>
      </w:r>
      <w:r w:rsidRPr="00E8642C">
        <w:rPr>
          <w:rFonts w:cs="Arial"/>
          <w:noProof/>
          <w:sz w:val="18"/>
          <w:szCs w:val="18"/>
        </w:rPr>
        <w:t>International Copyright and Neighboring Rights—The Berne Convention and Beyond</w:t>
      </w:r>
      <w:r w:rsidRPr="00E8642C">
        <w:rPr>
          <w:rFonts w:cs="Arial"/>
          <w:iCs/>
          <w:noProof/>
          <w:sz w:val="18"/>
          <w:szCs w:val="18"/>
        </w:rPr>
        <w:t>, Oxford, vol. I, page 485.</w:t>
      </w:r>
    </w:p>
  </w:footnote>
  <w:footnote w:id="119">
    <w:p w:rsidR="000C2C9D" w:rsidRPr="00E8642C" w:rsidRDefault="000C2C9D" w:rsidP="00903B5D">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Partie I.4 du Cadre juridique régional du Pacifique pour la protection des savoirs traditionnels et des expressions de la culture (2002).</w:t>
      </w:r>
    </w:p>
  </w:footnote>
  <w:footnote w:id="120">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sz w:val="18"/>
          <w:szCs w:val="18"/>
          <w:vertAlign w:val="baseline"/>
        </w:rPr>
        <w:t xml:space="preserve"> </w:t>
      </w:r>
      <w:r w:rsidRPr="00E8642C">
        <w:rPr>
          <w:rFonts w:cs="Arial"/>
          <w:noProof/>
          <w:sz w:val="18"/>
          <w:szCs w:val="18"/>
        </w:rPr>
        <w:tab/>
        <w:t xml:space="preserve">Article premier de la Convention n° 169 concernant les peuples indigènes et tribaux dans les pays indépendants.  </w:t>
      </w:r>
    </w:p>
  </w:footnote>
  <w:footnote w:id="122">
    <w:p w:rsidR="000C2C9D" w:rsidRPr="00E8642C" w:rsidRDefault="000C2C9D" w:rsidP="0040085A">
      <w:pPr>
        <w:pStyle w:val="FootnoteText"/>
        <w:ind w:left="0" w:firstLine="0"/>
        <w:rPr>
          <w:rFonts w:cs="Arial"/>
          <w:i/>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Glossaire du PNUE (Glossary of Terms for Negotiators of Multilateral Environmental Agreements), page 49, disponible à l’adresse</w:t>
      </w:r>
      <w:r>
        <w:rPr>
          <w:rFonts w:cs="Arial"/>
          <w:noProof/>
          <w:sz w:val="18"/>
          <w:szCs w:val="18"/>
        </w:rPr>
        <w:t xml:space="preserve"> </w:t>
      </w:r>
      <w:hyperlink r:id="rId24" w:history="1">
        <w:r w:rsidRPr="00A331FB">
          <w:rPr>
            <w:rStyle w:val="Hyperlink"/>
            <w:rFonts w:cs="Arial"/>
            <w:noProof/>
            <w:sz w:val="18"/>
            <w:szCs w:val="18"/>
          </w:rPr>
          <w:t>http://wedocs.unep.org/handle/20.500.11822/7569</w:t>
        </w:r>
      </w:hyperlink>
      <w:r w:rsidRPr="00E8642C">
        <w:rPr>
          <w:rFonts w:cs="Arial"/>
          <w:noProof/>
          <w:sz w:val="18"/>
          <w:szCs w:val="18"/>
        </w:rPr>
        <w:t>.</w:t>
      </w:r>
    </w:p>
  </w:footnote>
  <w:footnote w:id="123">
    <w:p w:rsidR="000C2C9D" w:rsidRPr="00E8642C" w:rsidRDefault="000C2C9D" w:rsidP="0040085A">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r>
      <w:r w:rsidRPr="00E8642C">
        <w:rPr>
          <w:rFonts w:cs="Arial"/>
          <w:iCs/>
          <w:noProof/>
          <w:sz w:val="18"/>
          <w:szCs w:val="18"/>
        </w:rPr>
        <w:t>Voir</w:t>
      </w:r>
      <w:r w:rsidRPr="00E8642C">
        <w:rPr>
          <w:rFonts w:cs="Arial"/>
          <w:i/>
          <w:noProof/>
          <w:sz w:val="18"/>
          <w:szCs w:val="18"/>
        </w:rPr>
        <w:t xml:space="preserve"> </w:t>
      </w:r>
      <w:r w:rsidRPr="00E8642C">
        <w:rPr>
          <w:rFonts w:cs="Arial"/>
          <w:noProof/>
          <w:sz w:val="18"/>
          <w:szCs w:val="18"/>
        </w:rPr>
        <w:t>Operational Policy 4.10 on Indigenous Peoples, Banque mondiale, 2005;  John Henriksen : Key Principles in Implementing ILO Convention No. 169 (2008).</w:t>
      </w:r>
    </w:p>
  </w:footnote>
  <w:footnote w:id="124">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8642C">
        <w:rPr>
          <w:rFonts w:cs="Arial"/>
          <w:iCs/>
          <w:noProof/>
          <w:sz w:val="18"/>
          <w:szCs w:val="18"/>
        </w:rPr>
        <w:t>(disponible à l’adresse</w:t>
      </w:r>
      <w:r>
        <w:rPr>
          <w:rFonts w:cs="Arial"/>
          <w:iCs/>
          <w:noProof/>
          <w:sz w:val="18"/>
          <w:szCs w:val="18"/>
        </w:rPr>
        <w:t xml:space="preserve"> </w:t>
      </w:r>
      <w:hyperlink r:id="rId25" w:history="1">
        <w:r w:rsidRPr="00A331FB">
          <w:rPr>
            <w:rStyle w:val="Hyperlink"/>
            <w:rFonts w:cs="Arial"/>
            <w:iCs/>
            <w:noProof/>
            <w:sz w:val="18"/>
            <w:szCs w:val="18"/>
          </w:rPr>
          <w:t>http://www.fao.org/docrep/013/i1857f/i1857f00.pdf</w:t>
        </w:r>
      </w:hyperlink>
      <w:r w:rsidRPr="00E8642C">
        <w:rPr>
          <w:rFonts w:cs="Arial"/>
          <w:iCs/>
          <w:noProof/>
          <w:sz w:val="18"/>
          <w:szCs w:val="18"/>
        </w:rPr>
        <w:t>).</w:t>
      </w:r>
    </w:p>
  </w:footnote>
  <w:footnote w:id="125">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l’adresse</w:t>
      </w:r>
      <w:r>
        <w:rPr>
          <w:rFonts w:cs="Arial"/>
          <w:noProof/>
          <w:sz w:val="18"/>
          <w:szCs w:val="18"/>
        </w:rPr>
        <w:t xml:space="preserve"> </w:t>
      </w:r>
      <w:hyperlink r:id="rId26" w:history="1">
        <w:r w:rsidRPr="00A331FB">
          <w:rPr>
            <w:rStyle w:val="Hyperlink"/>
            <w:rFonts w:cs="Arial"/>
            <w:noProof/>
            <w:sz w:val="18"/>
            <w:szCs w:val="18"/>
          </w:rPr>
          <w:t>http://www.ifad.org/english/indigenous/documents/ip_policy_f.pdf</w:t>
        </w:r>
      </w:hyperlink>
      <w:r w:rsidRPr="00E8642C">
        <w:rPr>
          <w:rFonts w:cs="Arial"/>
          <w:noProof/>
          <w:sz w:val="18"/>
          <w:szCs w:val="18"/>
        </w:rPr>
        <w:t>.</w:t>
      </w:r>
    </w:p>
  </w:footnote>
  <w:footnote w:id="126">
    <w:p w:rsidR="000C2C9D" w:rsidRPr="00E8642C" w:rsidRDefault="000C2C9D" w:rsidP="0040085A">
      <w:pPr>
        <w:pStyle w:val="FootnoteText"/>
        <w:ind w:left="0" w:firstLine="0"/>
        <w:rPr>
          <w:rFonts w:cs="Arial"/>
          <w:i/>
          <w:iCs/>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Disponible à l’adresse</w:t>
      </w:r>
      <w:r>
        <w:rPr>
          <w:rFonts w:cs="Arial"/>
          <w:noProof/>
          <w:sz w:val="18"/>
          <w:szCs w:val="18"/>
        </w:rPr>
        <w:t xml:space="preserve"> </w:t>
      </w:r>
      <w:hyperlink r:id="rId27" w:history="1">
        <w:r w:rsidRPr="00A331FB">
          <w:rPr>
            <w:rStyle w:val="Hyperlink"/>
            <w:rFonts w:cs="Arial"/>
            <w:noProof/>
            <w:sz w:val="18"/>
            <w:szCs w:val="18"/>
          </w:rPr>
          <w:t>http://www.undp.org/content/undp/en/home/librarypage/environment</w:t>
        </w:r>
        <w:r>
          <w:rPr>
            <w:rStyle w:val="Hyperlink"/>
            <w:rFonts w:cs="Arial"/>
            <w:noProof/>
            <w:sz w:val="18"/>
            <w:szCs w:val="18"/>
          </w:rPr>
          <w:t>-</w:t>
        </w:r>
        <w:r w:rsidRPr="00A331FB">
          <w:rPr>
            <w:rStyle w:val="Hyperlink"/>
            <w:rFonts w:cs="Arial"/>
            <w:noProof/>
            <w:sz w:val="18"/>
            <w:szCs w:val="18"/>
          </w:rPr>
          <w:t>energy/local_development/undp</w:t>
        </w:r>
        <w:r>
          <w:rPr>
            <w:rStyle w:val="Hyperlink"/>
            <w:rFonts w:cs="Arial"/>
            <w:noProof/>
            <w:sz w:val="18"/>
            <w:szCs w:val="18"/>
          </w:rPr>
          <w:t>-</w:t>
        </w:r>
        <w:r w:rsidRPr="00A331FB">
          <w:rPr>
            <w:rStyle w:val="Hyperlink"/>
            <w:rFonts w:cs="Arial"/>
            <w:noProof/>
            <w:sz w:val="18"/>
            <w:szCs w:val="18"/>
          </w:rPr>
          <w:t>and</w:t>
        </w:r>
        <w:r>
          <w:rPr>
            <w:rStyle w:val="Hyperlink"/>
            <w:rFonts w:cs="Arial"/>
            <w:noProof/>
            <w:sz w:val="18"/>
            <w:szCs w:val="18"/>
          </w:rPr>
          <w:t>-</w:t>
        </w:r>
        <w:r w:rsidRPr="00A331FB">
          <w:rPr>
            <w:rStyle w:val="Hyperlink"/>
            <w:rFonts w:cs="Arial"/>
            <w:noProof/>
            <w:sz w:val="18"/>
            <w:szCs w:val="18"/>
          </w:rPr>
          <w:t>indigenous</w:t>
        </w:r>
        <w:r>
          <w:rPr>
            <w:rStyle w:val="Hyperlink"/>
            <w:rFonts w:cs="Arial"/>
            <w:noProof/>
            <w:sz w:val="18"/>
            <w:szCs w:val="18"/>
          </w:rPr>
          <w:t>-</w:t>
        </w:r>
        <w:r w:rsidRPr="00A331FB">
          <w:rPr>
            <w:rStyle w:val="Hyperlink"/>
            <w:rFonts w:cs="Arial"/>
            <w:noProof/>
            <w:sz w:val="18"/>
            <w:szCs w:val="18"/>
          </w:rPr>
          <w:t>peoples</w:t>
        </w:r>
        <w:r>
          <w:rPr>
            <w:rStyle w:val="Hyperlink"/>
            <w:rFonts w:cs="Arial"/>
            <w:noProof/>
            <w:sz w:val="18"/>
            <w:szCs w:val="18"/>
          </w:rPr>
          <w:t>-</w:t>
        </w:r>
        <w:r w:rsidRPr="00A331FB">
          <w:rPr>
            <w:rStyle w:val="Hyperlink"/>
            <w:rFonts w:cs="Arial"/>
            <w:noProof/>
            <w:sz w:val="18"/>
            <w:szCs w:val="18"/>
          </w:rPr>
          <w:t>a</w:t>
        </w:r>
        <w:r>
          <w:rPr>
            <w:rStyle w:val="Hyperlink"/>
            <w:rFonts w:cs="Arial"/>
            <w:noProof/>
            <w:sz w:val="18"/>
            <w:szCs w:val="18"/>
          </w:rPr>
          <w:t>-</w:t>
        </w:r>
        <w:r w:rsidRPr="00A331FB">
          <w:rPr>
            <w:rStyle w:val="Hyperlink"/>
            <w:rFonts w:cs="Arial"/>
            <w:noProof/>
            <w:sz w:val="18"/>
            <w:szCs w:val="18"/>
          </w:rPr>
          <w:t>policy</w:t>
        </w:r>
        <w:r>
          <w:rPr>
            <w:rStyle w:val="Hyperlink"/>
            <w:rFonts w:cs="Arial"/>
            <w:noProof/>
            <w:sz w:val="18"/>
            <w:szCs w:val="18"/>
          </w:rPr>
          <w:t>-</w:t>
        </w:r>
        <w:r w:rsidRPr="00A331FB">
          <w:rPr>
            <w:rStyle w:val="Hyperlink"/>
            <w:rFonts w:cs="Arial"/>
            <w:noProof/>
            <w:sz w:val="18"/>
            <w:szCs w:val="18"/>
          </w:rPr>
          <w:t>of</w:t>
        </w:r>
        <w:r>
          <w:rPr>
            <w:rStyle w:val="Hyperlink"/>
            <w:rFonts w:cs="Arial"/>
            <w:noProof/>
            <w:sz w:val="18"/>
            <w:szCs w:val="18"/>
          </w:rPr>
          <w:t>-</w:t>
        </w:r>
        <w:r w:rsidRPr="00A331FB">
          <w:rPr>
            <w:rStyle w:val="Hyperlink"/>
            <w:rFonts w:cs="Arial"/>
            <w:noProof/>
            <w:sz w:val="18"/>
            <w:szCs w:val="18"/>
          </w:rPr>
          <w:t>engagement.html</w:t>
        </w:r>
      </w:hyperlink>
      <w:r w:rsidRPr="00E8642C">
        <w:rPr>
          <w:rFonts w:cs="Arial"/>
          <w:noProof/>
          <w:sz w:val="18"/>
          <w:szCs w:val="18"/>
        </w:rPr>
        <w:t>.</w:t>
      </w:r>
    </w:p>
  </w:footnote>
  <w:footnote w:id="127">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Sous</w:t>
      </w:r>
      <w:r>
        <w:rPr>
          <w:rFonts w:cs="Arial"/>
          <w:noProof/>
          <w:sz w:val="18"/>
          <w:szCs w:val="18"/>
        </w:rPr>
        <w:noBreakHyphen/>
      </w:r>
      <w:r w:rsidRPr="00E8642C">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Customary Law, Traditional Knowledge and Intellectual Property : </w:t>
      </w:r>
      <w:r>
        <w:rPr>
          <w:rFonts w:cs="Arial"/>
          <w:noProof/>
          <w:sz w:val="18"/>
          <w:szCs w:val="18"/>
        </w:rPr>
        <w:t xml:space="preserve">An Outline of the Issues (2013) </w:t>
      </w:r>
      <w:hyperlink r:id="rId28" w:history="1">
        <w:r w:rsidRPr="00E8642C">
          <w:rPr>
            <w:rStyle w:val="Hyperlink"/>
            <w:rFonts w:cs="Arial"/>
            <w:noProof/>
            <w:sz w:val="18"/>
            <w:szCs w:val="18"/>
          </w:rPr>
          <w:t>http://www.wipo.int/export/sites/www/tk/en/resources/pdf/overview_customary_law.pdf</w:t>
        </w:r>
      </w:hyperlink>
      <w:r>
        <w:rPr>
          <w:rFonts w:cs="Arial"/>
          <w:noProof/>
          <w:sz w:val="18"/>
          <w:szCs w:val="18"/>
        </w:rPr>
        <w:t>.</w:t>
      </w:r>
    </w:p>
  </w:footnote>
  <w:footnote w:id="12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Synthèse et résultats des activités du comité intergouvernemental (WIPO/GRTKF/IC/5/12), paragraphe 37.</w:t>
      </w:r>
    </w:p>
  </w:footnote>
  <w:footnote w:id="130">
    <w:p w:rsidR="000C2C9D" w:rsidRPr="00E8642C" w:rsidRDefault="000C2C9D" w:rsidP="00C21AB4">
      <w:pPr>
        <w:pStyle w:val="FootnoteText"/>
        <w:ind w:left="0" w:firstLine="0"/>
        <w:rPr>
          <w:rStyle w:val="FootnoteReference"/>
          <w:rFonts w:cs="Arial"/>
          <w:noProof/>
          <w:sz w:val="18"/>
          <w:szCs w:val="18"/>
          <w:vertAlign w:val="baseline"/>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Page 7 de l’annexe I du document WIPO/GRTKF/IC/13/5b) Rev. intitulé “Protection des savoirs traditionnels : projet d’analyse des lacunes y relatives : version révisée”.</w:t>
      </w:r>
    </w:p>
  </w:footnote>
  <w:footnote w:id="131">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Voir le paragraphe 133 du document OMPI/GRTKF/IC/2/3.  </w:t>
      </w:r>
    </w:p>
  </w:footnote>
  <w:footnote w:id="132">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la section V.B du document OMPI/GRTKF/IC/2/3, page 58.</w:t>
      </w:r>
    </w:p>
  </w:footnote>
  <w:footnote w:id="134">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0C2C9D" w:rsidRPr="00E8642C" w:rsidRDefault="000C2C9D" w:rsidP="00EF679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ab/>
        <w:t>Id.</w:t>
      </w:r>
    </w:p>
  </w:footnote>
  <w:footnote w:id="136">
    <w:p w:rsidR="000C2C9D" w:rsidRPr="00E8642C" w:rsidRDefault="000C2C9D" w:rsidP="00EF6794">
      <w:pPr>
        <w:pStyle w:val="FootnoteText"/>
        <w:ind w:left="0" w:firstLine="0"/>
        <w:rPr>
          <w:rFonts w:cs="Arial"/>
          <w:noProof/>
          <w:sz w:val="18"/>
          <w:szCs w:val="18"/>
          <w:lang w:eastAsia="zh-CN"/>
        </w:rPr>
      </w:pPr>
      <w:r w:rsidRPr="00E8642C">
        <w:rPr>
          <w:rStyle w:val="FootnoteReference"/>
          <w:rFonts w:cs="Arial"/>
          <w:noProof/>
          <w:sz w:val="18"/>
          <w:szCs w:val="18"/>
          <w:lang w:eastAsia="zh-CN"/>
        </w:rPr>
        <w:footnoteRef/>
      </w:r>
      <w:r w:rsidRPr="00E8642C">
        <w:rPr>
          <w:rFonts w:cs="Arial"/>
          <w:noProof/>
          <w:sz w:val="18"/>
          <w:szCs w:val="18"/>
          <w:lang w:eastAsia="zh-CN"/>
        </w:rPr>
        <w:tab/>
      </w:r>
      <w:r w:rsidRPr="00E8642C">
        <w:rPr>
          <w:rFonts w:cs="Arial"/>
          <w:noProof/>
          <w:sz w:val="18"/>
          <w:szCs w:val="18"/>
        </w:rPr>
        <w:t>Id.,</w:t>
      </w:r>
      <w:r w:rsidRPr="00E8642C">
        <w:rPr>
          <w:rFonts w:cs="Arial"/>
          <w:noProof/>
          <w:sz w:val="18"/>
          <w:szCs w:val="18"/>
          <w:lang w:eastAsia="zh-CN"/>
        </w:rPr>
        <w:t xml:space="preserve"> page 5 de l’annexe.</w:t>
      </w:r>
    </w:p>
  </w:footnote>
  <w:footnote w:id="137">
    <w:p w:rsidR="000C2C9D" w:rsidRPr="00E8642C" w:rsidRDefault="000C2C9D" w:rsidP="00EF679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WIPO/GRTKF/IC/17/INF/12.</w:t>
      </w:r>
    </w:p>
  </w:footnote>
  <w:footnote w:id="138">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20 du document WIPO/GRTKF/IC/5/12 intitulé “Synthèse et résultats des activités du comité intergouvernemental”.</w:t>
      </w:r>
    </w:p>
  </w:footnote>
  <w:footnote w:id="13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 paragraphes 21 et 22.</w:t>
      </w:r>
    </w:p>
  </w:footnote>
  <w:footnote w:id="140">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 paragraphe 21.</w:t>
      </w:r>
    </w:p>
  </w:footnote>
  <w:footnote w:id="141">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 paragraphe 28.</w:t>
      </w:r>
    </w:p>
  </w:footnote>
  <w:footnote w:id="14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Jane Anderson, “Indigenous Knowledge/Traditional Knowledge and Intellectual Property”, Issues Paper, Centre for the Public Domain, Duke University, 2011, disponible à l’adresse</w:t>
      </w:r>
      <w:r>
        <w:rPr>
          <w:rFonts w:cs="Arial"/>
          <w:noProof/>
          <w:sz w:val="18"/>
          <w:szCs w:val="18"/>
        </w:rPr>
        <w:t xml:space="preserve"> </w:t>
      </w:r>
      <w:hyperlink r:id="rId29" w:history="1">
        <w:r w:rsidRPr="00A331FB">
          <w:rPr>
            <w:rStyle w:val="Hyperlink"/>
            <w:rFonts w:cs="Arial"/>
            <w:noProof/>
            <w:sz w:val="18"/>
            <w:szCs w:val="18"/>
          </w:rPr>
          <w:t>http://www.law.duke.edu/cspd/itkpaper</w:t>
        </w:r>
      </w:hyperlink>
      <w:r w:rsidRPr="00E8642C">
        <w:rPr>
          <w:rFonts w:cs="Arial"/>
          <w:noProof/>
          <w:sz w:val="18"/>
          <w:szCs w:val="18"/>
        </w:rPr>
        <w:t>.</w:t>
      </w:r>
    </w:p>
  </w:footnote>
  <w:footnote w:id="143">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The Role of Registers &amp; Databases in the Protection of Traditional Knowledge : Rapport de l’UNU IAS, janvier 2004, page 32.</w:t>
      </w:r>
    </w:p>
  </w:footnote>
  <w:footnote w:id="14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Id.</w:t>
      </w:r>
    </w:p>
  </w:footnote>
  <w:footnote w:id="14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r>
      <w:r w:rsidRPr="00E8642C">
        <w:rPr>
          <w:rFonts w:cs="Arial"/>
          <w:noProof/>
          <w:sz w:val="18"/>
          <w:szCs w:val="18"/>
        </w:rPr>
        <w:t>Id.</w:t>
      </w:r>
    </w:p>
  </w:footnote>
  <w:footnote w:id="14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Article 16 de la loi n° 27811 établissant le Régime de protection des savoirs collectifs des peuples autochtones portant sur les ressources biologiques.  Cette loi est disponible à l’adresse</w:t>
      </w:r>
      <w:r>
        <w:rPr>
          <w:rFonts w:cs="Arial"/>
          <w:noProof/>
          <w:sz w:val="18"/>
          <w:szCs w:val="18"/>
        </w:rPr>
        <w:t xml:space="preserve"> </w:t>
      </w:r>
      <w:hyperlink r:id="rId30" w:history="1">
        <w:r w:rsidRPr="00A331FB">
          <w:rPr>
            <w:rStyle w:val="Hyperlink"/>
            <w:rFonts w:cs="Arial"/>
            <w:noProof/>
            <w:sz w:val="18"/>
            <w:szCs w:val="18"/>
          </w:rPr>
          <w:t>http://www.wipo.int/wipolex/fr/details.jsp?id=3420</w:t>
        </w:r>
      </w:hyperlink>
      <w:r w:rsidRPr="00E8642C">
        <w:rPr>
          <w:rFonts w:cs="Arial"/>
          <w:noProof/>
          <w:sz w:val="18"/>
          <w:szCs w:val="18"/>
        </w:rPr>
        <w:t>.</w:t>
      </w:r>
    </w:p>
  </w:footnote>
  <w:footnote w:id="148">
    <w:p w:rsidR="000C2C9D" w:rsidRPr="00E8642C" w:rsidRDefault="000C2C9D" w:rsidP="004B68AF">
      <w:pPr>
        <w:pStyle w:val="FootnoteText"/>
        <w:ind w:left="0" w:firstLine="0"/>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r>
      <w:r w:rsidRPr="00E8642C">
        <w:rPr>
          <w:rFonts w:cs="Arial"/>
          <w:color w:val="000000"/>
          <w:sz w:val="18"/>
          <w:szCs w:val="18"/>
        </w:rPr>
        <w:t xml:space="preserve">Dossier d’information n° 8 de l’OMPI : Le règlement extrajudiciaire des litiges portant sur la propriété intellectuelle et les savoirs traditionnels, les expressions culturelles traditionnelles et les ressources génétiques, consultable à l’adresse </w:t>
      </w:r>
      <w:hyperlink r:id="rId31" w:history="1">
        <w:r w:rsidRPr="00E8642C">
          <w:rPr>
            <w:rStyle w:val="Hyperlink"/>
            <w:rFonts w:cs="Arial"/>
            <w:sz w:val="18"/>
            <w:szCs w:val="18"/>
          </w:rPr>
          <w:t>http://www.wipo.int/publications/fr/details.jsp?id=3877</w:t>
        </w:r>
      </w:hyperlink>
      <w:r w:rsidRPr="00E8642C">
        <w:rPr>
          <w:rFonts w:cs="Arial"/>
          <w:color w:val="000000"/>
          <w:sz w:val="18"/>
          <w:szCs w:val="18"/>
        </w:rPr>
        <w:t xml:space="preserve">.  </w:t>
      </w:r>
    </w:p>
  </w:footnote>
  <w:footnote w:id="149">
    <w:p w:rsidR="000C2C9D" w:rsidRPr="00E8642C" w:rsidRDefault="000C2C9D" w:rsidP="009031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Guide des traités sur le droit d’auteur et les droits connexes administrés par l’OMPI et Glossaire du droit d’auteur et des droits connexes.</w:t>
      </w:r>
    </w:p>
  </w:footnote>
  <w:footnote w:id="150">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Article 6</w:t>
      </w:r>
      <w:r w:rsidRPr="00E8642C">
        <w:rPr>
          <w:rFonts w:cs="Arial"/>
          <w:i/>
          <w:iCs/>
          <w:noProof/>
          <w:sz w:val="18"/>
          <w:szCs w:val="18"/>
        </w:rPr>
        <w:t>bis</w:t>
      </w:r>
      <w:r w:rsidRPr="00E8642C">
        <w:rPr>
          <w:rFonts w:cs="Arial"/>
          <w:noProof/>
          <w:sz w:val="18"/>
          <w:szCs w:val="18"/>
        </w:rPr>
        <w:t xml:space="preserve"> de la Convention de Berne.</w:t>
      </w:r>
    </w:p>
  </w:footnote>
  <w:footnote w:id="151">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Sam Ricketson et Jane C. Ginsburg, International Copyright and Neighboring Rights – The Berne Convention and Beyond, Oxford, vol. I, page </w:t>
      </w:r>
      <w:r w:rsidRPr="00E8642C">
        <w:rPr>
          <w:rStyle w:val="FootnoteReference"/>
          <w:rFonts w:cs="Arial"/>
          <w:noProof/>
          <w:sz w:val="18"/>
          <w:szCs w:val="18"/>
          <w:vertAlign w:val="baseline"/>
        </w:rPr>
        <w:t>606</w:t>
      </w:r>
      <w:r w:rsidRPr="00E8642C">
        <w:rPr>
          <w:rFonts w:cs="Arial"/>
          <w:noProof/>
          <w:sz w:val="18"/>
          <w:szCs w:val="18"/>
        </w:rPr>
        <w:t>.</w:t>
      </w:r>
    </w:p>
  </w:footnote>
  <w:footnote w:id="152">
    <w:p w:rsidR="000C2C9D" w:rsidRPr="00E8642C" w:rsidRDefault="000C2C9D" w:rsidP="00C21AB4">
      <w:pPr>
        <w:pStyle w:val="FootnoteText"/>
        <w:ind w:left="0" w:firstLine="0"/>
        <w:rPr>
          <w:rFonts w:cs="Arial"/>
          <w:noProof/>
          <w:sz w:val="18"/>
          <w:szCs w:val="18"/>
          <w:lang w:eastAsia="zh-CN"/>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Daniel J. Gervais, Spiritual but not Intellectual : the Protection of Sacred Intangible Traditional Knowledge, 11 Cardozo J. Int’l &amp; Comp.  L. 467, 469 490 (2003).</w:t>
      </w:r>
    </w:p>
  </w:footnote>
  <w:footnote w:id="153">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Gupta, A., “Rewarding Traditional Knowledge and Contemporary Grassroots Creativity : The Role of Intellectual Property Protection”, conservé dans les archives du Secrétariat.</w:t>
      </w:r>
    </w:p>
  </w:footnote>
  <w:footnote w:id="154">
    <w:p w:rsidR="000C2C9D" w:rsidRPr="00E8642C" w:rsidRDefault="000C2C9D" w:rsidP="00C21AB4">
      <w:pPr>
        <w:pStyle w:val="FootnoteText"/>
        <w:ind w:left="0" w:firstLine="0"/>
        <w:rPr>
          <w:rFonts w:cs="Arial"/>
          <w:noProof/>
          <w:sz w:val="18"/>
          <w:szCs w:val="18"/>
          <w:lang w:eastAsia="zh-CN"/>
        </w:rPr>
      </w:pPr>
      <w:r w:rsidRPr="00E8642C">
        <w:rPr>
          <w:rStyle w:val="FootnoteReference"/>
          <w:rFonts w:cs="Arial"/>
          <w:noProof/>
          <w:sz w:val="18"/>
          <w:szCs w:val="18"/>
        </w:rPr>
        <w:footnoteRef/>
      </w:r>
      <w:r w:rsidRPr="00E8642C">
        <w:rPr>
          <w:rFonts w:cs="Arial"/>
          <w:noProof/>
          <w:sz w:val="18"/>
          <w:szCs w:val="18"/>
          <w:lang w:eastAsia="zh-CN"/>
        </w:rPr>
        <w:t xml:space="preserve"> </w:t>
      </w:r>
      <w:r w:rsidRPr="00E8642C">
        <w:rPr>
          <w:rFonts w:cs="Arial"/>
          <w:noProof/>
          <w:sz w:val="18"/>
          <w:szCs w:val="18"/>
          <w:lang w:eastAsia="zh-CN"/>
        </w:rPr>
        <w:tab/>
        <w:t>Voir</w:t>
      </w:r>
      <w:r w:rsidRPr="00E8642C">
        <w:rPr>
          <w:rFonts w:cs="Arial"/>
          <w:i/>
          <w:noProof/>
          <w:sz w:val="18"/>
          <w:szCs w:val="18"/>
          <w:lang w:eastAsia="zh-CN"/>
        </w:rPr>
        <w:t xml:space="preserve"> </w:t>
      </w:r>
      <w:r w:rsidRPr="00E8642C">
        <w:rPr>
          <w:rFonts w:cs="Arial"/>
          <w:noProof/>
          <w:sz w:val="18"/>
          <w:szCs w:val="18"/>
          <w:lang w:eastAsia="zh-CN"/>
        </w:rPr>
        <w:t xml:space="preserve">le Rapport de l’OMPI sur les missions d’enquête consacrées à la propriété intellectuelle et aux savoirs traditionnels </w:t>
      </w:r>
      <w:r w:rsidRPr="00E8642C">
        <w:rPr>
          <w:rFonts w:cs="Arial"/>
          <w:noProof/>
          <w:sz w:val="18"/>
          <w:szCs w:val="18"/>
        </w:rPr>
        <w:t>(1998</w:t>
      </w:r>
      <w:r>
        <w:rPr>
          <w:rFonts w:cs="Arial"/>
          <w:noProof/>
          <w:sz w:val="18"/>
          <w:szCs w:val="18"/>
        </w:rPr>
        <w:noBreakHyphen/>
      </w:r>
      <w:r w:rsidRPr="00E8642C">
        <w:rPr>
          <w:rFonts w:cs="Arial"/>
          <w:noProof/>
          <w:sz w:val="18"/>
          <w:szCs w:val="18"/>
        </w:rPr>
        <w:t xml:space="preserve">1999) intitulé “Savoirs traditionnels : besoins et attentes en matière de propriété intellectuelle”, page 171, disponible à l’adresse </w:t>
      </w:r>
      <w:hyperlink r:id="rId32" w:history="1">
        <w:r w:rsidRPr="00836283">
          <w:rPr>
            <w:rStyle w:val="Hyperlink"/>
            <w:rFonts w:cs="Arial"/>
            <w:sz w:val="18"/>
            <w:szCs w:val="18"/>
          </w:rPr>
          <w:t>http://www.wipo.int/edocs/pubdocs/fr/tk/768/wipo_pub_768.pdf</w:t>
        </w:r>
      </w:hyperlink>
      <w:r w:rsidRPr="00E8642C">
        <w:rPr>
          <w:rFonts w:cs="Arial"/>
          <w:noProof/>
          <w:sz w:val="18"/>
          <w:szCs w:val="18"/>
        </w:rPr>
        <w:t>.</w:t>
      </w:r>
    </w:p>
  </w:footnote>
  <w:footnote w:id="155">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de la Nouvelle</w:t>
      </w:r>
      <w:r>
        <w:rPr>
          <w:rFonts w:cs="Arial"/>
          <w:noProof/>
          <w:sz w:val="18"/>
          <w:szCs w:val="18"/>
        </w:rPr>
        <w:noBreakHyphen/>
      </w:r>
      <w:r w:rsidRPr="00E8642C">
        <w:rPr>
          <w:rFonts w:cs="Arial"/>
          <w:noProof/>
          <w:sz w:val="18"/>
          <w:szCs w:val="18"/>
        </w:rPr>
        <w:t>Zélande durant la onzième session du comité.  Voir le paragraphe 220 du rapport adopté durant la onzième session (WIPO/GRTKF/IC/11/15).</w:t>
      </w:r>
    </w:p>
  </w:footnote>
  <w:footnote w:id="156">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du Japon durant la onzième session du comité.  Voir le paragraphe 296 du rapport adopté durant la onzième session (WIPO/GRTKF/IC/11/15).</w:t>
      </w:r>
    </w:p>
  </w:footnote>
  <w:footnote w:id="15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0C2C9D" w:rsidRPr="00E8642C" w:rsidRDefault="000C2C9D" w:rsidP="0040085A">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Rapport de l’OMPI sur les missions d’enquête consacrées </w:t>
      </w:r>
      <w:r w:rsidRPr="00E8642C">
        <w:rPr>
          <w:rFonts w:cs="Arial"/>
          <w:iCs/>
          <w:noProof/>
          <w:sz w:val="18"/>
          <w:szCs w:val="18"/>
        </w:rPr>
        <w:t>à la propriété intellectuelle et aux savoirs traditionnels (1998</w:t>
      </w:r>
      <w:r>
        <w:rPr>
          <w:rFonts w:cs="Arial"/>
          <w:iCs/>
          <w:noProof/>
          <w:sz w:val="18"/>
          <w:szCs w:val="18"/>
        </w:rPr>
        <w:noBreakHyphen/>
      </w:r>
      <w:r w:rsidRPr="00E8642C">
        <w:rPr>
          <w:rFonts w:cs="Arial"/>
          <w:iCs/>
          <w:noProof/>
          <w:sz w:val="18"/>
          <w:szCs w:val="18"/>
        </w:rPr>
        <w:t xml:space="preserve">1999), intitulé “Savoirs traditionnels : besoins et attentes en matière de propriété intellectuelle”, </w:t>
      </w:r>
      <w:r w:rsidRPr="00E8642C">
        <w:rPr>
          <w:rFonts w:cs="Arial"/>
          <w:noProof/>
          <w:sz w:val="18"/>
          <w:szCs w:val="18"/>
        </w:rPr>
        <w:t xml:space="preserve">page 23.  </w:t>
      </w:r>
      <w:r w:rsidRPr="00E8642C">
        <w:rPr>
          <w:rFonts w:cs="Arial"/>
          <w:iCs/>
          <w:noProof/>
          <w:sz w:val="18"/>
          <w:szCs w:val="18"/>
        </w:rPr>
        <w:t>Voir aussi</w:t>
      </w:r>
      <w:r w:rsidRPr="00E8642C">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w:t>
      </w:r>
      <w:r w:rsidRPr="00E8642C">
        <w:rPr>
          <w:rFonts w:cs="Arial"/>
          <w:i/>
          <w:noProof/>
          <w:sz w:val="18"/>
          <w:szCs w:val="18"/>
        </w:rPr>
        <w:t xml:space="preserve"> </w:t>
      </w:r>
      <w:r w:rsidRPr="00E8642C">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8642C">
        <w:rPr>
          <w:rFonts w:cs="Arial"/>
          <w:noProof/>
          <w:sz w:val="18"/>
          <w:szCs w:val="18"/>
        </w:rPr>
        <w:t>1999) intitulé “Savoirs traditionnels : besoins et attentes en matière de propriété intellectuelle”, page 25, disponible à l’adresse</w:t>
      </w:r>
      <w:r>
        <w:rPr>
          <w:rFonts w:cs="Arial"/>
          <w:noProof/>
          <w:sz w:val="18"/>
          <w:szCs w:val="18"/>
        </w:rPr>
        <w:t xml:space="preserve"> </w:t>
      </w:r>
      <w:hyperlink r:id="rId33" w:history="1">
        <w:r w:rsidRPr="00836283">
          <w:rPr>
            <w:rStyle w:val="Hyperlink"/>
            <w:rFonts w:cs="Arial"/>
            <w:noProof/>
            <w:sz w:val="18"/>
            <w:szCs w:val="18"/>
          </w:rPr>
          <w:t>http://www.wipo.int/publications/fr/details.jsp?id=283&amp;plang=EN</w:t>
        </w:r>
      </w:hyperlink>
      <w:r w:rsidRPr="00E8642C">
        <w:rPr>
          <w:rFonts w:cs="Arial"/>
          <w:noProof/>
          <w:sz w:val="18"/>
          <w:szCs w:val="18"/>
        </w:rPr>
        <w:t>.</w:t>
      </w:r>
    </w:p>
  </w:footnote>
  <w:footnote w:id="160">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color w:val="000000"/>
          <w:sz w:val="18"/>
          <w:szCs w:val="18"/>
        </w:rPr>
        <w:noBreakHyphen/>
      </w:r>
      <w:r w:rsidRPr="00E8642C">
        <w:rPr>
          <w:rFonts w:cs="Arial"/>
          <w:noProof/>
          <w:sz w:val="18"/>
          <w:szCs w:val="18"/>
        </w:rPr>
        <w:t>1800 av. J.</w:t>
      </w:r>
      <w:r>
        <w:rPr>
          <w:rFonts w:cs="Arial"/>
          <w:noProof/>
          <w:sz w:val="18"/>
          <w:szCs w:val="18"/>
        </w:rPr>
        <w:noBreakHyphen/>
      </w:r>
      <w:r w:rsidRPr="00E8642C">
        <w:rPr>
          <w:rFonts w:cs="Arial"/>
          <w:noProof/>
          <w:sz w:val="18"/>
          <w:szCs w:val="18"/>
        </w:rPr>
        <w:t>C.), mentionnés de très nombreuses fois dans le Rigveda et l’Atharvaveda.</w:t>
      </w:r>
    </w:p>
  </w:footnote>
  <w:footnote w:id="162">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8642C">
        <w:rPr>
          <w:rFonts w:cs="Arial"/>
          <w:noProof/>
          <w:sz w:val="18"/>
          <w:szCs w:val="18"/>
        </w:rPr>
        <w:t>C.</w:t>
      </w:r>
    </w:p>
  </w:footnote>
  <w:footnote w:id="163">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Voir également l’ouvrage de Karin Timmermans et Togi Hutadjulu intitulé </w:t>
      </w:r>
      <w:r w:rsidRPr="00E8642C">
        <w:rPr>
          <w:rFonts w:cs="Arial"/>
          <w:iCs/>
          <w:noProof/>
          <w:sz w:val="18"/>
          <w:szCs w:val="18"/>
        </w:rPr>
        <w:t>“The TRIPs Agreement and Pharmaceuticals : Report of an ASEAN Workshop on the TRIPs Agreement and its Impact on Pharmaceuticals”</w:t>
      </w:r>
      <w:r w:rsidRPr="00E8642C">
        <w:rPr>
          <w:rFonts w:cs="Arial"/>
          <w:noProof/>
          <w:sz w:val="18"/>
          <w:szCs w:val="18"/>
        </w:rPr>
        <w:t>, page 45.</w:t>
      </w:r>
    </w:p>
  </w:footnote>
  <w:footnote w:id="164">
    <w:p w:rsidR="000C2C9D" w:rsidRPr="00E8642C" w:rsidRDefault="000C2C9D" w:rsidP="004B68AF">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Intervention de la délégation du Canada.  Voir le rapport de la deuxième session (OMPI/GRTKF/IC/2/16), paragraphe 131.</w:t>
      </w:r>
    </w:p>
  </w:footnote>
  <w:footnote w:id="165">
    <w:p w:rsidR="000C2C9D" w:rsidRPr="00E8642C" w:rsidRDefault="000C2C9D" w:rsidP="00903B5D">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0C2C9D" w:rsidRPr="00E8642C" w:rsidRDefault="000C2C9D" w:rsidP="00C21AB4">
      <w:pPr>
        <w:pStyle w:val="FootnoteText"/>
        <w:ind w:left="0" w:firstLine="0"/>
        <w:rPr>
          <w:rStyle w:val="FootnoteReference"/>
          <w:rFonts w:cs="Arial"/>
          <w:noProof/>
          <w:sz w:val="18"/>
          <w:szCs w:val="18"/>
        </w:rPr>
      </w:pPr>
      <w:r w:rsidRPr="00E8642C">
        <w:rPr>
          <w:rStyle w:val="FootnoteReference"/>
          <w:rFonts w:cs="Arial"/>
          <w:noProof/>
          <w:sz w:val="18"/>
          <w:szCs w:val="18"/>
        </w:rPr>
        <w:footnoteRef/>
      </w:r>
      <w:r w:rsidRPr="00E8642C">
        <w:rPr>
          <w:rStyle w:val="FootnoteReference"/>
          <w:rFonts w:cs="Arial"/>
          <w:noProof/>
          <w:sz w:val="18"/>
          <w:szCs w:val="18"/>
        </w:rPr>
        <w:t xml:space="preserve"> </w:t>
      </w:r>
      <w:r w:rsidRPr="00E8642C">
        <w:rPr>
          <w:rFonts w:cs="Arial"/>
          <w:noProof/>
          <w:sz w:val="18"/>
          <w:szCs w:val="18"/>
        </w:rPr>
        <w:tab/>
        <w:t xml:space="preserve">Partie I.4 du Cadre juridique régional du Pacifique pour la protection des savoirs traditionnels et des expressions de la culture (2002).  </w:t>
      </w:r>
    </w:p>
  </w:footnote>
  <w:footnote w:id="167">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Voir les articles 15, 16 et 19 de la CDB.</w:t>
      </w:r>
    </w:p>
  </w:footnote>
  <w:footnote w:id="168">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les articles 10 à 13 du Traité international sur les ressources phytogénétiques pour l’alimentation et l’agriculture.</w:t>
      </w:r>
    </w:p>
  </w:footnote>
  <w:footnote w:id="169">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l’article 8 j) de la CDB.</w:t>
      </w:r>
    </w:p>
  </w:footnote>
  <w:footnote w:id="170">
    <w:p w:rsidR="000C2C9D" w:rsidRPr="00E8642C" w:rsidRDefault="000C2C9D" w:rsidP="00C21AB4">
      <w:pPr>
        <w:pStyle w:val="FootnoteText"/>
        <w:ind w:left="0" w:firstLine="0"/>
        <w:rPr>
          <w:rFonts w:cs="Arial"/>
          <w:noProof/>
          <w:sz w:val="18"/>
          <w:szCs w:val="18"/>
        </w:rPr>
      </w:pPr>
      <w:r w:rsidRPr="00E8642C">
        <w:rPr>
          <w:rFonts w:cs="Arial"/>
          <w:noProof/>
          <w:sz w:val="18"/>
          <w:szCs w:val="18"/>
          <w:vertAlign w:val="superscript"/>
        </w:rPr>
        <w:footnoteRef/>
      </w:r>
      <w:r w:rsidRPr="00E8642C">
        <w:rPr>
          <w:rFonts w:cs="Arial"/>
          <w:noProof/>
          <w:sz w:val="18"/>
          <w:szCs w:val="18"/>
        </w:rPr>
        <w:t xml:space="preserve"> </w:t>
      </w:r>
      <w:r w:rsidRPr="00E8642C">
        <w:rPr>
          <w:rFonts w:cs="Arial"/>
          <w:noProof/>
          <w:sz w:val="18"/>
          <w:szCs w:val="18"/>
        </w:rPr>
        <w:tab/>
        <w:t>Voir le document WIPO/GRTKF/IC/11/10.</w:t>
      </w:r>
    </w:p>
  </w:footnote>
  <w:footnote w:id="171">
    <w:p w:rsidR="000C2C9D" w:rsidRPr="00E8642C" w:rsidRDefault="000C2C9D" w:rsidP="00EF6794">
      <w:pPr>
        <w:pStyle w:val="FootnoteText"/>
        <w:rPr>
          <w:rFonts w:cs="Arial"/>
          <w:sz w:val="18"/>
          <w:szCs w:val="18"/>
        </w:rPr>
      </w:pPr>
      <w:r w:rsidRPr="00E8642C">
        <w:rPr>
          <w:rStyle w:val="FootnoteReference"/>
          <w:rFonts w:cs="Arial"/>
          <w:sz w:val="18"/>
          <w:szCs w:val="18"/>
        </w:rPr>
        <w:footnoteRef/>
      </w:r>
      <w:r w:rsidRPr="00E8642C">
        <w:rPr>
          <w:rFonts w:cs="Arial"/>
          <w:sz w:val="18"/>
          <w:szCs w:val="18"/>
        </w:rPr>
        <w:t xml:space="preserve"> </w:t>
      </w:r>
      <w:r w:rsidRPr="00E8642C">
        <w:rPr>
          <w:rFonts w:cs="Arial"/>
          <w:sz w:val="18"/>
          <w:szCs w:val="18"/>
        </w:rPr>
        <w:tab/>
        <w:t xml:space="preserve">Article premier du Traité international.  </w:t>
      </w:r>
    </w:p>
  </w:footnote>
  <w:footnote w:id="172">
    <w:p w:rsidR="000C2C9D" w:rsidRPr="00E8642C" w:rsidRDefault="000C2C9D" w:rsidP="00C21AB4">
      <w:pPr>
        <w:pStyle w:val="FootnoteText"/>
        <w:ind w:left="0" w:firstLine="0"/>
        <w:rPr>
          <w:rFonts w:cs="Arial"/>
          <w:noProof/>
          <w:sz w:val="18"/>
          <w:szCs w:val="18"/>
        </w:rPr>
      </w:pPr>
      <w:r w:rsidRPr="00E8642C">
        <w:rPr>
          <w:rStyle w:val="FootnoteReference"/>
          <w:rFonts w:cs="Arial"/>
          <w:noProof/>
          <w:sz w:val="18"/>
          <w:szCs w:val="18"/>
        </w:rPr>
        <w:footnoteRef/>
      </w:r>
      <w:r w:rsidRPr="00E8642C">
        <w:rPr>
          <w:rFonts w:cs="Arial"/>
          <w:noProof/>
          <w:sz w:val="18"/>
          <w:szCs w:val="18"/>
        </w:rPr>
        <w:t xml:space="preserve"> </w:t>
      </w:r>
      <w:r w:rsidRPr="00E8642C">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0C2C9D" w:rsidRDefault="000C2C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jc w:val="right"/>
      <w:rPr>
        <w:szCs w:val="22"/>
      </w:rPr>
    </w:pPr>
    <w:r>
      <w:rPr>
        <w:szCs w:val="22"/>
      </w:rPr>
      <w:t>WIPO/GRTKF/IC/35/INF/7</w:t>
    </w:r>
  </w:p>
  <w:p w:rsidR="000C2C9D" w:rsidRDefault="000C2C9D">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9F43E8">
      <w:rPr>
        <w:rStyle w:val="PageNumber"/>
        <w:noProof/>
        <w:szCs w:val="22"/>
      </w:rPr>
      <w:t>2</w:t>
    </w:r>
    <w:r>
      <w:rPr>
        <w:rStyle w:val="PageNumber"/>
        <w:szCs w:val="22"/>
      </w:rPr>
      <w:fldChar w:fldCharType="end"/>
    </w:r>
  </w:p>
  <w:p w:rsidR="000C2C9D" w:rsidRDefault="000C2C9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Default="000C2C9D">
    <w:pPr>
      <w:pStyle w:val="Header"/>
      <w:jc w:val="right"/>
      <w:rPr>
        <w:szCs w:val="22"/>
      </w:rPr>
    </w:pPr>
    <w:r>
      <w:rPr>
        <w:szCs w:val="22"/>
      </w:rPr>
      <w:t>WIPO/GRTKF/IC/35/INF/7</w:t>
    </w:r>
  </w:p>
  <w:p w:rsidR="000C2C9D" w:rsidRDefault="000C2C9D">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9F43E8">
      <w:rPr>
        <w:rStyle w:val="PageNumber"/>
        <w:noProof/>
        <w:szCs w:val="22"/>
      </w:rPr>
      <w:t>7</w:t>
    </w:r>
    <w:r>
      <w:rPr>
        <w:rStyle w:val="PageNumber"/>
        <w:szCs w:val="22"/>
      </w:rPr>
      <w:fldChar w:fldCharType="end"/>
    </w:r>
  </w:p>
  <w:p w:rsidR="000C2C9D" w:rsidRDefault="000C2C9D">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9D" w:rsidRPr="001E0485" w:rsidRDefault="000C2C9D">
    <w:pPr>
      <w:ind w:right="-1"/>
      <w:jc w:val="right"/>
      <w:rPr>
        <w:szCs w:val="22"/>
        <w:lang w:val="en-US"/>
      </w:rPr>
    </w:pPr>
    <w:r w:rsidRPr="001E0485">
      <w:rPr>
        <w:szCs w:val="22"/>
        <w:lang w:val="en-US"/>
      </w:rPr>
      <w:t>WIPO/</w:t>
    </w:r>
    <w:proofErr w:type="spellStart"/>
    <w:r w:rsidRPr="001E0485">
      <w:rPr>
        <w:szCs w:val="22"/>
        <w:lang w:val="en-US"/>
      </w:rPr>
      <w:t>GRTKF</w:t>
    </w:r>
    <w:proofErr w:type="spellEnd"/>
    <w:r w:rsidRPr="001E0485">
      <w:rPr>
        <w:szCs w:val="22"/>
        <w:lang w:val="en-US"/>
      </w:rPr>
      <w:t>/IC/</w:t>
    </w:r>
    <w:r>
      <w:rPr>
        <w:szCs w:val="22"/>
        <w:lang w:val="en-US"/>
      </w:rPr>
      <w:t>35</w:t>
    </w:r>
    <w:r w:rsidRPr="001E0485">
      <w:rPr>
        <w:szCs w:val="22"/>
        <w:lang w:val="en-US"/>
      </w:rPr>
      <w:t>/INF/7</w:t>
    </w:r>
  </w:p>
  <w:p w:rsidR="000C2C9D" w:rsidRPr="001E0485" w:rsidRDefault="000C2C9D">
    <w:pPr>
      <w:pStyle w:val="Header"/>
      <w:jc w:val="right"/>
      <w:rPr>
        <w:szCs w:val="22"/>
        <w:lang w:val="en-US"/>
      </w:rPr>
    </w:pPr>
    <w:proofErr w:type="spellStart"/>
    <w:r w:rsidRPr="001E0485">
      <w:rPr>
        <w:szCs w:val="22"/>
        <w:lang w:val="en-US"/>
      </w:rPr>
      <w:t>ANNEXE</w:t>
    </w:r>
    <w:proofErr w:type="spellEnd"/>
  </w:p>
  <w:p w:rsidR="000C2C9D" w:rsidRPr="001E0485" w:rsidRDefault="000C2C9D">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215DC"/>
    <w:rsid w:val="00027C0B"/>
    <w:rsid w:val="000354FD"/>
    <w:rsid w:val="000505ED"/>
    <w:rsid w:val="00051837"/>
    <w:rsid w:val="0008314B"/>
    <w:rsid w:val="00084DE6"/>
    <w:rsid w:val="00086D5E"/>
    <w:rsid w:val="0008758B"/>
    <w:rsid w:val="000A600A"/>
    <w:rsid w:val="000C0579"/>
    <w:rsid w:val="000C2C9D"/>
    <w:rsid w:val="000D2328"/>
    <w:rsid w:val="000E194C"/>
    <w:rsid w:val="001002C1"/>
    <w:rsid w:val="001039BD"/>
    <w:rsid w:val="0012692E"/>
    <w:rsid w:val="00144745"/>
    <w:rsid w:val="00153491"/>
    <w:rsid w:val="0015588E"/>
    <w:rsid w:val="00184603"/>
    <w:rsid w:val="001C33FB"/>
    <w:rsid w:val="001E0485"/>
    <w:rsid w:val="001F7FBB"/>
    <w:rsid w:val="00204A5E"/>
    <w:rsid w:val="00214D43"/>
    <w:rsid w:val="00225416"/>
    <w:rsid w:val="002554A9"/>
    <w:rsid w:val="00263702"/>
    <w:rsid w:val="00285A43"/>
    <w:rsid w:val="002A016C"/>
    <w:rsid w:val="002B36FC"/>
    <w:rsid w:val="002C52C4"/>
    <w:rsid w:val="002C7F21"/>
    <w:rsid w:val="00303B77"/>
    <w:rsid w:val="00307BFD"/>
    <w:rsid w:val="003130B1"/>
    <w:rsid w:val="00321592"/>
    <w:rsid w:val="00340A95"/>
    <w:rsid w:val="00356943"/>
    <w:rsid w:val="00370183"/>
    <w:rsid w:val="003A4909"/>
    <w:rsid w:val="003D0AE8"/>
    <w:rsid w:val="003E51F0"/>
    <w:rsid w:val="003F3BCA"/>
    <w:rsid w:val="003F5F0F"/>
    <w:rsid w:val="0040085A"/>
    <w:rsid w:val="00422819"/>
    <w:rsid w:val="00423AA2"/>
    <w:rsid w:val="00431983"/>
    <w:rsid w:val="00436E83"/>
    <w:rsid w:val="004401F3"/>
    <w:rsid w:val="00467A45"/>
    <w:rsid w:val="0047417E"/>
    <w:rsid w:val="00492E7E"/>
    <w:rsid w:val="004B68AF"/>
    <w:rsid w:val="004D558E"/>
    <w:rsid w:val="004E634E"/>
    <w:rsid w:val="004F5EA7"/>
    <w:rsid w:val="0050360D"/>
    <w:rsid w:val="0050392E"/>
    <w:rsid w:val="0051068B"/>
    <w:rsid w:val="005145E2"/>
    <w:rsid w:val="005149DF"/>
    <w:rsid w:val="005263C2"/>
    <w:rsid w:val="005645B0"/>
    <w:rsid w:val="00574D76"/>
    <w:rsid w:val="005921DE"/>
    <w:rsid w:val="005B4C24"/>
    <w:rsid w:val="005D4EE8"/>
    <w:rsid w:val="005D623B"/>
    <w:rsid w:val="005E6B76"/>
    <w:rsid w:val="00601FC5"/>
    <w:rsid w:val="0061367E"/>
    <w:rsid w:val="006271F4"/>
    <w:rsid w:val="00661DEC"/>
    <w:rsid w:val="006A102A"/>
    <w:rsid w:val="006A33F8"/>
    <w:rsid w:val="006A3D99"/>
    <w:rsid w:val="006C4BAC"/>
    <w:rsid w:val="006D53E0"/>
    <w:rsid w:val="006D55A8"/>
    <w:rsid w:val="006F7763"/>
    <w:rsid w:val="007019FF"/>
    <w:rsid w:val="00717A53"/>
    <w:rsid w:val="00717B33"/>
    <w:rsid w:val="007375C9"/>
    <w:rsid w:val="00744AD0"/>
    <w:rsid w:val="00775E1D"/>
    <w:rsid w:val="0079173A"/>
    <w:rsid w:val="00792168"/>
    <w:rsid w:val="007E0307"/>
    <w:rsid w:val="007E3EDF"/>
    <w:rsid w:val="007F5179"/>
    <w:rsid w:val="00834644"/>
    <w:rsid w:val="00836283"/>
    <w:rsid w:val="00837BC8"/>
    <w:rsid w:val="008576A7"/>
    <w:rsid w:val="008717C0"/>
    <w:rsid w:val="00871F09"/>
    <w:rsid w:val="008843E1"/>
    <w:rsid w:val="008B4120"/>
    <w:rsid w:val="00902F68"/>
    <w:rsid w:val="009031AF"/>
    <w:rsid w:val="00903B5D"/>
    <w:rsid w:val="00906122"/>
    <w:rsid w:val="00923DCD"/>
    <w:rsid w:val="00934FDD"/>
    <w:rsid w:val="00940C00"/>
    <w:rsid w:val="009449A2"/>
    <w:rsid w:val="00972E56"/>
    <w:rsid w:val="00994053"/>
    <w:rsid w:val="00996960"/>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E09FC"/>
    <w:rsid w:val="00AE5194"/>
    <w:rsid w:val="00AE6488"/>
    <w:rsid w:val="00AE66F5"/>
    <w:rsid w:val="00AF32FD"/>
    <w:rsid w:val="00B2260F"/>
    <w:rsid w:val="00B354B7"/>
    <w:rsid w:val="00B52385"/>
    <w:rsid w:val="00B65569"/>
    <w:rsid w:val="00B8630C"/>
    <w:rsid w:val="00BA2CDF"/>
    <w:rsid w:val="00BD4DE0"/>
    <w:rsid w:val="00BE4D4C"/>
    <w:rsid w:val="00BE7E0E"/>
    <w:rsid w:val="00C069E2"/>
    <w:rsid w:val="00C10455"/>
    <w:rsid w:val="00C21AB4"/>
    <w:rsid w:val="00C33F04"/>
    <w:rsid w:val="00C42572"/>
    <w:rsid w:val="00C4686F"/>
    <w:rsid w:val="00C72281"/>
    <w:rsid w:val="00C72D25"/>
    <w:rsid w:val="00C83181"/>
    <w:rsid w:val="00C9238D"/>
    <w:rsid w:val="00CA352C"/>
    <w:rsid w:val="00CD24D4"/>
    <w:rsid w:val="00CE7061"/>
    <w:rsid w:val="00CF577F"/>
    <w:rsid w:val="00D05100"/>
    <w:rsid w:val="00D15D42"/>
    <w:rsid w:val="00D337E4"/>
    <w:rsid w:val="00D41D90"/>
    <w:rsid w:val="00D61F7F"/>
    <w:rsid w:val="00D63E89"/>
    <w:rsid w:val="00D7422E"/>
    <w:rsid w:val="00D81740"/>
    <w:rsid w:val="00D85F2A"/>
    <w:rsid w:val="00D91C97"/>
    <w:rsid w:val="00DC0787"/>
    <w:rsid w:val="00DC26CA"/>
    <w:rsid w:val="00DD607D"/>
    <w:rsid w:val="00E0296C"/>
    <w:rsid w:val="00E16C51"/>
    <w:rsid w:val="00E23777"/>
    <w:rsid w:val="00E47710"/>
    <w:rsid w:val="00E578FA"/>
    <w:rsid w:val="00E667D8"/>
    <w:rsid w:val="00E8642C"/>
    <w:rsid w:val="00E91306"/>
    <w:rsid w:val="00E94160"/>
    <w:rsid w:val="00EA3636"/>
    <w:rsid w:val="00EA730B"/>
    <w:rsid w:val="00EB3989"/>
    <w:rsid w:val="00EF6794"/>
    <w:rsid w:val="00F017C6"/>
    <w:rsid w:val="00F24435"/>
    <w:rsid w:val="00F25B2F"/>
    <w:rsid w:val="00F41777"/>
    <w:rsid w:val="00F63B33"/>
    <w:rsid w:val="00F665F6"/>
    <w:rsid w:val="00F75BDB"/>
    <w:rsid w:val="00F845B9"/>
    <w:rsid w:val="00F926C9"/>
    <w:rsid w:val="00FC3D53"/>
    <w:rsid w:val="00FC5D5B"/>
    <w:rsid w:val="00FC6E72"/>
    <w:rsid w:val="00FC6FC9"/>
    <w:rsid w:val="00FD5442"/>
    <w:rsid w:val="00FF294E"/>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TKRC.asp?GL=Eng" TargetMode="External"/><Relationship Id="rId13" Type="http://schemas.openxmlformats.org/officeDocument/2006/relationships/hyperlink" Target="https://www.gpo.gov/fdsys/pkg/USCODE-2011-title35/pdf/USCODE-2011-title35-partII-chap14-sec151.pdf" TargetMode="External"/><Relationship Id="rId18" Type="http://schemas.openxmlformats.org/officeDocument/2006/relationships/hyperlink" Target="http://www.wipo.int/publications/fr/details.jsp?id=4235" TargetMode="External"/><Relationship Id="rId26" Type="http://schemas.openxmlformats.org/officeDocument/2006/relationships/hyperlink" Target="http://www.ifad.org/english/indigenous/documents/ip_policy_f.pdf" TargetMode="External"/><Relationship Id="rId3" Type="http://schemas.openxmlformats.org/officeDocument/2006/relationships/hyperlink" Target="https://www.uspto.gov/web/offices/pac/mpep/s2158.html" TargetMode="External"/><Relationship Id="rId21" Type="http://schemas.openxmlformats.org/officeDocument/2006/relationships/hyperlink" Target="https://www.uspto.gov/web/offices/pac/mpep/mpep-9015-appx-l.html%23al_d1fbe1_19797_b0" TargetMode="External"/><Relationship Id="rId7" Type="http://schemas.openxmlformats.org/officeDocument/2006/relationships/hyperlink" Target="http://www.oecd.org/fr/sti/biotech/definitionstatistiquedelabiotechnologiemiseajouren2005.htm"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vocabularyserver.com/unesco/en/index.php?tema=2526&amp;/cultural-identity" TargetMode="External"/><Relationship Id="rId25" Type="http://schemas.openxmlformats.org/officeDocument/2006/relationships/hyperlink" Target="http://www.fao.org/docrep/013/i1857f/i1857f00.pdf" TargetMode="External"/><Relationship Id="rId33" Type="http://schemas.openxmlformats.org/officeDocument/2006/relationships/hyperlink" Target="http://www.wipo.int/publications/fr/details.jsp?id=283&amp;plang=EN" TargetMode="External"/><Relationship Id="rId2" Type="http://schemas.openxmlformats.org/officeDocument/2006/relationships/hyperlink" Target="http://www.fao.org/3/a-be623e.pdf" TargetMode="External"/><Relationship Id="rId16" Type="http://schemas.openxmlformats.org/officeDocument/2006/relationships/hyperlink" Target="http://www.wipo.int/publications/fr/details.jsp?id=4194" TargetMode="External"/><Relationship Id="rId20" Type="http://schemas.openxmlformats.org/officeDocument/2006/relationships/hyperlink" Target="https://www.unenvironment.org/resources/report/glossary-terms-negotiators-multilateral-environmental-agreements" TargetMode="External"/><Relationship Id="rId29" Type="http://schemas.openxmlformats.org/officeDocument/2006/relationships/hyperlink" Target="http://www.law.duke.edu/cspd/itkpaper" TargetMode="External"/><Relationship Id="rId1" Type="http://schemas.openxmlformats.org/officeDocument/2006/relationships/hyperlink" Target="http://www.wipo.int/tk/en/databases/contracts/index.html" TargetMode="External"/><Relationship Id="rId6" Type="http://schemas.openxmlformats.org/officeDocument/2006/relationships/hyperlink" Target="http://www.fao.org/biotech/fao-statement-on-biotechnology/fr/" TargetMode="External"/><Relationship Id="rId11" Type="http://schemas.openxmlformats.org/officeDocument/2006/relationships/hyperlink" Target="http://www.wipo.int/export/sites/www/tk/en/resources/pdf/overview_customary_law.pdf" TargetMode="External"/><Relationship Id="rId24" Type="http://schemas.openxmlformats.org/officeDocument/2006/relationships/hyperlink" Target="http://wedocs.unep.org/handle/20.500.11822/7569" TargetMode="External"/><Relationship Id="rId32" Type="http://schemas.openxmlformats.org/officeDocument/2006/relationships/hyperlink" Target="http://www.wipo.int/edocs/pubdocs/fr/tk/768/wipo_pub_768.pdf" TargetMode="External"/><Relationship Id="rId5" Type="http://schemas.openxmlformats.org/officeDocument/2006/relationships/hyperlink" Target="http://www.wipo.int/publications/fr/details.jsp?id=283&amp;plang=EN" TargetMode="External"/><Relationship Id="rId15" Type="http://schemas.openxmlformats.org/officeDocument/2006/relationships/hyperlink" Target="http://www.wipo.int/wipolex/fr/details.jsp?id=16061" TargetMode="External"/><Relationship Id="rId23" Type="http://schemas.openxmlformats.org/officeDocument/2006/relationships/hyperlink" Target="https://www.gpo.gov/fdsys/pkg/USCODE-2011-title35/pdf/USCODE-2011-title35-partII-chap11-sec122.pdf" TargetMode="External"/><Relationship Id="rId28" Type="http://schemas.openxmlformats.org/officeDocument/2006/relationships/hyperlink" Target="http://www.wipo.int/export/sites/www/tk/en/resources/pdf/overview_customary_law.pdf" TargetMode="External"/><Relationship Id="rId10" Type="http://schemas.openxmlformats.org/officeDocument/2006/relationships/hyperlink" Target="http://www.wipo.int/pct/fr/texts/glossary.html%23D" TargetMode="External"/><Relationship Id="rId19" Type="http://schemas.openxmlformats.org/officeDocument/2006/relationships/hyperlink" Target="http://www.wipo.int/copyright/fr/limitations/index.html" TargetMode="External"/><Relationship Id="rId31" Type="http://schemas.openxmlformats.org/officeDocument/2006/relationships/hyperlink" Target="http://www.wipo.int/publications/fr/details.jsp?id=3877"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un.org/fr/universal-declaration-human-rights/" TargetMode="External"/><Relationship Id="rId14" Type="http://schemas.openxmlformats.org/officeDocument/2006/relationships/hyperlink" Target="https://www.gpo.gov/fdsys/pkg/USCODE-2011-title35/pdf/USCODE-2011-title35-partII-chap11-sec122.pdf" TargetMode="External"/><Relationship Id="rId22" Type="http://schemas.openxmlformats.org/officeDocument/2006/relationships/hyperlink" Target="https://www.gpo.gov/fdsys/pkg/USCODE-2011-title35/pdf/USCODE-2011-title35-partII-chap14-sec151.pdf" TargetMode="External"/><Relationship Id="rId27" Type="http://schemas.openxmlformats.org/officeDocument/2006/relationships/hyperlink" Target="http://www.undp.org/content/undp/en/home/librarypage/environment-energy/local_development/undp-and-indigenous-peoples-a-policy-of-engagement.html" TargetMode="External"/><Relationship Id="rId30" Type="http://schemas.openxmlformats.org/officeDocument/2006/relationships/hyperlink" Target="http://www.wipo.int/wipolex/fr/details.jsp?id=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D193-E58D-41B4-B2A5-09CBDE85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23963</Words>
  <Characters>141133</Characters>
  <Application>Microsoft Office Word</Application>
  <DocSecurity>0</DocSecurity>
  <Lines>2205</Lines>
  <Paragraphs>954</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164142</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COUTURE Sébastien</cp:lastModifiedBy>
  <cp:revision>6</cp:revision>
  <cp:lastPrinted>2018-01-30T11:57:00Z</cp:lastPrinted>
  <dcterms:created xsi:type="dcterms:W3CDTF">2018-01-31T09:25:00Z</dcterms:created>
  <dcterms:modified xsi:type="dcterms:W3CDTF">2018-01-31T15:48:00Z</dcterms:modified>
</cp:coreProperties>
</file>