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29" w:rsidRPr="00AB6AA8" w:rsidRDefault="005844C8" w:rsidP="005844C8">
      <w:pPr>
        <w:ind w:left="-360"/>
        <w:jc w:val="center"/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b/>
          <w:sz w:val="22"/>
          <w:szCs w:val="22"/>
          <w:lang w:val="fr-FR"/>
        </w:rPr>
        <w:t>Note d</w:t>
      </w:r>
      <w:r w:rsidR="00CC28C9">
        <w:rPr>
          <w:rFonts w:ascii="Arial" w:hAnsi="Arial" w:cs="Arial"/>
          <w:b/>
          <w:sz w:val="22"/>
          <w:szCs w:val="22"/>
          <w:lang w:val="fr-FR"/>
        </w:rPr>
        <w:t>’</w:t>
      </w:r>
      <w:r w:rsidRPr="00AB6AA8">
        <w:rPr>
          <w:rFonts w:ascii="Arial" w:hAnsi="Arial" w:cs="Arial"/>
          <w:b/>
          <w:sz w:val="22"/>
          <w:szCs w:val="22"/>
          <w:lang w:val="fr-FR"/>
        </w:rPr>
        <w:t>information</w:t>
      </w:r>
      <w:r w:rsidRPr="00AB6AA8">
        <w:rPr>
          <w:rStyle w:val="FootnoteReference"/>
          <w:rFonts w:ascii="Arial" w:hAnsi="Arial" w:cs="Arial"/>
          <w:sz w:val="22"/>
          <w:szCs w:val="22"/>
          <w:lang w:val="fr-FR"/>
        </w:rPr>
        <w:footnoteReference w:id="2"/>
      </w:r>
    </w:p>
    <w:p w:rsidR="00F33529" w:rsidRPr="00AB6AA8" w:rsidRDefault="00F33529" w:rsidP="005165FC">
      <w:pPr>
        <w:ind w:left="-360"/>
        <w:jc w:val="center"/>
        <w:rPr>
          <w:rFonts w:ascii="Arial" w:hAnsi="Arial" w:cs="Arial"/>
          <w:b/>
          <w:sz w:val="22"/>
          <w:szCs w:val="22"/>
          <w:lang w:val="fr-FR"/>
        </w:rPr>
      </w:pPr>
    </w:p>
    <w:p w:rsidR="00F33529" w:rsidRPr="00AB6AA8" w:rsidRDefault="005844C8" w:rsidP="005844C8">
      <w:pPr>
        <w:ind w:left="-360"/>
        <w:jc w:val="center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AB6AA8">
        <w:rPr>
          <w:rFonts w:ascii="Arial" w:hAnsi="Arial" w:cs="Arial"/>
          <w:b/>
          <w:sz w:val="22"/>
          <w:szCs w:val="22"/>
          <w:lang w:val="fr-FR"/>
        </w:rPr>
        <w:t>en</w:t>
      </w:r>
      <w:proofErr w:type="gramEnd"/>
      <w:r w:rsidRPr="00AB6AA8">
        <w:rPr>
          <w:rFonts w:ascii="Arial" w:hAnsi="Arial" w:cs="Arial"/>
          <w:b/>
          <w:sz w:val="22"/>
          <w:szCs w:val="22"/>
          <w:lang w:val="fr-FR"/>
        </w:rPr>
        <w:t xml:space="preserve"> vue de la trente</w:t>
      </w:r>
      <w:r w:rsidR="006E1E1D">
        <w:rPr>
          <w:rFonts w:ascii="Arial" w:hAnsi="Arial" w:cs="Arial"/>
          <w:b/>
          <w:sz w:val="22"/>
          <w:szCs w:val="22"/>
          <w:lang w:val="fr-FR"/>
        </w:rPr>
        <w:noBreakHyphen/>
      </w:r>
      <w:r w:rsidRPr="00AB6AA8">
        <w:rPr>
          <w:rFonts w:ascii="Arial" w:hAnsi="Arial" w:cs="Arial"/>
          <w:b/>
          <w:sz w:val="22"/>
          <w:szCs w:val="22"/>
          <w:lang w:val="fr-FR"/>
        </w:rPr>
        <w:t>cinqu</w:t>
      </w:r>
      <w:r w:rsidR="00CC28C9">
        <w:rPr>
          <w:rFonts w:ascii="Arial" w:hAnsi="Arial" w:cs="Arial"/>
          <w:b/>
          <w:sz w:val="22"/>
          <w:szCs w:val="22"/>
          <w:lang w:val="fr-FR"/>
        </w:rPr>
        <w:t>ième session</w:t>
      </w:r>
      <w:r w:rsidRPr="00AB6AA8">
        <w:rPr>
          <w:rFonts w:ascii="Arial" w:hAnsi="Arial" w:cs="Arial"/>
          <w:b/>
          <w:sz w:val="22"/>
          <w:szCs w:val="22"/>
          <w:lang w:val="fr-FR"/>
        </w:rPr>
        <w:t xml:space="preserve"> de l</w:t>
      </w:r>
      <w:r w:rsidR="00CC28C9">
        <w:rPr>
          <w:rFonts w:ascii="Arial" w:hAnsi="Arial" w:cs="Arial"/>
          <w:b/>
          <w:sz w:val="22"/>
          <w:szCs w:val="22"/>
          <w:lang w:val="fr-FR"/>
        </w:rPr>
        <w:t>’</w:t>
      </w:r>
      <w:r w:rsidRPr="00AB6AA8">
        <w:rPr>
          <w:rFonts w:ascii="Arial" w:hAnsi="Arial" w:cs="Arial"/>
          <w:b/>
          <w:sz w:val="22"/>
          <w:szCs w:val="22"/>
          <w:lang w:val="fr-FR"/>
        </w:rPr>
        <w:t>IGC</w:t>
      </w:r>
    </w:p>
    <w:p w:rsidR="00F33529" w:rsidRPr="00AB6AA8" w:rsidRDefault="00F33529" w:rsidP="005165FC">
      <w:pPr>
        <w:ind w:left="-360"/>
        <w:jc w:val="center"/>
        <w:rPr>
          <w:rFonts w:ascii="Arial" w:hAnsi="Arial" w:cs="Arial"/>
          <w:sz w:val="22"/>
          <w:szCs w:val="22"/>
          <w:lang w:val="fr-FR"/>
        </w:rPr>
      </w:pPr>
    </w:p>
    <w:p w:rsidR="00F33529" w:rsidRPr="00AB6AA8" w:rsidRDefault="005844C8" w:rsidP="005844C8">
      <w:pPr>
        <w:ind w:left="-360"/>
        <w:jc w:val="center"/>
        <w:rPr>
          <w:rFonts w:ascii="Arial" w:hAnsi="Arial" w:cs="Arial"/>
          <w:sz w:val="22"/>
          <w:szCs w:val="22"/>
          <w:lang w:val="fr-FR"/>
        </w:rPr>
      </w:pPr>
      <w:proofErr w:type="gramStart"/>
      <w:r w:rsidRPr="00AB6AA8">
        <w:rPr>
          <w:rFonts w:ascii="Arial" w:hAnsi="Arial" w:cs="Arial"/>
          <w:sz w:val="22"/>
          <w:szCs w:val="22"/>
          <w:lang w:val="fr-FR"/>
        </w:rPr>
        <w:t>établie</w:t>
      </w:r>
      <w:proofErr w:type="gramEnd"/>
      <w:r w:rsidRPr="00AB6AA8">
        <w:rPr>
          <w:rFonts w:ascii="Arial" w:hAnsi="Arial" w:cs="Arial"/>
          <w:sz w:val="22"/>
          <w:szCs w:val="22"/>
          <w:lang w:val="fr-FR"/>
        </w:rPr>
        <w:t xml:space="preserve"> par M.</w:t>
      </w:r>
      <w:r w:rsidR="00BC5F10" w:rsidRPr="00AB6AA8">
        <w:rPr>
          <w:rFonts w:ascii="Arial" w:hAnsi="Arial" w:cs="Arial"/>
          <w:sz w:val="22"/>
          <w:szCs w:val="22"/>
          <w:lang w:val="fr-FR"/>
        </w:rPr>
        <w:t> </w:t>
      </w:r>
      <w:r w:rsidRPr="00AB6AA8">
        <w:rPr>
          <w:rFonts w:ascii="Arial" w:hAnsi="Arial" w:cs="Arial"/>
          <w:sz w:val="22"/>
          <w:szCs w:val="22"/>
          <w:lang w:val="fr-FR"/>
        </w:rPr>
        <w:t>Ian</w:t>
      </w:r>
      <w:r w:rsidR="00A67026" w:rsidRPr="00AB6AA8">
        <w:rPr>
          <w:rFonts w:ascii="Arial" w:hAnsi="Arial" w:cs="Arial"/>
          <w:sz w:val="22"/>
          <w:szCs w:val="22"/>
          <w:lang w:val="fr-FR"/>
        </w:rPr>
        <w:t> </w:t>
      </w:r>
      <w:r w:rsidRPr="00AB6AA8">
        <w:rPr>
          <w:rFonts w:ascii="Arial" w:hAnsi="Arial" w:cs="Arial"/>
          <w:sz w:val="22"/>
          <w:szCs w:val="22"/>
          <w:lang w:val="fr-FR"/>
        </w:rPr>
        <w:t>Goss, président de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IGC</w:t>
      </w:r>
    </w:p>
    <w:p w:rsidR="00F33529" w:rsidRPr="00AB6AA8" w:rsidRDefault="00F33529" w:rsidP="005165FC">
      <w:pPr>
        <w:ind w:left="-360"/>
        <w:jc w:val="center"/>
        <w:rPr>
          <w:rFonts w:ascii="Arial" w:hAnsi="Arial" w:cs="Arial"/>
          <w:sz w:val="22"/>
          <w:szCs w:val="22"/>
          <w:lang w:val="fr-FR"/>
        </w:rPr>
      </w:pPr>
      <w:bookmarkStart w:id="0" w:name="_GoBack"/>
      <w:bookmarkEnd w:id="0"/>
    </w:p>
    <w:p w:rsidR="00F33529" w:rsidRPr="00AB6AA8" w:rsidRDefault="00F33529" w:rsidP="005165FC">
      <w:pPr>
        <w:ind w:left="-360"/>
        <w:rPr>
          <w:rFonts w:ascii="Arial" w:hAnsi="Arial" w:cs="Arial"/>
          <w:sz w:val="22"/>
          <w:szCs w:val="22"/>
          <w:lang w:val="fr-FR"/>
        </w:rPr>
      </w:pPr>
    </w:p>
    <w:p w:rsidR="00F33529" w:rsidRPr="00AB6AA8" w:rsidRDefault="00F33529" w:rsidP="005165FC">
      <w:pPr>
        <w:ind w:left="-360"/>
        <w:rPr>
          <w:rFonts w:ascii="Arial" w:hAnsi="Arial" w:cs="Arial"/>
          <w:sz w:val="22"/>
          <w:szCs w:val="22"/>
          <w:lang w:val="fr-FR"/>
        </w:rPr>
      </w:pPr>
    </w:p>
    <w:p w:rsidR="00F33529" w:rsidRPr="00AB6AA8" w:rsidRDefault="005844C8" w:rsidP="005844C8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AB6AA8">
        <w:rPr>
          <w:rFonts w:ascii="Arial" w:hAnsi="Arial" w:cs="Arial"/>
          <w:b/>
          <w:sz w:val="22"/>
          <w:szCs w:val="22"/>
          <w:u w:val="single"/>
          <w:lang w:val="fr-FR"/>
        </w:rPr>
        <w:t>Introduction</w:t>
      </w:r>
    </w:p>
    <w:p w:rsidR="00F33529" w:rsidRPr="00AB6AA8" w:rsidRDefault="00F33529" w:rsidP="00602F2E">
      <w:pPr>
        <w:rPr>
          <w:rFonts w:ascii="Arial" w:hAnsi="Arial" w:cs="Arial"/>
          <w:sz w:val="22"/>
          <w:szCs w:val="22"/>
          <w:lang w:val="fr-FR"/>
        </w:rPr>
      </w:pPr>
    </w:p>
    <w:p w:rsidR="00BB77E3" w:rsidRPr="00AB6AA8" w:rsidRDefault="005844C8" w:rsidP="005844C8">
      <w:p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>Le premier document de synthèse sur les ressources génétiques a été élaboré lors de la vingt</w:t>
      </w:r>
      <w:r w:rsidR="00CC28C9">
        <w:rPr>
          <w:rFonts w:ascii="Arial" w:hAnsi="Arial" w:cs="Arial"/>
          <w:sz w:val="22"/>
          <w:szCs w:val="22"/>
          <w:lang w:val="fr-FR"/>
        </w:rPr>
        <w:t>ième session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de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IGC en </w:t>
      </w:r>
      <w:r w:rsidR="00BB77E3" w:rsidRPr="00AB6AA8">
        <w:rPr>
          <w:rFonts w:ascii="Arial" w:hAnsi="Arial" w:cs="Arial"/>
          <w:sz w:val="22"/>
          <w:szCs w:val="22"/>
          <w:lang w:val="fr-FR"/>
        </w:rPr>
        <w:t>février 20</w:t>
      </w:r>
      <w:r w:rsidRPr="00AB6AA8">
        <w:rPr>
          <w:rFonts w:ascii="Arial" w:hAnsi="Arial" w:cs="Arial"/>
          <w:sz w:val="22"/>
          <w:szCs w:val="22"/>
          <w:lang w:val="fr-FR"/>
        </w:rPr>
        <w:t>12.</w:t>
      </w:r>
      <w:r w:rsidR="00B91D82" w:rsidRPr="00AB6AA8">
        <w:rPr>
          <w:rFonts w:ascii="Arial" w:hAnsi="Arial"/>
          <w:sz w:val="22"/>
          <w:lang w:val="fr-FR"/>
        </w:rPr>
        <w:t xml:space="preserve">  </w:t>
      </w:r>
      <w:r w:rsidR="00854C48" w:rsidRPr="00AB6AA8">
        <w:rPr>
          <w:rFonts w:ascii="Arial" w:hAnsi="Arial" w:cs="Arial"/>
          <w:sz w:val="22"/>
          <w:szCs w:val="22"/>
          <w:lang w:val="fr-FR"/>
        </w:rPr>
        <w:t>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854C48" w:rsidRPr="00AB6AA8">
        <w:rPr>
          <w:rFonts w:ascii="Arial" w:hAnsi="Arial" w:cs="Arial"/>
          <w:sz w:val="22"/>
          <w:szCs w:val="22"/>
          <w:lang w:val="fr-FR"/>
        </w:rPr>
        <w:t xml:space="preserve">objet de ce </w:t>
      </w:r>
      <w:r w:rsidRPr="00AB6AA8">
        <w:rPr>
          <w:rFonts w:ascii="Arial" w:hAnsi="Arial" w:cs="Arial"/>
          <w:sz w:val="22"/>
          <w:szCs w:val="22"/>
          <w:lang w:val="fr-FR"/>
        </w:rPr>
        <w:t>document était de résumer les propositions et les positions figurant dans les documents de travail de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IGC et les propositions des États membr</w:t>
      </w:r>
      <w:r w:rsidR="00A76B86" w:rsidRPr="00AB6AA8">
        <w:rPr>
          <w:rFonts w:ascii="Arial" w:hAnsi="Arial" w:cs="Arial"/>
          <w:sz w:val="22"/>
          <w:szCs w:val="22"/>
          <w:lang w:val="fr-FR"/>
        </w:rPr>
        <w:t>es</w:t>
      </w:r>
      <w:r w:rsidR="00A76B86">
        <w:rPr>
          <w:rFonts w:ascii="Arial" w:hAnsi="Arial" w:cs="Arial"/>
          <w:sz w:val="22"/>
          <w:szCs w:val="22"/>
          <w:lang w:val="fr-FR"/>
        </w:rPr>
        <w:t xml:space="preserve">.  </w:t>
      </w:r>
      <w:r w:rsidR="00A76B86" w:rsidRPr="00AB6AA8">
        <w:rPr>
          <w:rFonts w:ascii="Arial" w:hAnsi="Arial" w:cs="Arial"/>
          <w:sz w:val="22"/>
          <w:szCs w:val="22"/>
          <w:lang w:val="fr-FR"/>
        </w:rPr>
        <w:t>Le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document initial a </w:t>
      </w:r>
      <w:r w:rsidR="00854C48" w:rsidRPr="00AB6AA8">
        <w:rPr>
          <w:rFonts w:ascii="Arial" w:hAnsi="Arial" w:cs="Arial"/>
          <w:sz w:val="22"/>
          <w:szCs w:val="22"/>
          <w:lang w:val="fr-FR"/>
        </w:rPr>
        <w:t>par la suite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été considérablement amélioré lors </w:t>
      </w:r>
      <w:proofErr w:type="gramStart"/>
      <w:r w:rsidRPr="00AB6AA8">
        <w:rPr>
          <w:rFonts w:ascii="Arial" w:hAnsi="Arial" w:cs="Arial"/>
          <w:sz w:val="22"/>
          <w:szCs w:val="22"/>
          <w:lang w:val="fr-FR"/>
        </w:rPr>
        <w:t>des vingt</w:t>
      </w:r>
      <w:r w:rsidR="006E1E1D">
        <w:rPr>
          <w:rFonts w:ascii="Arial" w:hAnsi="Arial" w:cs="Arial"/>
          <w:sz w:val="22"/>
          <w:szCs w:val="22"/>
          <w:lang w:val="fr-FR"/>
        </w:rPr>
        <w:noBreakHyphen/>
      </w:r>
      <w:r w:rsidRPr="00AB6AA8">
        <w:rPr>
          <w:rFonts w:ascii="Arial" w:hAnsi="Arial" w:cs="Arial"/>
          <w:sz w:val="22"/>
          <w:szCs w:val="22"/>
          <w:lang w:val="fr-FR"/>
        </w:rPr>
        <w:t>deuxième, vingt</w:t>
      </w:r>
      <w:r w:rsidR="006E1E1D">
        <w:rPr>
          <w:rFonts w:ascii="Arial" w:hAnsi="Arial" w:cs="Arial"/>
          <w:sz w:val="22"/>
          <w:szCs w:val="22"/>
          <w:lang w:val="fr-FR"/>
        </w:rPr>
        <w:noBreakHyphen/>
      </w:r>
      <w:r w:rsidRPr="00AB6AA8">
        <w:rPr>
          <w:rFonts w:ascii="Arial" w:hAnsi="Arial" w:cs="Arial"/>
          <w:sz w:val="22"/>
          <w:szCs w:val="22"/>
          <w:lang w:val="fr-FR"/>
        </w:rPr>
        <w:t>troisième, vingt</w:t>
      </w:r>
      <w:r w:rsidR="006E1E1D">
        <w:rPr>
          <w:rFonts w:ascii="Arial" w:hAnsi="Arial" w:cs="Arial"/>
          <w:sz w:val="22"/>
          <w:szCs w:val="22"/>
          <w:lang w:val="fr-FR"/>
        </w:rPr>
        <w:noBreakHyphen/>
      </w:r>
      <w:r w:rsidRPr="00AB6AA8">
        <w:rPr>
          <w:rFonts w:ascii="Arial" w:hAnsi="Arial" w:cs="Arial"/>
          <w:sz w:val="22"/>
          <w:szCs w:val="22"/>
          <w:lang w:val="fr-FR"/>
        </w:rPr>
        <w:t>neuvième et trent</w:t>
      </w:r>
      <w:r w:rsidR="00CC28C9">
        <w:rPr>
          <w:rFonts w:ascii="Arial" w:hAnsi="Arial" w:cs="Arial"/>
          <w:sz w:val="22"/>
          <w:szCs w:val="22"/>
          <w:lang w:val="fr-FR"/>
        </w:rPr>
        <w:t>ième session</w:t>
      </w:r>
      <w:r w:rsidRPr="00AB6AA8">
        <w:rPr>
          <w:rFonts w:ascii="Arial" w:hAnsi="Arial" w:cs="Arial"/>
          <w:sz w:val="22"/>
          <w:szCs w:val="22"/>
          <w:lang w:val="fr-FR"/>
        </w:rPr>
        <w:t>s</w:t>
      </w:r>
      <w:proofErr w:type="gramEnd"/>
      <w:r w:rsidRPr="00AB6AA8">
        <w:rPr>
          <w:rFonts w:ascii="Arial" w:hAnsi="Arial" w:cs="Arial"/>
          <w:sz w:val="22"/>
          <w:szCs w:val="22"/>
          <w:lang w:val="fr-FR"/>
        </w:rPr>
        <w:t xml:space="preserve"> de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IGC.</w:t>
      </w:r>
    </w:p>
    <w:p w:rsidR="00F33529" w:rsidRPr="00AB6AA8" w:rsidRDefault="00F33529" w:rsidP="00602F2E">
      <w:pPr>
        <w:rPr>
          <w:rFonts w:ascii="Arial" w:hAnsi="Arial" w:cs="Arial"/>
          <w:sz w:val="22"/>
          <w:szCs w:val="22"/>
          <w:lang w:val="fr-FR"/>
        </w:rPr>
      </w:pPr>
    </w:p>
    <w:p w:rsidR="00BB77E3" w:rsidRPr="00AB6AA8" w:rsidRDefault="0088339F" w:rsidP="0088339F">
      <w:p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>La présente note d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information succincte </w:t>
      </w:r>
      <w:r w:rsidR="00854C48" w:rsidRPr="00AB6AA8">
        <w:rPr>
          <w:rFonts w:ascii="Arial" w:hAnsi="Arial" w:cs="Arial"/>
          <w:sz w:val="22"/>
          <w:szCs w:val="22"/>
          <w:lang w:val="fr-FR"/>
        </w:rPr>
        <w:t xml:space="preserve">a été </w:t>
      </w:r>
      <w:r w:rsidR="00971346" w:rsidRPr="00AB6AA8">
        <w:rPr>
          <w:rFonts w:ascii="Arial" w:hAnsi="Arial" w:cs="Arial"/>
          <w:sz w:val="22"/>
          <w:szCs w:val="22"/>
          <w:lang w:val="fr-FR"/>
        </w:rPr>
        <w:t>établie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en vue de la trente</w:t>
      </w:r>
      <w:r w:rsidR="006E1E1D">
        <w:rPr>
          <w:rFonts w:ascii="Arial" w:hAnsi="Arial" w:cs="Arial"/>
          <w:sz w:val="22"/>
          <w:szCs w:val="22"/>
          <w:lang w:val="fr-FR"/>
        </w:rPr>
        <w:noBreakHyphen/>
      </w:r>
      <w:r w:rsidRPr="00AB6AA8">
        <w:rPr>
          <w:rFonts w:ascii="Arial" w:hAnsi="Arial" w:cs="Arial"/>
          <w:sz w:val="22"/>
          <w:szCs w:val="22"/>
          <w:lang w:val="fr-FR"/>
        </w:rPr>
        <w:t>cinqu</w:t>
      </w:r>
      <w:r w:rsidR="00CC28C9">
        <w:rPr>
          <w:rFonts w:ascii="Arial" w:hAnsi="Arial" w:cs="Arial"/>
          <w:sz w:val="22"/>
          <w:szCs w:val="22"/>
          <w:lang w:val="fr-FR"/>
        </w:rPr>
        <w:t>ième session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de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IGC </w:t>
      </w:r>
      <w:r w:rsidR="00854C48" w:rsidRPr="00AB6AA8">
        <w:rPr>
          <w:rFonts w:ascii="Arial" w:hAnsi="Arial" w:cs="Arial"/>
          <w:sz w:val="22"/>
          <w:szCs w:val="22"/>
          <w:lang w:val="fr-FR"/>
        </w:rPr>
        <w:t xml:space="preserve">et 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présente un résumé de certaines questions essentielles </w:t>
      </w:r>
      <w:r w:rsidR="00423A80" w:rsidRPr="00AB6AA8">
        <w:rPr>
          <w:rFonts w:ascii="Arial" w:hAnsi="Arial" w:cs="Arial"/>
          <w:sz w:val="22"/>
          <w:szCs w:val="22"/>
          <w:lang w:val="fr-FR"/>
        </w:rPr>
        <w:t>que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les États membres </w:t>
      </w:r>
      <w:r w:rsidR="00423A80" w:rsidRPr="00AB6AA8">
        <w:rPr>
          <w:rFonts w:ascii="Arial" w:hAnsi="Arial" w:cs="Arial"/>
          <w:sz w:val="22"/>
          <w:szCs w:val="22"/>
          <w:lang w:val="fr-FR"/>
        </w:rPr>
        <w:t>pourraient envisager d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423A80" w:rsidRPr="00AB6AA8">
        <w:rPr>
          <w:rFonts w:ascii="Arial" w:hAnsi="Arial" w:cs="Arial"/>
          <w:sz w:val="22"/>
          <w:szCs w:val="22"/>
          <w:lang w:val="fr-FR"/>
        </w:rPr>
        <w:t>examiner avec attenti</w:t>
      </w:r>
      <w:r w:rsidR="00A76B86" w:rsidRPr="00AB6AA8">
        <w:rPr>
          <w:rFonts w:ascii="Arial" w:hAnsi="Arial" w:cs="Arial"/>
          <w:sz w:val="22"/>
          <w:szCs w:val="22"/>
          <w:lang w:val="fr-FR"/>
        </w:rPr>
        <w:t>on</w:t>
      </w:r>
      <w:r w:rsidR="00A76B86">
        <w:rPr>
          <w:rFonts w:ascii="Arial" w:hAnsi="Arial" w:cs="Arial"/>
          <w:sz w:val="22"/>
          <w:szCs w:val="22"/>
          <w:lang w:val="fr-FR"/>
        </w:rPr>
        <w:t xml:space="preserve">.  </w:t>
      </w:r>
      <w:r w:rsidR="00A76B86" w:rsidRPr="00AB6AA8">
        <w:rPr>
          <w:rFonts w:ascii="Arial" w:hAnsi="Arial" w:cs="Arial"/>
          <w:sz w:val="22"/>
          <w:szCs w:val="22"/>
          <w:lang w:val="fr-FR"/>
        </w:rPr>
        <w:t>Le</w:t>
      </w:r>
      <w:r w:rsidRPr="00AB6AA8">
        <w:rPr>
          <w:rFonts w:ascii="Arial" w:hAnsi="Arial" w:cs="Arial"/>
          <w:sz w:val="22"/>
          <w:szCs w:val="22"/>
          <w:lang w:val="fr-FR"/>
        </w:rPr>
        <w:t>s États membres sont également encouragés à examiner quelles options requièrent un consensus international au sein de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IGC et à vérifier si certaines options ont un caractère plus pratique et peuvent être mises en œuvre conformément au cadre juridique international existant, étant entendu que certaines d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entre elles ont déjà été mises en œuv</w:t>
      </w:r>
      <w:r w:rsidR="00A76B86" w:rsidRPr="00AB6AA8">
        <w:rPr>
          <w:rFonts w:ascii="Arial" w:hAnsi="Arial" w:cs="Arial"/>
          <w:sz w:val="22"/>
          <w:szCs w:val="22"/>
          <w:lang w:val="fr-FR"/>
        </w:rPr>
        <w:t>re</w:t>
      </w:r>
      <w:r w:rsidR="00A76B86">
        <w:rPr>
          <w:rFonts w:ascii="Arial" w:hAnsi="Arial" w:cs="Arial"/>
          <w:sz w:val="22"/>
          <w:szCs w:val="22"/>
          <w:lang w:val="fr-FR"/>
        </w:rPr>
        <w:t xml:space="preserve">.  </w:t>
      </w:r>
      <w:r w:rsidR="00A76B86" w:rsidRPr="00AB6AA8">
        <w:rPr>
          <w:rFonts w:ascii="Arial" w:hAnsi="Arial" w:cs="Arial"/>
          <w:sz w:val="22"/>
          <w:szCs w:val="22"/>
          <w:lang w:val="fr-FR"/>
        </w:rPr>
        <w:t>Pa</w:t>
      </w:r>
      <w:r w:rsidRPr="00AB6AA8">
        <w:rPr>
          <w:rFonts w:ascii="Arial" w:hAnsi="Arial" w:cs="Arial"/>
          <w:sz w:val="22"/>
          <w:szCs w:val="22"/>
          <w:lang w:val="fr-FR"/>
        </w:rPr>
        <w:t>r exemple, pour aider les examinateurs de brevets à déterminer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état de la technique et éviter la délivrance de brevets </w:t>
      </w:r>
      <w:r w:rsidR="00F33529" w:rsidRPr="00AB6AA8">
        <w:rPr>
          <w:rFonts w:ascii="Arial" w:hAnsi="Arial" w:cs="Arial"/>
          <w:sz w:val="22"/>
          <w:szCs w:val="22"/>
          <w:lang w:val="fr-FR"/>
        </w:rPr>
        <w:t>indus</w:t>
      </w:r>
      <w:r w:rsidRPr="00AB6AA8">
        <w:rPr>
          <w:rFonts w:ascii="Arial" w:hAnsi="Arial" w:cs="Arial"/>
          <w:sz w:val="22"/>
          <w:szCs w:val="22"/>
          <w:lang w:val="fr-FR"/>
        </w:rPr>
        <w:t>, de nouvelles sous</w:t>
      </w:r>
      <w:r w:rsidR="006E1E1D">
        <w:rPr>
          <w:rFonts w:ascii="Arial" w:hAnsi="Arial" w:cs="Arial"/>
          <w:sz w:val="22"/>
          <w:szCs w:val="22"/>
          <w:lang w:val="fr-FR"/>
        </w:rPr>
        <w:noBreakHyphen/>
      </w:r>
      <w:r w:rsidRPr="00AB6AA8">
        <w:rPr>
          <w:rFonts w:ascii="Arial" w:hAnsi="Arial" w:cs="Arial"/>
          <w:sz w:val="22"/>
          <w:szCs w:val="22"/>
          <w:lang w:val="fr-FR"/>
        </w:rPr>
        <w:t>classes ont été introduites il y a quelques années dans la classification internationale des brevets (CIB) afin de faciliter la détermination de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état de la technique lors du traitement des demandes portant sur des savoirs traditionne</w:t>
      </w:r>
      <w:r w:rsidR="00A76B86" w:rsidRPr="00AB6AA8">
        <w:rPr>
          <w:rFonts w:ascii="Arial" w:hAnsi="Arial" w:cs="Arial"/>
          <w:sz w:val="22"/>
          <w:szCs w:val="22"/>
          <w:lang w:val="fr-FR"/>
        </w:rPr>
        <w:t>ls</w:t>
      </w:r>
      <w:r w:rsidR="00A76B86">
        <w:rPr>
          <w:rFonts w:ascii="Arial" w:hAnsi="Arial" w:cs="Arial"/>
          <w:sz w:val="22"/>
          <w:szCs w:val="22"/>
          <w:lang w:val="fr-FR"/>
        </w:rPr>
        <w:t xml:space="preserve">.  </w:t>
      </w:r>
      <w:r w:rsidR="00A76B86" w:rsidRPr="00AB6AA8">
        <w:rPr>
          <w:rFonts w:ascii="Arial" w:hAnsi="Arial" w:cs="Arial"/>
          <w:sz w:val="22"/>
          <w:szCs w:val="22"/>
          <w:lang w:val="fr-FR"/>
        </w:rPr>
        <w:t>En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outre, certaines revues spécialisées dans les savoirs traditionnels ont été admises en tant qu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éléments de la littérature non</w:t>
      </w:r>
      <w:r w:rsidR="006E1E1D">
        <w:rPr>
          <w:rFonts w:ascii="Arial" w:hAnsi="Arial" w:cs="Arial"/>
          <w:sz w:val="22"/>
          <w:szCs w:val="22"/>
          <w:lang w:val="fr-FR"/>
        </w:rPr>
        <w:noBreakHyphen/>
      </w:r>
      <w:r w:rsidRPr="00AB6AA8">
        <w:rPr>
          <w:rFonts w:ascii="Arial" w:hAnsi="Arial" w:cs="Arial"/>
          <w:sz w:val="22"/>
          <w:szCs w:val="22"/>
          <w:lang w:val="fr-FR"/>
        </w:rPr>
        <w:t>brevet aux fins de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examen des demandes de brevet.</w:t>
      </w:r>
    </w:p>
    <w:p w:rsidR="00F33529" w:rsidRPr="00AB6AA8" w:rsidRDefault="00F33529" w:rsidP="00602F2E">
      <w:pPr>
        <w:rPr>
          <w:rFonts w:ascii="Arial" w:hAnsi="Arial" w:cs="Arial"/>
          <w:sz w:val="22"/>
          <w:szCs w:val="22"/>
          <w:lang w:val="fr-FR"/>
        </w:rPr>
      </w:pPr>
    </w:p>
    <w:p w:rsidR="00F33529" w:rsidRPr="00AB6AA8" w:rsidRDefault="00F06DC6" w:rsidP="00F06DC6">
      <w:pPr>
        <w:rPr>
          <w:rFonts w:ascii="Arial" w:hAnsi="Arial" w:cs="Arial"/>
          <w:b/>
          <w:sz w:val="22"/>
          <w:szCs w:val="22"/>
          <w:lang w:val="fr-FR"/>
        </w:rPr>
      </w:pPr>
      <w:r w:rsidRPr="00AB6AA8">
        <w:rPr>
          <w:rFonts w:ascii="Arial" w:hAnsi="Arial" w:cs="Arial"/>
          <w:b/>
          <w:sz w:val="22"/>
          <w:szCs w:val="22"/>
          <w:lang w:val="fr-FR"/>
        </w:rPr>
        <w:t>Je souligne que les vues exprimées dans la présente note sont uniquement les miennes, sans préjudice des positions éventuelles des États membres sur les questions considéré</w:t>
      </w:r>
      <w:r w:rsidR="00A76B86" w:rsidRPr="00AB6AA8">
        <w:rPr>
          <w:rFonts w:ascii="Arial" w:hAnsi="Arial" w:cs="Arial"/>
          <w:b/>
          <w:sz w:val="22"/>
          <w:szCs w:val="22"/>
          <w:lang w:val="fr-FR"/>
        </w:rPr>
        <w:t>es</w:t>
      </w:r>
      <w:r w:rsidR="00A76B86">
        <w:rPr>
          <w:rFonts w:ascii="Arial" w:hAnsi="Arial" w:cs="Arial"/>
          <w:b/>
          <w:sz w:val="22"/>
          <w:szCs w:val="22"/>
          <w:lang w:val="fr-FR"/>
        </w:rPr>
        <w:t xml:space="preserve">.  </w:t>
      </w:r>
      <w:r w:rsidR="00A76B86" w:rsidRPr="00AB6AA8">
        <w:rPr>
          <w:rFonts w:ascii="Arial" w:hAnsi="Arial" w:cs="Arial"/>
          <w:b/>
          <w:sz w:val="22"/>
          <w:szCs w:val="22"/>
          <w:lang w:val="fr-FR"/>
        </w:rPr>
        <w:t>En</w:t>
      </w:r>
      <w:r w:rsidRPr="00AB6AA8">
        <w:rPr>
          <w:rFonts w:ascii="Arial" w:hAnsi="Arial" w:cs="Arial"/>
          <w:b/>
          <w:sz w:val="22"/>
          <w:szCs w:val="22"/>
          <w:lang w:val="fr-FR"/>
        </w:rPr>
        <w:t xml:space="preserve"> tant que note d</w:t>
      </w:r>
      <w:r w:rsidR="00CC28C9">
        <w:rPr>
          <w:rFonts w:ascii="Arial" w:hAnsi="Arial" w:cs="Arial"/>
          <w:b/>
          <w:sz w:val="22"/>
          <w:szCs w:val="22"/>
          <w:lang w:val="fr-FR"/>
        </w:rPr>
        <w:t>’</w:t>
      </w:r>
      <w:r w:rsidRPr="00AB6AA8">
        <w:rPr>
          <w:rFonts w:ascii="Arial" w:hAnsi="Arial" w:cs="Arial"/>
          <w:b/>
          <w:sz w:val="22"/>
          <w:szCs w:val="22"/>
          <w:lang w:val="fr-FR"/>
        </w:rPr>
        <w:t>information, celle</w:t>
      </w:r>
      <w:r w:rsidR="006E1E1D">
        <w:rPr>
          <w:rFonts w:ascii="Arial" w:hAnsi="Arial" w:cs="Arial"/>
          <w:b/>
          <w:sz w:val="22"/>
          <w:szCs w:val="22"/>
          <w:lang w:val="fr-FR"/>
        </w:rPr>
        <w:noBreakHyphen/>
      </w:r>
      <w:r w:rsidRPr="00AB6AA8">
        <w:rPr>
          <w:rFonts w:ascii="Arial" w:hAnsi="Arial" w:cs="Arial"/>
          <w:b/>
          <w:sz w:val="22"/>
          <w:szCs w:val="22"/>
          <w:lang w:val="fr-FR"/>
        </w:rPr>
        <w:t>ci ne possède aucun statut particulier et n</w:t>
      </w:r>
      <w:r w:rsidR="00CC28C9">
        <w:rPr>
          <w:rFonts w:ascii="Arial" w:hAnsi="Arial" w:cs="Arial"/>
          <w:b/>
          <w:sz w:val="22"/>
          <w:szCs w:val="22"/>
          <w:lang w:val="fr-FR"/>
        </w:rPr>
        <w:t>’</w:t>
      </w:r>
      <w:r w:rsidRPr="00AB6AA8">
        <w:rPr>
          <w:rFonts w:ascii="Arial" w:hAnsi="Arial" w:cs="Arial"/>
          <w:b/>
          <w:sz w:val="22"/>
          <w:szCs w:val="22"/>
          <w:lang w:val="fr-FR"/>
        </w:rPr>
        <w:t>est pas un document de travail pour la sessi</w:t>
      </w:r>
      <w:r w:rsidR="00A76B86" w:rsidRPr="00AB6AA8">
        <w:rPr>
          <w:rFonts w:ascii="Arial" w:hAnsi="Arial" w:cs="Arial"/>
          <w:b/>
          <w:sz w:val="22"/>
          <w:szCs w:val="22"/>
          <w:lang w:val="fr-FR"/>
        </w:rPr>
        <w:t>on</w:t>
      </w:r>
      <w:r w:rsidR="00A76B86">
        <w:rPr>
          <w:rFonts w:ascii="Arial" w:hAnsi="Arial" w:cs="Arial"/>
          <w:b/>
          <w:sz w:val="22"/>
          <w:szCs w:val="22"/>
          <w:lang w:val="fr-FR"/>
        </w:rPr>
        <w:t xml:space="preserve">.  </w:t>
      </w:r>
      <w:r w:rsidR="00A76B86" w:rsidRPr="00AB6AA8">
        <w:rPr>
          <w:rFonts w:ascii="Arial" w:hAnsi="Arial" w:cs="Arial"/>
          <w:b/>
          <w:sz w:val="22"/>
          <w:szCs w:val="22"/>
          <w:lang w:val="fr-FR"/>
        </w:rPr>
        <w:t>El</w:t>
      </w:r>
      <w:r w:rsidRPr="00AB6AA8">
        <w:rPr>
          <w:rFonts w:ascii="Arial" w:hAnsi="Arial" w:cs="Arial"/>
          <w:b/>
          <w:sz w:val="22"/>
          <w:szCs w:val="22"/>
          <w:lang w:val="fr-FR"/>
        </w:rPr>
        <w:t>le constitue simplement une base de réflexion.</w:t>
      </w:r>
    </w:p>
    <w:p w:rsidR="00F33529" w:rsidRPr="00AB6AA8" w:rsidRDefault="00F33529" w:rsidP="00602F2E">
      <w:pPr>
        <w:rPr>
          <w:rFonts w:ascii="Arial" w:hAnsi="Arial" w:cs="Arial"/>
          <w:sz w:val="22"/>
          <w:szCs w:val="22"/>
          <w:lang w:val="fr-FR"/>
        </w:rPr>
      </w:pPr>
    </w:p>
    <w:p w:rsidR="00F33529" w:rsidRPr="00AB6AA8" w:rsidRDefault="00971346" w:rsidP="00602F2E">
      <w:p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 xml:space="preserve">Pour établir cette note, je me suis appuyé </w:t>
      </w:r>
      <w:r w:rsidR="00F33529" w:rsidRPr="00AB6AA8">
        <w:rPr>
          <w:rFonts w:ascii="Arial" w:hAnsi="Arial" w:cs="Arial"/>
          <w:sz w:val="22"/>
          <w:szCs w:val="22"/>
          <w:lang w:val="fr-FR"/>
        </w:rPr>
        <w:t xml:space="preserve">principalement 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sur le </w:t>
      </w:r>
      <w:r w:rsidR="00CC28C9" w:rsidRPr="00CC28C9">
        <w:rPr>
          <w:rFonts w:ascii="Arial" w:hAnsi="Arial" w:cs="Arial"/>
          <w:sz w:val="22"/>
          <w:szCs w:val="22"/>
          <w:lang w:val="fr-FR"/>
        </w:rPr>
        <w:t>document WI</w:t>
      </w:r>
      <w:r w:rsidR="00DB14CD" w:rsidRPr="00AB6AA8">
        <w:rPr>
          <w:rFonts w:ascii="Arial" w:hAnsi="Arial" w:cs="Arial"/>
          <w:sz w:val="22"/>
          <w:szCs w:val="22"/>
          <w:lang w:val="fr-FR"/>
        </w:rPr>
        <w:t>PO/GRTKF/IC/35/4 (</w:t>
      </w:r>
      <w:r w:rsidRPr="00AB6AA8">
        <w:rPr>
          <w:rFonts w:ascii="Arial" w:hAnsi="Arial" w:cs="Arial"/>
          <w:sz w:val="22"/>
          <w:szCs w:val="22"/>
          <w:lang w:val="fr-FR"/>
        </w:rPr>
        <w:t>Document de synthèse concernant la propriété intellectuelle relative aux ressources génétiques</w:t>
      </w:r>
      <w:r w:rsidR="00DB14CD" w:rsidRPr="00AB6AA8">
        <w:rPr>
          <w:rFonts w:ascii="Arial" w:hAnsi="Arial" w:cs="Arial"/>
          <w:sz w:val="22"/>
          <w:szCs w:val="22"/>
          <w:lang w:val="fr-FR"/>
        </w:rPr>
        <w:t>)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, </w:t>
      </w:r>
      <w:r w:rsidR="0010576F" w:rsidRPr="00AB6AA8">
        <w:rPr>
          <w:rFonts w:ascii="Arial" w:hAnsi="Arial" w:cs="Arial"/>
          <w:sz w:val="22"/>
          <w:szCs w:val="22"/>
          <w:lang w:val="fr-FR"/>
        </w:rPr>
        <w:t>qui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</w:t>
      </w:r>
      <w:r w:rsidR="00F33529" w:rsidRPr="00AB6AA8">
        <w:rPr>
          <w:rFonts w:ascii="Arial" w:hAnsi="Arial" w:cs="Arial"/>
          <w:sz w:val="22"/>
          <w:szCs w:val="22"/>
          <w:lang w:val="fr-FR"/>
        </w:rPr>
        <w:t>expose par écri</w:t>
      </w:r>
      <w:r w:rsidR="00D83628" w:rsidRPr="00AB6AA8">
        <w:rPr>
          <w:rFonts w:ascii="Arial" w:hAnsi="Arial" w:cs="Arial"/>
          <w:sz w:val="22"/>
          <w:szCs w:val="22"/>
          <w:lang w:val="fr-FR"/>
        </w:rPr>
        <w:t>t</w:t>
      </w:r>
      <w:r w:rsidR="00F33529" w:rsidRPr="00AB6AA8">
        <w:rPr>
          <w:rFonts w:ascii="Arial" w:hAnsi="Arial" w:cs="Arial"/>
          <w:sz w:val="22"/>
          <w:szCs w:val="22"/>
          <w:lang w:val="fr-FR"/>
        </w:rPr>
        <w:t xml:space="preserve"> les principales positions des États membr</w:t>
      </w:r>
      <w:r w:rsidR="00A76B86" w:rsidRPr="00AB6AA8">
        <w:rPr>
          <w:rFonts w:ascii="Arial" w:hAnsi="Arial" w:cs="Arial"/>
          <w:sz w:val="22"/>
          <w:szCs w:val="22"/>
          <w:lang w:val="fr-FR"/>
        </w:rPr>
        <w:t>es</w:t>
      </w:r>
      <w:r w:rsidR="00A76B86">
        <w:rPr>
          <w:rFonts w:ascii="Arial" w:hAnsi="Arial" w:cs="Arial"/>
          <w:sz w:val="22"/>
          <w:szCs w:val="22"/>
          <w:lang w:val="fr-FR"/>
        </w:rPr>
        <w:t xml:space="preserve">.  </w:t>
      </w:r>
      <w:r w:rsidR="00A76B86" w:rsidRPr="00AB6AA8">
        <w:rPr>
          <w:rFonts w:ascii="Arial" w:hAnsi="Arial" w:cs="Arial"/>
          <w:sz w:val="22"/>
          <w:szCs w:val="22"/>
          <w:lang w:val="fr-FR"/>
        </w:rPr>
        <w:t>Je</w:t>
      </w:r>
      <w:r w:rsidR="00F33529" w:rsidRPr="00AB6AA8">
        <w:rPr>
          <w:rFonts w:ascii="Arial" w:hAnsi="Arial" w:cs="Arial"/>
          <w:sz w:val="22"/>
          <w:szCs w:val="22"/>
          <w:lang w:val="fr-FR"/>
        </w:rPr>
        <w:t xml:space="preserve"> me suis également appuyé sur les documents suivants</w:t>
      </w:r>
      <w:r w:rsidR="00CC28C9">
        <w:rPr>
          <w:rFonts w:ascii="Arial" w:hAnsi="Arial" w:cs="Arial"/>
          <w:sz w:val="22"/>
          <w:szCs w:val="22"/>
          <w:lang w:val="fr-FR"/>
        </w:rPr>
        <w:t> :</w:t>
      </w:r>
    </w:p>
    <w:p w:rsidR="00F33529" w:rsidRPr="00AB6AA8" w:rsidRDefault="00F33529" w:rsidP="00602F2E">
      <w:pPr>
        <w:rPr>
          <w:rFonts w:ascii="Arial" w:hAnsi="Arial" w:cs="Arial"/>
          <w:sz w:val="22"/>
          <w:szCs w:val="22"/>
          <w:lang w:val="fr-FR"/>
        </w:rPr>
      </w:pPr>
    </w:p>
    <w:p w:rsidR="00F33529" w:rsidRPr="00AB6AA8" w:rsidRDefault="00EF6121" w:rsidP="00DB14C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>WIPO/GRTKF/IC/35/5 (</w:t>
      </w:r>
      <w:r w:rsidR="00F33529" w:rsidRPr="00AB6AA8">
        <w:rPr>
          <w:rFonts w:ascii="Arial" w:hAnsi="Arial" w:cs="Arial"/>
          <w:sz w:val="22"/>
          <w:szCs w:val="22"/>
          <w:lang w:val="fr-FR"/>
        </w:rPr>
        <w:t>Rapport sur la compilation de données relatives aux bases de données sur les ressources génétiques et les savoirs traditionnels qui y sont associés</w:t>
      </w:r>
      <w:r w:rsidRPr="00AB6AA8">
        <w:rPr>
          <w:rFonts w:ascii="Arial" w:hAnsi="Arial" w:cs="Arial"/>
          <w:sz w:val="22"/>
          <w:szCs w:val="22"/>
          <w:lang w:val="fr-FR"/>
        </w:rPr>
        <w:t>);</w:t>
      </w:r>
    </w:p>
    <w:p w:rsidR="00F33529" w:rsidRPr="00AB6AA8" w:rsidRDefault="00EF6121" w:rsidP="00DB14C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>WIPO/GRTKF/IC/35/6 (</w:t>
      </w:r>
      <w:r w:rsidR="00F33529" w:rsidRPr="00AB6AA8">
        <w:rPr>
          <w:rFonts w:ascii="Arial" w:hAnsi="Arial" w:cs="Arial"/>
          <w:sz w:val="22"/>
          <w:szCs w:val="22"/>
          <w:lang w:val="fr-FR"/>
        </w:rPr>
        <w:t>Rapport sur la compilation de données relatives aux régimes de divulgation concernant les ressources génétiques et les savoirs traditionnels qui y sont associés</w:t>
      </w:r>
      <w:r w:rsidRPr="00AB6AA8">
        <w:rPr>
          <w:rFonts w:ascii="Arial" w:hAnsi="Arial" w:cs="Arial"/>
          <w:sz w:val="22"/>
          <w:szCs w:val="22"/>
          <w:lang w:val="fr-FR"/>
        </w:rPr>
        <w:t>);</w:t>
      </w:r>
    </w:p>
    <w:p w:rsidR="00F33529" w:rsidRPr="00AB6AA8" w:rsidRDefault="00DB14CD" w:rsidP="00DB14C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>WIPO/G</w:t>
      </w:r>
      <w:r w:rsidR="00D8096E" w:rsidRPr="00AB6AA8">
        <w:rPr>
          <w:rFonts w:ascii="Arial" w:hAnsi="Arial" w:cs="Arial"/>
          <w:sz w:val="22"/>
          <w:szCs w:val="22"/>
          <w:lang w:val="fr-FR"/>
        </w:rPr>
        <w:t>RTKF/IC/35/7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(</w:t>
      </w:r>
      <w:r w:rsidR="00F33529" w:rsidRPr="00AB6AA8">
        <w:rPr>
          <w:rFonts w:ascii="Arial" w:hAnsi="Arial" w:cs="Arial"/>
          <w:sz w:val="22"/>
          <w:szCs w:val="22"/>
          <w:lang w:val="fr-FR"/>
        </w:rPr>
        <w:t>Recommandation commune concernant les ressources génétiques et les savoirs traditionnels qui y sont associés</w:t>
      </w:r>
      <w:r w:rsidRPr="00AB6AA8">
        <w:rPr>
          <w:rFonts w:ascii="Arial" w:hAnsi="Arial" w:cs="Arial"/>
          <w:sz w:val="22"/>
          <w:szCs w:val="22"/>
          <w:lang w:val="fr-FR"/>
        </w:rPr>
        <w:t>)</w:t>
      </w:r>
      <w:r w:rsidR="00555188" w:rsidRPr="00AB6AA8">
        <w:rPr>
          <w:rFonts w:ascii="Arial" w:hAnsi="Arial" w:cs="Arial"/>
          <w:sz w:val="22"/>
          <w:szCs w:val="22"/>
          <w:lang w:val="fr-FR"/>
        </w:rPr>
        <w:t>;</w:t>
      </w:r>
    </w:p>
    <w:p w:rsidR="00F33529" w:rsidRPr="00AB6AA8" w:rsidRDefault="00D8096E" w:rsidP="00F3352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>WIPO/GRTKF/IC/35/8</w:t>
      </w:r>
      <w:r w:rsidR="00555188" w:rsidRPr="00AB6AA8">
        <w:rPr>
          <w:rFonts w:ascii="Arial" w:hAnsi="Arial" w:cs="Arial"/>
          <w:sz w:val="22"/>
          <w:szCs w:val="22"/>
          <w:lang w:val="fr-FR"/>
        </w:rPr>
        <w:t xml:space="preserve"> (</w:t>
      </w:r>
      <w:r w:rsidR="00F33529" w:rsidRPr="00AB6AA8">
        <w:rPr>
          <w:rFonts w:ascii="Arial" w:hAnsi="Arial" w:cs="Arial"/>
          <w:sz w:val="22"/>
          <w:szCs w:val="22"/>
          <w:lang w:val="fr-FR"/>
        </w:rPr>
        <w:t>Recommandation commune concernant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F33529" w:rsidRPr="00AB6AA8">
        <w:rPr>
          <w:rFonts w:ascii="Arial" w:hAnsi="Arial" w:cs="Arial"/>
          <w:sz w:val="22"/>
          <w:szCs w:val="22"/>
          <w:lang w:val="fr-FR"/>
        </w:rPr>
        <w:t>utilisation de bases de données pour la protection défensive des ressources génétiques et des savoirs traditionnels qui y sont associés</w:t>
      </w:r>
      <w:r w:rsidR="006866EE" w:rsidRPr="00AB6AA8">
        <w:rPr>
          <w:rFonts w:ascii="Arial" w:hAnsi="Arial" w:cs="Arial"/>
          <w:sz w:val="22"/>
          <w:szCs w:val="22"/>
          <w:lang w:val="fr-FR"/>
        </w:rPr>
        <w:t>;</w:t>
      </w:r>
    </w:p>
    <w:p w:rsidR="00F33529" w:rsidRPr="00AB6AA8" w:rsidRDefault="00DB14CD" w:rsidP="00F3352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lastRenderedPageBreak/>
        <w:t>WIP</w:t>
      </w:r>
      <w:r w:rsidR="00D8096E" w:rsidRPr="00AB6AA8">
        <w:rPr>
          <w:rFonts w:ascii="Arial" w:hAnsi="Arial" w:cs="Arial"/>
          <w:sz w:val="22"/>
          <w:szCs w:val="22"/>
          <w:lang w:val="fr-FR"/>
        </w:rPr>
        <w:t>O/GRTKF/IC/35/9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</w:t>
      </w:r>
      <w:r w:rsidR="00555188" w:rsidRPr="00AB6AA8">
        <w:rPr>
          <w:rFonts w:ascii="Arial" w:hAnsi="Arial" w:cs="Arial"/>
          <w:sz w:val="22"/>
          <w:szCs w:val="22"/>
          <w:lang w:val="fr-FR"/>
        </w:rPr>
        <w:t>(</w:t>
      </w:r>
      <w:r w:rsidR="00F33529" w:rsidRPr="00AB6AA8">
        <w:rPr>
          <w:rFonts w:ascii="Arial" w:hAnsi="Arial" w:cs="Arial"/>
          <w:sz w:val="22"/>
          <w:szCs w:val="22"/>
          <w:lang w:val="fr-FR"/>
        </w:rPr>
        <w:t>Proposition de mandat pour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F33529" w:rsidRPr="00AB6AA8">
        <w:rPr>
          <w:rFonts w:ascii="Arial" w:hAnsi="Arial" w:cs="Arial"/>
          <w:sz w:val="22"/>
          <w:szCs w:val="22"/>
          <w:lang w:val="fr-FR"/>
        </w:rPr>
        <w:t>étude du Secrétariat de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F33529" w:rsidRPr="00AB6AA8">
        <w:rPr>
          <w:rFonts w:ascii="Arial" w:hAnsi="Arial" w:cs="Arial"/>
          <w:sz w:val="22"/>
          <w:szCs w:val="22"/>
          <w:lang w:val="fr-FR"/>
        </w:rPr>
        <w:t>OMPI sur les mesures visant à éviter la délivrance de brevets indus et sur le respect des systèmes existants d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F33529" w:rsidRPr="00AB6AA8">
        <w:rPr>
          <w:rFonts w:ascii="Arial" w:hAnsi="Arial" w:cs="Arial"/>
          <w:sz w:val="22"/>
          <w:szCs w:val="22"/>
          <w:lang w:val="fr-FR"/>
        </w:rPr>
        <w:t>accès et de partage des avantages</w:t>
      </w:r>
      <w:r w:rsidR="00555188" w:rsidRPr="00AB6AA8">
        <w:rPr>
          <w:rFonts w:ascii="Arial" w:hAnsi="Arial" w:cs="Arial"/>
          <w:sz w:val="22"/>
          <w:szCs w:val="22"/>
          <w:lang w:val="fr-FR"/>
        </w:rPr>
        <w:t>)</w:t>
      </w:r>
      <w:r w:rsidR="00F33529" w:rsidRPr="00AB6AA8">
        <w:rPr>
          <w:rFonts w:ascii="Arial" w:hAnsi="Arial" w:cs="Arial"/>
          <w:sz w:val="22"/>
          <w:szCs w:val="22"/>
          <w:lang w:val="fr-FR"/>
        </w:rPr>
        <w:t>;</w:t>
      </w:r>
    </w:p>
    <w:p w:rsidR="00F33529" w:rsidRPr="00AB6AA8" w:rsidRDefault="00DB14CD" w:rsidP="00DB14C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>WIPO/GRTKF/IC/8/11</w:t>
      </w:r>
      <w:r w:rsidR="00555188" w:rsidRPr="00AB6AA8">
        <w:rPr>
          <w:rFonts w:ascii="Arial" w:hAnsi="Arial" w:cs="Arial"/>
          <w:sz w:val="22"/>
          <w:szCs w:val="22"/>
          <w:lang w:val="fr-FR"/>
        </w:rPr>
        <w:t xml:space="preserve"> (</w:t>
      </w:r>
      <w:r w:rsidR="00D30A64" w:rsidRPr="00AB6AA8">
        <w:rPr>
          <w:rFonts w:ascii="Arial" w:hAnsi="Arial" w:cs="Arial"/>
          <w:sz w:val="22"/>
          <w:szCs w:val="22"/>
          <w:lang w:val="fr-FR"/>
        </w:rPr>
        <w:t>Divulgation de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D30A64" w:rsidRPr="00AB6AA8">
        <w:rPr>
          <w:rFonts w:ascii="Arial" w:hAnsi="Arial" w:cs="Arial"/>
          <w:sz w:val="22"/>
          <w:szCs w:val="22"/>
          <w:lang w:val="fr-FR"/>
        </w:rPr>
        <w:t>origine ou de la source des ressources génétiques et des savoirs traditionnels connexes dans les demandes de brevet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(</w:t>
      </w:r>
      <w:r w:rsidR="00D30A64" w:rsidRPr="00AB6AA8">
        <w:rPr>
          <w:rFonts w:ascii="Arial" w:hAnsi="Arial" w:cs="Arial"/>
          <w:sz w:val="22"/>
          <w:szCs w:val="22"/>
          <w:lang w:val="fr-FR"/>
        </w:rPr>
        <w:t>proposition de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D30A64" w:rsidRPr="00AB6AA8">
        <w:rPr>
          <w:rFonts w:ascii="Arial" w:hAnsi="Arial" w:cs="Arial"/>
          <w:sz w:val="22"/>
          <w:szCs w:val="22"/>
          <w:lang w:val="fr-FR"/>
        </w:rPr>
        <w:t>Union européenne</w:t>
      </w:r>
      <w:r w:rsidRPr="00AB6AA8">
        <w:rPr>
          <w:rFonts w:ascii="Arial" w:hAnsi="Arial" w:cs="Arial"/>
          <w:sz w:val="22"/>
          <w:szCs w:val="22"/>
          <w:lang w:val="fr-FR"/>
        </w:rPr>
        <w:t>)</w:t>
      </w:r>
      <w:r w:rsidR="00D30A64" w:rsidRPr="00AB6AA8">
        <w:rPr>
          <w:rFonts w:ascii="Arial" w:hAnsi="Arial" w:cs="Arial"/>
          <w:sz w:val="22"/>
          <w:szCs w:val="22"/>
          <w:lang w:val="fr-FR"/>
        </w:rPr>
        <w:t>);</w:t>
      </w:r>
    </w:p>
    <w:p w:rsidR="00F33529" w:rsidRPr="00AB6AA8" w:rsidRDefault="00555188" w:rsidP="0055518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>WIPO/GRTKF/IC/11/10 (</w:t>
      </w:r>
      <w:r w:rsidR="00D30A64" w:rsidRPr="00AB6AA8">
        <w:rPr>
          <w:rFonts w:ascii="Arial" w:hAnsi="Arial" w:cs="Arial"/>
          <w:sz w:val="22"/>
          <w:szCs w:val="22"/>
          <w:lang w:val="fr-FR"/>
        </w:rPr>
        <w:t>Déclaration de la source des ressources génétiques et des savoirs traditionnels dans les demandes de brevet</w:t>
      </w:r>
      <w:r w:rsidR="00CC28C9">
        <w:rPr>
          <w:rFonts w:ascii="Arial" w:hAnsi="Arial" w:cs="Arial"/>
          <w:sz w:val="22"/>
          <w:szCs w:val="22"/>
          <w:lang w:val="fr-FR"/>
        </w:rPr>
        <w:t> :</w:t>
      </w:r>
      <w:r w:rsidR="00D30A64" w:rsidRPr="00AB6AA8">
        <w:rPr>
          <w:rFonts w:ascii="Arial" w:hAnsi="Arial" w:cs="Arial"/>
          <w:sz w:val="22"/>
          <w:szCs w:val="22"/>
          <w:lang w:val="fr-FR"/>
        </w:rPr>
        <w:t xml:space="preserve"> propositions de la Suisse</w:t>
      </w:r>
      <w:r w:rsidRPr="00AB6AA8">
        <w:rPr>
          <w:rFonts w:ascii="Arial" w:hAnsi="Arial" w:cs="Arial"/>
          <w:sz w:val="22"/>
          <w:szCs w:val="22"/>
          <w:lang w:val="fr-FR"/>
        </w:rPr>
        <w:t>)</w:t>
      </w:r>
      <w:r w:rsidR="00F327AB" w:rsidRPr="00AB6AA8">
        <w:rPr>
          <w:rFonts w:ascii="Arial" w:hAnsi="Arial" w:cs="Arial"/>
          <w:sz w:val="22"/>
          <w:szCs w:val="22"/>
          <w:lang w:val="fr-FR"/>
        </w:rPr>
        <w:t>;  et</w:t>
      </w:r>
    </w:p>
    <w:p w:rsidR="00F33529" w:rsidRPr="00AB6AA8" w:rsidRDefault="00555188" w:rsidP="0055518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>WIPO/GRTKF/IC/19/11 (</w:t>
      </w:r>
      <w:r w:rsidRPr="00AB6AA8">
        <w:rPr>
          <w:rFonts w:ascii="Arial" w:hAnsi="Arial" w:cs="Arial"/>
          <w:sz w:val="22"/>
          <w:szCs w:val="22"/>
        </w:rPr>
        <w:t>Like</w:t>
      </w:r>
      <w:r w:rsidR="006E1E1D">
        <w:rPr>
          <w:rFonts w:ascii="Arial" w:hAnsi="Arial" w:cs="Arial"/>
          <w:sz w:val="22"/>
          <w:szCs w:val="22"/>
        </w:rPr>
        <w:noBreakHyphen/>
      </w:r>
      <w:r w:rsidRPr="00AB6AA8">
        <w:rPr>
          <w:rFonts w:ascii="Arial" w:hAnsi="Arial" w:cs="Arial"/>
          <w:sz w:val="22"/>
          <w:szCs w:val="22"/>
        </w:rPr>
        <w:t xml:space="preserve">Minded Countries Contribution to the Objectives and Principles on the Protection of Genetic Resources and Preliminary Draft </w:t>
      </w:r>
      <w:r w:rsidRPr="00AB6AA8">
        <w:rPr>
          <w:rFonts w:ascii="Arial" w:hAnsi="Arial" w:cs="Arial"/>
          <w:sz w:val="22"/>
          <w:szCs w:val="22"/>
        </w:rPr>
        <w:t>Articles</w:t>
      </w:r>
      <w:r w:rsidRPr="00AB6AA8">
        <w:rPr>
          <w:rFonts w:ascii="Arial" w:hAnsi="Arial" w:cs="Arial"/>
          <w:sz w:val="22"/>
          <w:szCs w:val="22"/>
        </w:rPr>
        <w:t xml:space="preserve"> on the Protection of Genetic Resources</w:t>
      </w:r>
      <w:r w:rsidRPr="00AB6AA8">
        <w:rPr>
          <w:rFonts w:ascii="Arial" w:hAnsi="Arial" w:cs="Arial"/>
          <w:sz w:val="22"/>
          <w:szCs w:val="22"/>
          <w:lang w:val="fr-FR"/>
        </w:rPr>
        <w:t>)</w:t>
      </w:r>
      <w:r w:rsidR="00D30A64" w:rsidRPr="00AB6AA8">
        <w:rPr>
          <w:rFonts w:ascii="Arial" w:hAnsi="Arial" w:cs="Arial"/>
          <w:sz w:val="22"/>
          <w:szCs w:val="22"/>
          <w:lang w:val="fr-FR"/>
        </w:rPr>
        <w:t xml:space="preserve"> (en anglais seulement)</w:t>
      </w:r>
      <w:r w:rsidRPr="00AB6AA8">
        <w:rPr>
          <w:rFonts w:ascii="Arial" w:hAnsi="Arial" w:cs="Arial"/>
          <w:sz w:val="22"/>
          <w:szCs w:val="22"/>
          <w:lang w:val="fr-FR"/>
        </w:rPr>
        <w:t>.</w:t>
      </w:r>
    </w:p>
    <w:p w:rsidR="00F33529" w:rsidRPr="00AB6AA8" w:rsidRDefault="00F33529" w:rsidP="00A743D5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:rsidR="00F33529" w:rsidRPr="00AB6AA8" w:rsidRDefault="00F327AB" w:rsidP="00602F2E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AB6AA8">
        <w:rPr>
          <w:rFonts w:ascii="Arial" w:hAnsi="Arial" w:cs="Arial"/>
          <w:b/>
          <w:sz w:val="22"/>
          <w:szCs w:val="22"/>
          <w:u w:val="single"/>
          <w:lang w:val="fr-FR"/>
        </w:rPr>
        <w:t>Présentation du document de synthèse</w:t>
      </w:r>
    </w:p>
    <w:p w:rsidR="00F33529" w:rsidRPr="00AB6AA8" w:rsidRDefault="00F33529" w:rsidP="00602F2E">
      <w:pPr>
        <w:rPr>
          <w:rFonts w:ascii="Arial" w:hAnsi="Arial" w:cs="Arial"/>
          <w:sz w:val="22"/>
          <w:szCs w:val="22"/>
          <w:lang w:val="fr-FR"/>
        </w:rPr>
      </w:pPr>
    </w:p>
    <w:p w:rsidR="00BB77E3" w:rsidRPr="00AB6AA8" w:rsidRDefault="00F327AB" w:rsidP="00602F2E">
      <w:p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>Le document de synthèse</w:t>
      </w:r>
      <w:r w:rsidR="00B91D82" w:rsidRPr="00AB6AA8">
        <w:rPr>
          <w:rFonts w:ascii="Arial" w:hAnsi="Arial" w:cs="Arial"/>
          <w:sz w:val="22"/>
          <w:szCs w:val="22"/>
          <w:lang w:val="fr-FR"/>
        </w:rPr>
        <w:t xml:space="preserve"> </w:t>
      </w:r>
      <w:r w:rsidR="00787DC9" w:rsidRPr="00AB6AA8">
        <w:rPr>
          <w:rFonts w:ascii="Arial" w:hAnsi="Arial" w:cs="Arial"/>
          <w:sz w:val="22"/>
          <w:szCs w:val="22"/>
          <w:lang w:val="fr-FR"/>
        </w:rPr>
        <w:t>(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document </w:t>
      </w:r>
      <w:r w:rsidR="00787DC9" w:rsidRPr="00AB6AA8">
        <w:rPr>
          <w:rFonts w:ascii="Arial" w:hAnsi="Arial" w:cs="Arial"/>
          <w:sz w:val="22"/>
          <w:szCs w:val="22"/>
          <w:lang w:val="fr-FR"/>
        </w:rPr>
        <w:t xml:space="preserve">WIPO/GRTKF/IC/35/4) </w:t>
      </w:r>
      <w:r w:rsidRPr="00AB6AA8">
        <w:rPr>
          <w:rFonts w:ascii="Arial" w:hAnsi="Arial" w:cs="Arial"/>
          <w:sz w:val="22"/>
          <w:szCs w:val="22"/>
          <w:lang w:val="fr-FR"/>
        </w:rPr>
        <w:t>énonce les objectifs de politique générale de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instrume</w:t>
      </w:r>
      <w:r w:rsidR="00A76B86" w:rsidRPr="00AB6AA8">
        <w:rPr>
          <w:rFonts w:ascii="Arial" w:hAnsi="Arial" w:cs="Arial"/>
          <w:sz w:val="22"/>
          <w:szCs w:val="22"/>
          <w:lang w:val="fr-FR"/>
        </w:rPr>
        <w:t>nt</w:t>
      </w:r>
      <w:r w:rsidR="00A76B86">
        <w:rPr>
          <w:rFonts w:ascii="Arial" w:hAnsi="Arial" w:cs="Arial"/>
          <w:sz w:val="22"/>
          <w:szCs w:val="22"/>
          <w:lang w:val="fr-FR"/>
        </w:rPr>
        <w:t xml:space="preserve">.  </w:t>
      </w:r>
      <w:r w:rsidR="00A76B86" w:rsidRPr="00AB6AA8">
        <w:rPr>
          <w:rFonts w:ascii="Arial" w:hAnsi="Arial" w:cs="Arial"/>
          <w:sz w:val="22"/>
          <w:szCs w:val="22"/>
          <w:lang w:val="fr-FR"/>
        </w:rPr>
        <w:t xml:space="preserve">À 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noter </w:t>
      </w:r>
      <w:r w:rsidR="0030791C" w:rsidRPr="00AB6AA8">
        <w:rPr>
          <w:rFonts w:ascii="Arial" w:hAnsi="Arial" w:cs="Arial"/>
          <w:sz w:val="22"/>
          <w:szCs w:val="22"/>
          <w:lang w:val="fr-FR"/>
        </w:rPr>
        <w:t>que trois</w:t>
      </w:r>
      <w:r w:rsidR="00BC5F10" w:rsidRPr="00AB6AA8">
        <w:rPr>
          <w:rFonts w:ascii="Arial" w:hAnsi="Arial" w:cs="Arial"/>
          <w:sz w:val="22"/>
          <w:szCs w:val="22"/>
          <w:lang w:val="fr-FR"/>
        </w:rPr>
        <w:t> </w:t>
      </w:r>
      <w:r w:rsidR="00E26EC8" w:rsidRPr="00AB6AA8">
        <w:rPr>
          <w:rFonts w:ascii="Arial" w:hAnsi="Arial" w:cs="Arial"/>
          <w:sz w:val="22"/>
          <w:szCs w:val="22"/>
          <w:lang w:val="fr-FR"/>
        </w:rPr>
        <w:t>variantes</w:t>
      </w:r>
      <w:r w:rsidR="0030791C" w:rsidRPr="00AB6AA8">
        <w:rPr>
          <w:rFonts w:ascii="Arial" w:hAnsi="Arial" w:cs="Arial"/>
          <w:sz w:val="22"/>
          <w:szCs w:val="22"/>
          <w:lang w:val="fr-FR"/>
        </w:rPr>
        <w:t xml:space="preserve"> sont proposées et qu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30791C" w:rsidRPr="00AB6AA8">
        <w:rPr>
          <w:rFonts w:ascii="Arial" w:hAnsi="Arial" w:cs="Arial"/>
          <w:sz w:val="22"/>
          <w:szCs w:val="22"/>
          <w:lang w:val="fr-FR"/>
        </w:rPr>
        <w:t>aucune d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30791C" w:rsidRPr="00AB6AA8">
        <w:rPr>
          <w:rFonts w:ascii="Arial" w:hAnsi="Arial" w:cs="Arial"/>
          <w:sz w:val="22"/>
          <w:szCs w:val="22"/>
          <w:lang w:val="fr-FR"/>
        </w:rPr>
        <w:t>elles n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30791C" w:rsidRPr="00AB6AA8">
        <w:rPr>
          <w:rFonts w:ascii="Arial" w:hAnsi="Arial" w:cs="Arial"/>
          <w:sz w:val="22"/>
          <w:szCs w:val="22"/>
          <w:lang w:val="fr-FR"/>
        </w:rPr>
        <w:t>a encore été approuv</w:t>
      </w:r>
      <w:r w:rsidR="00A76B86" w:rsidRPr="00AB6AA8">
        <w:rPr>
          <w:rFonts w:ascii="Arial" w:hAnsi="Arial" w:cs="Arial"/>
          <w:sz w:val="22"/>
          <w:szCs w:val="22"/>
          <w:lang w:val="fr-FR"/>
        </w:rPr>
        <w:t>ée</w:t>
      </w:r>
      <w:r w:rsidR="00A76B86">
        <w:rPr>
          <w:rFonts w:ascii="Arial" w:hAnsi="Arial" w:cs="Arial"/>
          <w:sz w:val="22"/>
          <w:szCs w:val="22"/>
          <w:lang w:val="fr-FR"/>
        </w:rPr>
        <w:t xml:space="preserve">.  </w:t>
      </w:r>
      <w:r w:rsidR="00A76B86" w:rsidRPr="00AB6AA8">
        <w:rPr>
          <w:rFonts w:ascii="Arial" w:hAnsi="Arial" w:cs="Arial"/>
          <w:sz w:val="22"/>
          <w:szCs w:val="22"/>
          <w:lang w:val="fr-FR"/>
        </w:rPr>
        <w:t>Le</w:t>
      </w:r>
      <w:r w:rsidR="0030791C" w:rsidRPr="00AB6AA8">
        <w:rPr>
          <w:rFonts w:ascii="Arial" w:hAnsi="Arial" w:cs="Arial"/>
          <w:sz w:val="22"/>
          <w:szCs w:val="22"/>
          <w:lang w:val="fr-FR"/>
        </w:rPr>
        <w:t>s principaux éléments de politique générale qui ressortent de ces différentes positions sont</w:t>
      </w:r>
      <w:r w:rsidR="00CC28C9">
        <w:rPr>
          <w:rFonts w:ascii="Arial" w:hAnsi="Arial" w:cs="Arial"/>
          <w:sz w:val="22"/>
          <w:szCs w:val="22"/>
          <w:lang w:val="fr-FR"/>
        </w:rPr>
        <w:t> :</w:t>
      </w:r>
    </w:p>
    <w:p w:rsidR="00F33529" w:rsidRPr="00AB6AA8" w:rsidRDefault="00F33529" w:rsidP="00602F2E">
      <w:pPr>
        <w:rPr>
          <w:rFonts w:ascii="Arial" w:hAnsi="Arial" w:cs="Arial"/>
          <w:sz w:val="22"/>
          <w:szCs w:val="22"/>
          <w:lang w:val="fr-FR"/>
        </w:rPr>
      </w:pPr>
    </w:p>
    <w:p w:rsidR="00BB77E3" w:rsidRPr="00AB6AA8" w:rsidRDefault="0030791C" w:rsidP="0030791C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  <w:lang w:val="fr-FR"/>
        </w:rPr>
      </w:pPr>
      <w:r w:rsidRPr="00AB6AA8">
        <w:rPr>
          <w:rFonts w:ascii="Arial" w:hAnsi="Arial" w:cs="Arial"/>
          <w:i/>
          <w:sz w:val="22"/>
          <w:szCs w:val="22"/>
          <w:lang w:val="fr-FR"/>
        </w:rPr>
        <w:t>améliorer la transparence du système des [droits de propriété intellectuelle] [brevets] relatif aux ressources génétiques et aux savoirs traditionnels associés à des ressources génétiques;</w:t>
      </w:r>
    </w:p>
    <w:p w:rsidR="00F33529" w:rsidRPr="00AB6AA8" w:rsidRDefault="0030791C" w:rsidP="0030791C">
      <w:pPr>
        <w:numPr>
          <w:ilvl w:val="0"/>
          <w:numId w:val="1"/>
        </w:numPr>
        <w:rPr>
          <w:i/>
          <w:sz w:val="22"/>
          <w:szCs w:val="22"/>
          <w:lang w:val="fr-FR"/>
        </w:rPr>
      </w:pPr>
      <w:r w:rsidRPr="00AB6AA8">
        <w:rPr>
          <w:rFonts w:ascii="Arial" w:hAnsi="Arial" w:cs="Arial"/>
          <w:i/>
          <w:sz w:val="22"/>
          <w:szCs w:val="22"/>
          <w:lang w:val="fr-FR"/>
        </w:rPr>
        <w:t>faciliter le soutien mutuel entre les accords internationaux relatifs aux ressources génétiques et aux savoirs traditionnels associés à des ressources génétiques;</w:t>
      </w:r>
    </w:p>
    <w:p w:rsidR="00F33529" w:rsidRPr="00AB6AA8" w:rsidRDefault="0030791C" w:rsidP="0030791C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  <w:lang w:val="fr-FR"/>
        </w:rPr>
      </w:pPr>
      <w:r w:rsidRPr="00AB6AA8">
        <w:rPr>
          <w:rFonts w:ascii="Arial" w:hAnsi="Arial" w:cs="Arial"/>
          <w:i/>
          <w:sz w:val="22"/>
          <w:szCs w:val="22"/>
          <w:lang w:val="fr-FR"/>
        </w:rPr>
        <w:t>faciliter l</w:t>
      </w:r>
      <w:r w:rsidR="00CC28C9">
        <w:rPr>
          <w:rFonts w:ascii="Arial" w:hAnsi="Arial" w:cs="Arial"/>
          <w:i/>
          <w:sz w:val="22"/>
          <w:szCs w:val="22"/>
          <w:lang w:val="fr-FR"/>
        </w:rPr>
        <w:t>’</w:t>
      </w:r>
      <w:r w:rsidRPr="00AB6AA8">
        <w:rPr>
          <w:rFonts w:ascii="Arial" w:hAnsi="Arial" w:cs="Arial"/>
          <w:i/>
          <w:sz w:val="22"/>
          <w:szCs w:val="22"/>
          <w:lang w:val="fr-FR"/>
        </w:rPr>
        <w:t>existence de systèmes d</w:t>
      </w:r>
      <w:r w:rsidR="00CC28C9">
        <w:rPr>
          <w:rFonts w:ascii="Arial" w:hAnsi="Arial" w:cs="Arial"/>
          <w:i/>
          <w:sz w:val="22"/>
          <w:szCs w:val="22"/>
          <w:lang w:val="fr-FR"/>
        </w:rPr>
        <w:t>’</w:t>
      </w:r>
      <w:r w:rsidRPr="00AB6AA8">
        <w:rPr>
          <w:rFonts w:ascii="Arial" w:hAnsi="Arial" w:cs="Arial"/>
          <w:i/>
          <w:sz w:val="22"/>
          <w:szCs w:val="22"/>
          <w:lang w:val="fr-FR"/>
        </w:rPr>
        <w:t>accès et de partage des avantages en divulguant le pays d</w:t>
      </w:r>
      <w:r w:rsidR="00CC28C9">
        <w:rPr>
          <w:rFonts w:ascii="Arial" w:hAnsi="Arial" w:cs="Arial"/>
          <w:i/>
          <w:sz w:val="22"/>
          <w:szCs w:val="22"/>
          <w:lang w:val="fr-FR"/>
        </w:rPr>
        <w:t>’</w:t>
      </w:r>
      <w:r w:rsidRPr="00AB6AA8">
        <w:rPr>
          <w:rFonts w:ascii="Arial" w:hAnsi="Arial" w:cs="Arial"/>
          <w:i/>
          <w:sz w:val="22"/>
          <w:szCs w:val="22"/>
          <w:lang w:val="fr-FR"/>
        </w:rPr>
        <w:t>origine ou la source des ressources génétiques dans des systèmes distincts tels que la CDB;</w:t>
      </w:r>
      <w:r w:rsidR="00C307CC" w:rsidRPr="00AB6AA8">
        <w:rPr>
          <w:rFonts w:ascii="Arial" w:hAnsi="Arial" w:cs="Arial"/>
          <w:i/>
          <w:sz w:val="22"/>
          <w:szCs w:val="22"/>
          <w:lang w:val="fr-FR"/>
        </w:rPr>
        <w:t xml:space="preserve">  et</w:t>
      </w:r>
    </w:p>
    <w:p w:rsidR="00F33529" w:rsidRPr="00AB6AA8" w:rsidRDefault="0030791C" w:rsidP="0030791C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  <w:lang w:val="fr-FR"/>
        </w:rPr>
      </w:pPr>
      <w:r w:rsidRPr="00AB6AA8">
        <w:rPr>
          <w:rFonts w:ascii="Arial" w:hAnsi="Arial" w:cs="Arial"/>
          <w:i/>
          <w:sz w:val="22"/>
          <w:szCs w:val="22"/>
          <w:lang w:val="fr-FR"/>
        </w:rPr>
        <w:t>veiller à ce que les offices de propriété intellectuelle/de brevets aient accès à l</w:t>
      </w:r>
      <w:r w:rsidR="00CC28C9">
        <w:rPr>
          <w:rFonts w:ascii="Arial" w:hAnsi="Arial" w:cs="Arial"/>
          <w:i/>
          <w:sz w:val="22"/>
          <w:szCs w:val="22"/>
          <w:lang w:val="fr-FR"/>
        </w:rPr>
        <w:t>’</w:t>
      </w:r>
      <w:r w:rsidRPr="00AB6AA8">
        <w:rPr>
          <w:rFonts w:ascii="Arial" w:hAnsi="Arial" w:cs="Arial"/>
          <w:i/>
          <w:sz w:val="22"/>
          <w:szCs w:val="22"/>
          <w:lang w:val="fr-FR"/>
        </w:rPr>
        <w:t>information appropriée sur les ressources génétiques et les savoirs traditionnels associés à des ressources génétiques, afin d</w:t>
      </w:r>
      <w:r w:rsidR="00CC28C9">
        <w:rPr>
          <w:rFonts w:ascii="Arial" w:hAnsi="Arial" w:cs="Arial"/>
          <w:i/>
          <w:sz w:val="22"/>
          <w:szCs w:val="22"/>
          <w:lang w:val="fr-FR"/>
        </w:rPr>
        <w:t>’</w:t>
      </w:r>
      <w:r w:rsidRPr="00AB6AA8">
        <w:rPr>
          <w:rFonts w:ascii="Arial" w:hAnsi="Arial" w:cs="Arial"/>
          <w:i/>
          <w:sz w:val="22"/>
          <w:szCs w:val="22"/>
          <w:lang w:val="fr-FR"/>
        </w:rPr>
        <w:t>éviter l</w:t>
      </w:r>
      <w:r w:rsidR="00CC28C9">
        <w:rPr>
          <w:rFonts w:ascii="Arial" w:hAnsi="Arial" w:cs="Arial"/>
          <w:i/>
          <w:sz w:val="22"/>
          <w:szCs w:val="22"/>
          <w:lang w:val="fr-FR"/>
        </w:rPr>
        <w:t>’</w:t>
      </w:r>
      <w:r w:rsidRPr="00AB6AA8">
        <w:rPr>
          <w:rFonts w:ascii="Arial" w:hAnsi="Arial" w:cs="Arial"/>
          <w:i/>
          <w:sz w:val="22"/>
          <w:szCs w:val="22"/>
          <w:lang w:val="fr-FR"/>
        </w:rPr>
        <w:t>octroi de droits indus de propriété intellectuelle/de brevets</w:t>
      </w:r>
      <w:r w:rsidR="00B91D82" w:rsidRPr="00AB6AA8">
        <w:rPr>
          <w:rFonts w:ascii="Arial" w:hAnsi="Arial" w:cs="Arial"/>
          <w:i/>
          <w:sz w:val="22"/>
          <w:szCs w:val="22"/>
          <w:lang w:val="fr-FR"/>
        </w:rPr>
        <w:t>.</w:t>
      </w:r>
    </w:p>
    <w:p w:rsidR="00F33529" w:rsidRPr="00AB6AA8" w:rsidRDefault="00F33529" w:rsidP="00602F2E">
      <w:pPr>
        <w:rPr>
          <w:rFonts w:ascii="Arial" w:hAnsi="Arial" w:cs="Arial"/>
          <w:sz w:val="22"/>
          <w:szCs w:val="22"/>
          <w:lang w:val="fr-FR"/>
        </w:rPr>
      </w:pPr>
    </w:p>
    <w:p w:rsidR="00F33529" w:rsidRPr="00AB6AA8" w:rsidRDefault="00160ABE" w:rsidP="00602F2E">
      <w:p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>Les deux approches générales intégrées au document de synthèse sont</w:t>
      </w:r>
      <w:r w:rsidR="00CC28C9">
        <w:rPr>
          <w:rFonts w:ascii="Arial" w:hAnsi="Arial" w:cs="Arial"/>
          <w:sz w:val="22"/>
          <w:szCs w:val="22"/>
          <w:lang w:val="fr-FR"/>
        </w:rPr>
        <w:t> :</w:t>
      </w:r>
    </w:p>
    <w:p w:rsidR="00F33529" w:rsidRPr="00AB6AA8" w:rsidRDefault="00F33529" w:rsidP="00602F2E">
      <w:pPr>
        <w:rPr>
          <w:rFonts w:ascii="Arial" w:hAnsi="Arial" w:cs="Arial"/>
          <w:sz w:val="22"/>
          <w:szCs w:val="22"/>
          <w:lang w:val="fr-FR"/>
        </w:rPr>
      </w:pPr>
    </w:p>
    <w:p w:rsidR="00BB77E3" w:rsidRPr="00AB6AA8" w:rsidRDefault="00160ABE" w:rsidP="00947DFC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fr-FR"/>
        </w:rPr>
      </w:pPr>
      <w:r w:rsidRPr="00AB6AA8">
        <w:rPr>
          <w:rFonts w:ascii="Arial" w:hAnsi="Arial" w:cs="Arial"/>
          <w:b/>
          <w:sz w:val="22"/>
          <w:szCs w:val="22"/>
          <w:lang w:val="fr-FR"/>
        </w:rPr>
        <w:t>Exigence de divulgati</w:t>
      </w:r>
      <w:r w:rsidR="00A76B86" w:rsidRPr="00AB6AA8">
        <w:rPr>
          <w:rFonts w:ascii="Arial" w:hAnsi="Arial" w:cs="Arial"/>
          <w:b/>
          <w:sz w:val="22"/>
          <w:szCs w:val="22"/>
          <w:lang w:val="fr-FR"/>
        </w:rPr>
        <w:t>on</w:t>
      </w:r>
      <w:r w:rsidR="00A76B86">
        <w:rPr>
          <w:rFonts w:ascii="Arial" w:hAnsi="Arial" w:cs="Arial"/>
          <w:b/>
          <w:sz w:val="22"/>
          <w:szCs w:val="22"/>
          <w:lang w:val="fr-FR"/>
        </w:rPr>
        <w:t xml:space="preserve">.  </w:t>
      </w:r>
      <w:r w:rsidR="00A76B86" w:rsidRPr="00AB6AA8">
        <w:rPr>
          <w:rFonts w:ascii="Arial" w:hAnsi="Arial" w:cs="Arial"/>
          <w:sz w:val="22"/>
          <w:szCs w:val="22"/>
          <w:lang w:val="fr-FR"/>
        </w:rPr>
        <w:t>In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clusion, dans le cadre de la législation </w:t>
      </w:r>
      <w:r w:rsidR="00C56ECE" w:rsidRPr="00AB6AA8">
        <w:rPr>
          <w:rFonts w:ascii="Arial" w:hAnsi="Arial" w:cs="Arial"/>
          <w:sz w:val="22"/>
          <w:szCs w:val="22"/>
          <w:lang w:val="fr-FR"/>
        </w:rPr>
        <w:t>en matière de propriété intellectuelle</w:t>
      </w:r>
      <w:r w:rsidR="00FA4382" w:rsidRPr="00AB6AA8">
        <w:rPr>
          <w:rFonts w:ascii="Arial" w:hAnsi="Arial" w:cs="Arial"/>
          <w:sz w:val="22"/>
          <w:szCs w:val="22"/>
          <w:lang w:val="fr-FR"/>
        </w:rPr>
        <w:t>/</w:t>
      </w:r>
      <w:r w:rsidR="00C56ECE" w:rsidRPr="00AB6AA8">
        <w:rPr>
          <w:rFonts w:ascii="Arial" w:hAnsi="Arial" w:cs="Arial"/>
          <w:sz w:val="22"/>
          <w:szCs w:val="22"/>
          <w:lang w:val="fr-FR"/>
        </w:rPr>
        <w:t>de brevets</w:t>
      </w:r>
      <w:r w:rsidRPr="00AB6AA8">
        <w:rPr>
          <w:rFonts w:ascii="Arial" w:hAnsi="Arial" w:cs="Arial"/>
          <w:sz w:val="22"/>
          <w:szCs w:val="22"/>
          <w:lang w:val="fr-FR"/>
        </w:rPr>
        <w:t>, d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une exigence de divulgat</w:t>
      </w:r>
      <w:r w:rsidR="00C56ECE" w:rsidRPr="00AB6AA8">
        <w:rPr>
          <w:rFonts w:ascii="Arial" w:hAnsi="Arial" w:cs="Arial"/>
          <w:sz w:val="22"/>
          <w:szCs w:val="22"/>
          <w:lang w:val="fr-FR"/>
        </w:rPr>
        <w:t>ion relative à la divulgation d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informations (par exemple, des informations sur le pays d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origine ou la source des ressources génétiques et des savoirs traditionnels associés à d</w:t>
      </w:r>
      <w:r w:rsidR="00FA4382" w:rsidRPr="00AB6AA8">
        <w:rPr>
          <w:rFonts w:ascii="Arial" w:hAnsi="Arial" w:cs="Arial"/>
          <w:sz w:val="22"/>
          <w:szCs w:val="22"/>
          <w:lang w:val="fr-FR"/>
        </w:rPr>
        <w:t>es ressources génétiques), où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objet de la protection/l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invention revendiquée implique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utilisation de/est directement fondé(e) sur des ressources génétiques et des savoirs traditionnels associés à des ressources génétiqu</w:t>
      </w:r>
      <w:r w:rsidR="00A76B86" w:rsidRPr="00AB6AA8">
        <w:rPr>
          <w:rFonts w:ascii="Arial" w:hAnsi="Arial" w:cs="Arial"/>
          <w:sz w:val="22"/>
          <w:szCs w:val="22"/>
          <w:lang w:val="fr-FR"/>
        </w:rPr>
        <w:t>es</w:t>
      </w:r>
      <w:r w:rsidR="00A76B86">
        <w:rPr>
          <w:rFonts w:ascii="Arial" w:hAnsi="Arial" w:cs="Arial"/>
          <w:sz w:val="22"/>
          <w:szCs w:val="22"/>
          <w:lang w:val="fr-FR"/>
        </w:rPr>
        <w:t xml:space="preserve">.  </w:t>
      </w:r>
      <w:r w:rsidR="00A76B86" w:rsidRPr="00AB6AA8">
        <w:rPr>
          <w:rFonts w:ascii="Arial" w:hAnsi="Arial" w:cs="Arial"/>
          <w:sz w:val="22"/>
          <w:szCs w:val="22"/>
          <w:lang w:val="fr-FR"/>
        </w:rPr>
        <w:t>Da</w:t>
      </w:r>
      <w:r w:rsidR="00947DFC" w:rsidRPr="00AB6AA8">
        <w:rPr>
          <w:rFonts w:ascii="Arial" w:hAnsi="Arial" w:cs="Arial"/>
          <w:sz w:val="22"/>
          <w:szCs w:val="22"/>
          <w:lang w:val="fr-FR"/>
        </w:rPr>
        <w:t>ns le cadre de cette approche, les mesures sont considérées comme des mesures complémentaires et non comme une approche alternative par rapport au fait de répondre aux objectifs de politique</w:t>
      </w:r>
      <w:r w:rsidR="005E2F2B" w:rsidRPr="00AB6AA8">
        <w:rPr>
          <w:rFonts w:ascii="Arial" w:hAnsi="Arial" w:cs="Arial"/>
          <w:sz w:val="22"/>
          <w:szCs w:val="22"/>
          <w:lang w:val="fr-FR"/>
        </w:rPr>
        <w:t xml:space="preserve"> générale</w:t>
      </w:r>
      <w:r w:rsidR="00947DFC" w:rsidRPr="00AB6AA8">
        <w:rPr>
          <w:rFonts w:ascii="Arial" w:hAnsi="Arial" w:cs="Arial"/>
          <w:sz w:val="22"/>
          <w:szCs w:val="22"/>
          <w:lang w:val="fr-FR"/>
        </w:rPr>
        <w:t>.</w:t>
      </w:r>
    </w:p>
    <w:p w:rsidR="00BB77E3" w:rsidRPr="00AB6AA8" w:rsidRDefault="00947DFC" w:rsidP="00947DF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b/>
          <w:sz w:val="22"/>
          <w:szCs w:val="22"/>
          <w:lang w:val="fr-FR"/>
        </w:rPr>
        <w:t>Mesures défensiv</w:t>
      </w:r>
      <w:r w:rsidR="00A76B86" w:rsidRPr="00AB6AA8">
        <w:rPr>
          <w:rFonts w:ascii="Arial" w:hAnsi="Arial" w:cs="Arial"/>
          <w:b/>
          <w:sz w:val="22"/>
          <w:szCs w:val="22"/>
          <w:lang w:val="fr-FR"/>
        </w:rPr>
        <w:t>es</w:t>
      </w:r>
      <w:r w:rsidR="00A76B86">
        <w:rPr>
          <w:rFonts w:ascii="Arial" w:hAnsi="Arial" w:cs="Arial"/>
          <w:b/>
          <w:sz w:val="22"/>
          <w:szCs w:val="22"/>
          <w:lang w:val="fr-FR"/>
        </w:rPr>
        <w:t xml:space="preserve">.  </w:t>
      </w:r>
      <w:r w:rsidR="00A76B86" w:rsidRPr="00AB6AA8">
        <w:rPr>
          <w:rFonts w:ascii="Arial" w:hAnsi="Arial" w:cs="Arial"/>
          <w:sz w:val="22"/>
          <w:szCs w:val="22"/>
          <w:lang w:val="fr-FR"/>
        </w:rPr>
        <w:t>Ce</w:t>
      </w:r>
      <w:r w:rsidRPr="00AB6AA8">
        <w:rPr>
          <w:rFonts w:ascii="Arial" w:hAnsi="Arial" w:cs="Arial"/>
          <w:sz w:val="22"/>
          <w:szCs w:val="22"/>
          <w:lang w:val="fr-FR"/>
        </w:rPr>
        <w:t>tte approche prévoit des mesures telles que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utilisation de bases de données, de codes de conduite volontaires et de lignes directrices pour les offices de propriété intellectuelle/de brevets, de mécanismes de règlement extrajudiciaire des litiges et de systèmes </w:t>
      </w:r>
      <w:r w:rsidR="005E2F2B" w:rsidRPr="00AB6AA8">
        <w:rPr>
          <w:rFonts w:ascii="Arial" w:hAnsi="Arial" w:cs="Arial"/>
          <w:sz w:val="22"/>
          <w:szCs w:val="22"/>
          <w:lang w:val="fr-FR"/>
        </w:rPr>
        <w:t>de diligence requise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au sein des offices de brevets en vertu de la législation nationale en vue de veiller au respect des règles applicables en matière de systèmes d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accès et de partage des avantages</w:t>
      </w:r>
      <w:r w:rsidR="005E108D" w:rsidRPr="00AB6AA8">
        <w:rPr>
          <w:rFonts w:ascii="Arial" w:hAnsi="Arial" w:cs="Arial"/>
          <w:sz w:val="22"/>
          <w:szCs w:val="22"/>
          <w:lang w:val="fr-FR"/>
        </w:rPr>
        <w:t>.</w:t>
      </w:r>
    </w:p>
    <w:p w:rsidR="00F33529" w:rsidRPr="00AB6AA8" w:rsidRDefault="00F33529" w:rsidP="00602F2E">
      <w:pPr>
        <w:rPr>
          <w:rFonts w:ascii="Arial" w:hAnsi="Arial" w:cs="Arial"/>
          <w:sz w:val="22"/>
          <w:szCs w:val="22"/>
          <w:lang w:val="fr-FR"/>
        </w:rPr>
      </w:pPr>
    </w:p>
    <w:p w:rsidR="00F33529" w:rsidRPr="00AB6AA8" w:rsidRDefault="00854C48" w:rsidP="00C52423">
      <w:pPr>
        <w:keepNext/>
        <w:keepLines/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AB6AA8">
        <w:rPr>
          <w:rFonts w:ascii="Arial" w:hAnsi="Arial" w:cs="Arial"/>
          <w:b/>
          <w:sz w:val="22"/>
          <w:szCs w:val="22"/>
          <w:u w:val="single"/>
          <w:lang w:val="fr-FR"/>
        </w:rPr>
        <w:lastRenderedPageBreak/>
        <w:t>Q</w:t>
      </w:r>
      <w:r w:rsidR="004415EF" w:rsidRPr="00AB6AA8">
        <w:rPr>
          <w:rFonts w:ascii="Arial" w:hAnsi="Arial" w:cs="Arial"/>
          <w:b/>
          <w:sz w:val="22"/>
          <w:szCs w:val="22"/>
          <w:u w:val="single"/>
          <w:lang w:val="fr-FR"/>
        </w:rPr>
        <w:t xml:space="preserve">uestions </w:t>
      </w:r>
      <w:r w:rsidRPr="00AB6AA8">
        <w:rPr>
          <w:rFonts w:ascii="Arial" w:hAnsi="Arial" w:cs="Arial"/>
          <w:b/>
          <w:sz w:val="22"/>
          <w:szCs w:val="22"/>
          <w:u w:val="single"/>
          <w:lang w:val="fr-FR"/>
        </w:rPr>
        <w:t xml:space="preserve">essentielles </w:t>
      </w:r>
      <w:r w:rsidR="004415EF" w:rsidRPr="00AB6AA8">
        <w:rPr>
          <w:rFonts w:ascii="Arial" w:hAnsi="Arial" w:cs="Arial"/>
          <w:b/>
          <w:sz w:val="22"/>
          <w:szCs w:val="22"/>
          <w:u w:val="single"/>
          <w:lang w:val="fr-FR"/>
        </w:rPr>
        <w:t>devant être examinées par l</w:t>
      </w:r>
      <w:r w:rsidR="00CC28C9">
        <w:rPr>
          <w:rFonts w:ascii="Arial" w:hAnsi="Arial" w:cs="Arial"/>
          <w:b/>
          <w:sz w:val="22"/>
          <w:szCs w:val="22"/>
          <w:u w:val="single"/>
          <w:lang w:val="fr-FR"/>
        </w:rPr>
        <w:t>’</w:t>
      </w:r>
      <w:r w:rsidR="004415EF" w:rsidRPr="00AB6AA8">
        <w:rPr>
          <w:rFonts w:ascii="Arial" w:hAnsi="Arial" w:cs="Arial"/>
          <w:b/>
          <w:sz w:val="22"/>
          <w:szCs w:val="22"/>
          <w:u w:val="single"/>
          <w:lang w:val="fr-FR"/>
        </w:rPr>
        <w:t>IGC à sa trente</w:t>
      </w:r>
      <w:r w:rsidR="006E1E1D">
        <w:rPr>
          <w:rFonts w:ascii="Arial" w:hAnsi="Arial" w:cs="Arial"/>
          <w:b/>
          <w:sz w:val="22"/>
          <w:szCs w:val="22"/>
          <w:u w:val="single"/>
          <w:lang w:val="fr-FR"/>
        </w:rPr>
        <w:noBreakHyphen/>
      </w:r>
      <w:r w:rsidR="004415EF" w:rsidRPr="00AB6AA8">
        <w:rPr>
          <w:rFonts w:ascii="Arial" w:hAnsi="Arial" w:cs="Arial"/>
          <w:b/>
          <w:sz w:val="22"/>
          <w:szCs w:val="22"/>
          <w:u w:val="single"/>
          <w:lang w:val="fr-FR"/>
        </w:rPr>
        <w:t>cinqu</w:t>
      </w:r>
      <w:r w:rsidR="00CC28C9">
        <w:rPr>
          <w:rFonts w:ascii="Arial" w:hAnsi="Arial" w:cs="Arial"/>
          <w:b/>
          <w:sz w:val="22"/>
          <w:szCs w:val="22"/>
          <w:u w:val="single"/>
          <w:lang w:val="fr-FR"/>
        </w:rPr>
        <w:t>ième session</w:t>
      </w:r>
    </w:p>
    <w:p w:rsidR="00F33529" w:rsidRPr="00613A79" w:rsidRDefault="00F33529" w:rsidP="00C52423">
      <w:pPr>
        <w:keepNext/>
        <w:keepLines/>
        <w:rPr>
          <w:rFonts w:ascii="Arial" w:hAnsi="Arial" w:cs="Arial"/>
          <w:sz w:val="20"/>
          <w:szCs w:val="22"/>
          <w:lang w:val="fr-FR"/>
        </w:rPr>
      </w:pPr>
    </w:p>
    <w:p w:rsidR="00BB77E3" w:rsidRPr="00AB6AA8" w:rsidRDefault="004415EF" w:rsidP="00C52423">
      <w:pPr>
        <w:keepNext/>
        <w:keepLines/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 xml:space="preserve">La toute première question à examiner concerne les </w:t>
      </w:r>
      <w:r w:rsidRPr="00AB6AA8">
        <w:rPr>
          <w:rFonts w:ascii="Arial" w:hAnsi="Arial" w:cs="Arial"/>
          <w:b/>
          <w:sz w:val="22"/>
          <w:szCs w:val="22"/>
          <w:lang w:val="fr-FR"/>
        </w:rPr>
        <w:t xml:space="preserve">objectifs de politique générale </w:t>
      </w:r>
      <w:r w:rsidRPr="00AB6AA8">
        <w:rPr>
          <w:rFonts w:ascii="Arial" w:hAnsi="Arial" w:cs="Arial"/>
          <w:sz w:val="22"/>
          <w:szCs w:val="22"/>
          <w:lang w:val="fr-FR"/>
        </w:rPr>
        <w:t>de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instrument, qui doivent être </w:t>
      </w:r>
      <w:r w:rsidR="008350BD" w:rsidRPr="00AB6AA8">
        <w:rPr>
          <w:rFonts w:ascii="Arial" w:hAnsi="Arial" w:cs="Arial"/>
          <w:sz w:val="22"/>
          <w:szCs w:val="22"/>
          <w:lang w:val="fr-FR"/>
        </w:rPr>
        <w:t>définis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et </w:t>
      </w:r>
      <w:r w:rsidR="00023AA2" w:rsidRPr="00AB6AA8">
        <w:rPr>
          <w:rFonts w:ascii="Arial" w:hAnsi="Arial" w:cs="Arial"/>
          <w:sz w:val="22"/>
          <w:szCs w:val="22"/>
          <w:lang w:val="fr-FR"/>
        </w:rPr>
        <w:t>approuv</w:t>
      </w:r>
      <w:r w:rsidR="00A76B86" w:rsidRPr="00AB6AA8">
        <w:rPr>
          <w:rFonts w:ascii="Arial" w:hAnsi="Arial" w:cs="Arial"/>
          <w:sz w:val="22"/>
          <w:szCs w:val="22"/>
          <w:lang w:val="fr-FR"/>
        </w:rPr>
        <w:t>és</w:t>
      </w:r>
      <w:r w:rsidR="00A76B86">
        <w:rPr>
          <w:rFonts w:ascii="Arial" w:hAnsi="Arial" w:cs="Arial"/>
          <w:sz w:val="22"/>
          <w:szCs w:val="22"/>
          <w:lang w:val="fr-FR"/>
        </w:rPr>
        <w:t xml:space="preserve">.  </w:t>
      </w:r>
      <w:r w:rsidR="00A76B86" w:rsidRPr="00AB6AA8">
        <w:rPr>
          <w:rFonts w:ascii="Arial" w:hAnsi="Arial" w:cs="Arial"/>
          <w:sz w:val="22"/>
          <w:szCs w:val="22"/>
          <w:lang w:val="fr-FR"/>
        </w:rPr>
        <w:t>Ce</w:t>
      </w:r>
      <w:r w:rsidRPr="00AB6AA8">
        <w:rPr>
          <w:rFonts w:ascii="Arial" w:hAnsi="Arial" w:cs="Arial"/>
          <w:sz w:val="22"/>
          <w:szCs w:val="22"/>
          <w:lang w:val="fr-FR"/>
        </w:rPr>
        <w:t>s objectifs, bien que n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3F3245" w:rsidRPr="00AB6AA8">
        <w:rPr>
          <w:rFonts w:ascii="Arial" w:hAnsi="Arial" w:cs="Arial"/>
          <w:sz w:val="22"/>
          <w:szCs w:val="22"/>
          <w:lang w:val="fr-FR"/>
        </w:rPr>
        <w:t>aient pas encore été arrêtés</w:t>
      </w:r>
      <w:r w:rsidRPr="00AB6AA8">
        <w:rPr>
          <w:rFonts w:ascii="Arial" w:hAnsi="Arial" w:cs="Arial"/>
          <w:sz w:val="22"/>
          <w:szCs w:val="22"/>
          <w:lang w:val="fr-FR"/>
        </w:rPr>
        <w:t>, ont été révisés pour mettre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accent sur le système de propriété intellectuelle/des breve</w:t>
      </w:r>
      <w:r w:rsidR="00A76B86" w:rsidRPr="00AB6AA8">
        <w:rPr>
          <w:rFonts w:ascii="Arial" w:hAnsi="Arial" w:cs="Arial"/>
          <w:sz w:val="22"/>
          <w:szCs w:val="22"/>
          <w:lang w:val="fr-FR"/>
        </w:rPr>
        <w:t>ts</w:t>
      </w:r>
      <w:r w:rsidR="00A76B86">
        <w:rPr>
          <w:rFonts w:ascii="Arial" w:hAnsi="Arial" w:cs="Arial"/>
          <w:sz w:val="22"/>
          <w:szCs w:val="22"/>
          <w:lang w:val="fr-FR"/>
        </w:rPr>
        <w:t xml:space="preserve">.  </w:t>
      </w:r>
      <w:r w:rsidR="00A76B86" w:rsidRPr="00AB6AA8">
        <w:rPr>
          <w:rFonts w:ascii="Arial" w:hAnsi="Arial" w:cs="Arial"/>
          <w:sz w:val="22"/>
          <w:szCs w:val="22"/>
          <w:lang w:val="fr-FR"/>
        </w:rPr>
        <w:t>Il</w:t>
      </w:r>
      <w:r w:rsidR="00B90C00" w:rsidRPr="00AB6AA8">
        <w:rPr>
          <w:rFonts w:ascii="Arial" w:hAnsi="Arial" w:cs="Arial"/>
          <w:sz w:val="22"/>
          <w:szCs w:val="22"/>
          <w:lang w:val="fr-FR"/>
        </w:rPr>
        <w:t xml:space="preserve"> est reconnu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que les travaux sur les ressources génétiques à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OMPI </w:t>
      </w:r>
      <w:r w:rsidR="00B90C00" w:rsidRPr="00AB6AA8">
        <w:rPr>
          <w:rFonts w:ascii="Arial" w:hAnsi="Arial" w:cs="Arial"/>
          <w:sz w:val="22"/>
          <w:szCs w:val="22"/>
          <w:lang w:val="fr-FR"/>
        </w:rPr>
        <w:t>doivent être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axés sur la </w:t>
      </w:r>
      <w:r w:rsidR="00B90C00" w:rsidRPr="00AB6AA8">
        <w:rPr>
          <w:rFonts w:ascii="Arial" w:hAnsi="Arial" w:cs="Arial"/>
          <w:sz w:val="22"/>
          <w:szCs w:val="22"/>
          <w:lang w:val="fr-FR"/>
        </w:rPr>
        <w:t>manière dont le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système de propriété intellectuelle/des brevets peut</w:t>
      </w:r>
      <w:r w:rsidR="00AA3814" w:rsidRPr="00AB6AA8">
        <w:rPr>
          <w:rFonts w:ascii="Arial" w:hAnsi="Arial" w:cs="Arial"/>
          <w:sz w:val="22"/>
          <w:szCs w:val="22"/>
          <w:lang w:val="fr-FR"/>
        </w:rPr>
        <w:t xml:space="preserve"> contribuer</w:t>
      </w:r>
      <w:r w:rsidRPr="00AB6AA8">
        <w:rPr>
          <w:rFonts w:ascii="Arial" w:hAnsi="Arial" w:cs="Arial"/>
          <w:sz w:val="22"/>
          <w:szCs w:val="22"/>
          <w:lang w:val="fr-FR"/>
        </w:rPr>
        <w:t>, par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intermédiaire d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une exigence de divulgation ou de mesures défensives, </w:t>
      </w:r>
      <w:r w:rsidR="00AA3814" w:rsidRPr="00AB6AA8">
        <w:rPr>
          <w:rFonts w:ascii="Arial" w:hAnsi="Arial" w:cs="Arial"/>
          <w:sz w:val="22"/>
          <w:szCs w:val="22"/>
          <w:lang w:val="fr-FR"/>
        </w:rPr>
        <w:t xml:space="preserve">à </w:t>
      </w:r>
      <w:r w:rsidRPr="00AB6AA8">
        <w:rPr>
          <w:rFonts w:ascii="Arial" w:hAnsi="Arial" w:cs="Arial"/>
          <w:sz w:val="22"/>
          <w:szCs w:val="22"/>
          <w:lang w:val="fr-FR"/>
        </w:rPr>
        <w:t>améliorer la mise en œuvre du système</w:t>
      </w:r>
      <w:r w:rsidR="001E11C0" w:rsidRPr="00AB6AA8">
        <w:rPr>
          <w:rFonts w:ascii="Arial" w:hAnsi="Arial" w:cs="Arial"/>
          <w:sz w:val="22"/>
          <w:szCs w:val="22"/>
          <w:lang w:val="fr-FR"/>
        </w:rPr>
        <w:t xml:space="preserve"> (</w:t>
      </w:r>
      <w:r w:rsidRPr="00AB6AA8">
        <w:rPr>
          <w:rFonts w:ascii="Arial" w:hAnsi="Arial" w:cs="Arial"/>
          <w:sz w:val="22"/>
          <w:szCs w:val="22"/>
          <w:lang w:val="fr-FR"/>
        </w:rPr>
        <w:t>par exemple en améliorant la qualité des brevets délivr</w:t>
      </w:r>
      <w:r w:rsidR="00A76B86" w:rsidRPr="00AB6AA8">
        <w:rPr>
          <w:rFonts w:ascii="Arial" w:hAnsi="Arial" w:cs="Arial"/>
          <w:sz w:val="22"/>
          <w:szCs w:val="22"/>
          <w:lang w:val="fr-FR"/>
        </w:rPr>
        <w:t>és)</w:t>
      </w:r>
      <w:r w:rsidR="00A76B86">
        <w:rPr>
          <w:rFonts w:ascii="Arial" w:hAnsi="Arial" w:cs="Arial"/>
          <w:sz w:val="22"/>
          <w:szCs w:val="22"/>
          <w:lang w:val="fr-FR"/>
        </w:rPr>
        <w:t xml:space="preserve">.  </w:t>
      </w:r>
      <w:r w:rsidR="00A76B86" w:rsidRPr="00AB6AA8">
        <w:rPr>
          <w:rFonts w:ascii="Arial" w:hAnsi="Arial" w:cs="Arial"/>
          <w:sz w:val="22"/>
          <w:szCs w:val="22"/>
          <w:lang w:val="fr-FR"/>
        </w:rPr>
        <w:t>Ce</w:t>
      </w:r>
      <w:r w:rsidR="00AA3814" w:rsidRPr="00AB6AA8">
        <w:rPr>
          <w:rFonts w:ascii="Arial" w:hAnsi="Arial" w:cs="Arial"/>
          <w:sz w:val="22"/>
          <w:szCs w:val="22"/>
          <w:lang w:val="fr-FR"/>
        </w:rPr>
        <w:t xml:space="preserve">la peut également renforcer mutuellement les accords internationaux </w:t>
      </w:r>
      <w:r w:rsidR="00BB67BB" w:rsidRPr="00AB6AA8">
        <w:rPr>
          <w:rFonts w:ascii="Arial" w:hAnsi="Arial" w:cs="Arial"/>
          <w:sz w:val="22"/>
          <w:szCs w:val="22"/>
          <w:lang w:val="fr-FR"/>
        </w:rPr>
        <w:t>relatifs aux</w:t>
      </w:r>
      <w:r w:rsidR="00AA3814" w:rsidRPr="00AB6AA8">
        <w:rPr>
          <w:rFonts w:ascii="Arial" w:hAnsi="Arial" w:cs="Arial"/>
          <w:sz w:val="22"/>
          <w:szCs w:val="22"/>
          <w:lang w:val="fr-FR"/>
        </w:rPr>
        <w:t xml:space="preserve"> ressources génétiques et </w:t>
      </w:r>
      <w:r w:rsidR="00BB67BB" w:rsidRPr="00AB6AA8">
        <w:rPr>
          <w:rFonts w:ascii="Arial" w:hAnsi="Arial" w:cs="Arial"/>
          <w:sz w:val="22"/>
          <w:szCs w:val="22"/>
          <w:lang w:val="fr-FR"/>
        </w:rPr>
        <w:t>aux</w:t>
      </w:r>
      <w:r w:rsidR="00AA3814" w:rsidRPr="00AB6AA8">
        <w:rPr>
          <w:rFonts w:ascii="Arial" w:hAnsi="Arial" w:cs="Arial"/>
          <w:sz w:val="22"/>
          <w:szCs w:val="22"/>
          <w:lang w:val="fr-FR"/>
        </w:rPr>
        <w:t xml:space="preserve"> savoirs traditionnels qui y sont associés</w:t>
      </w:r>
      <w:r w:rsidR="00801FDB" w:rsidRPr="00AB6AA8">
        <w:rPr>
          <w:rFonts w:ascii="Arial" w:hAnsi="Arial" w:cs="Arial"/>
          <w:sz w:val="22"/>
          <w:szCs w:val="22"/>
          <w:lang w:val="fr-FR"/>
        </w:rPr>
        <w:t xml:space="preserve">, </w:t>
      </w:r>
      <w:r w:rsidR="00AA3814" w:rsidRPr="00AB6AA8">
        <w:rPr>
          <w:rFonts w:ascii="Arial" w:hAnsi="Arial" w:cs="Arial"/>
          <w:sz w:val="22"/>
          <w:szCs w:val="22"/>
          <w:lang w:val="fr-FR"/>
        </w:rPr>
        <w:t>tels que la Convention sur la diversité biologique et le Protocole de Nagoya sur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AA3814" w:rsidRPr="00AB6AA8">
        <w:rPr>
          <w:rFonts w:ascii="Arial" w:hAnsi="Arial" w:cs="Arial"/>
          <w:sz w:val="22"/>
          <w:szCs w:val="22"/>
          <w:lang w:val="fr-FR"/>
        </w:rPr>
        <w:t>accès aux ressources génétiques et le partage juste et équitable des avantages découlant de leur utilisation relatif à la Convention sur la diversité biologiq</w:t>
      </w:r>
      <w:r w:rsidR="00A76B86" w:rsidRPr="00AB6AA8">
        <w:rPr>
          <w:rFonts w:ascii="Arial" w:hAnsi="Arial" w:cs="Arial"/>
          <w:sz w:val="22"/>
          <w:szCs w:val="22"/>
          <w:lang w:val="fr-FR"/>
        </w:rPr>
        <w:t>ue</w:t>
      </w:r>
      <w:r w:rsidR="00A76B86">
        <w:rPr>
          <w:rFonts w:ascii="Arial" w:hAnsi="Arial" w:cs="Arial"/>
          <w:sz w:val="22"/>
          <w:szCs w:val="22"/>
          <w:lang w:val="fr-FR"/>
        </w:rPr>
        <w:t xml:space="preserve">.  </w:t>
      </w:r>
      <w:r w:rsidR="00A76B86" w:rsidRPr="00AB6AA8">
        <w:rPr>
          <w:rFonts w:ascii="Arial" w:hAnsi="Arial" w:cs="Arial"/>
          <w:sz w:val="22"/>
          <w:szCs w:val="22"/>
          <w:lang w:val="fr-FR"/>
        </w:rPr>
        <w:t>Co</w:t>
      </w:r>
      <w:r w:rsidR="00AA3814" w:rsidRPr="00AB6AA8">
        <w:rPr>
          <w:rFonts w:ascii="Arial" w:hAnsi="Arial" w:cs="Arial"/>
          <w:sz w:val="22"/>
          <w:szCs w:val="22"/>
          <w:lang w:val="fr-FR"/>
        </w:rPr>
        <w:t xml:space="preserve">mpte tenu de ce qui précède, les États membres </w:t>
      </w:r>
      <w:r w:rsidR="00423A80" w:rsidRPr="00AB6AA8">
        <w:rPr>
          <w:rFonts w:ascii="Arial" w:hAnsi="Arial" w:cs="Arial"/>
          <w:sz w:val="22"/>
          <w:szCs w:val="22"/>
          <w:lang w:val="fr-FR"/>
        </w:rPr>
        <w:t>pourraient envisager de</w:t>
      </w:r>
      <w:r w:rsidR="00AA3814" w:rsidRPr="00AB6AA8">
        <w:rPr>
          <w:rFonts w:ascii="Arial" w:hAnsi="Arial" w:cs="Arial"/>
          <w:sz w:val="22"/>
          <w:szCs w:val="22"/>
          <w:lang w:val="fr-FR"/>
        </w:rPr>
        <w:t xml:space="preserve"> fusionner les trois</w:t>
      </w:r>
      <w:r w:rsidR="00BC5F10" w:rsidRPr="00AB6AA8">
        <w:rPr>
          <w:rFonts w:ascii="Arial" w:hAnsi="Arial" w:cs="Arial"/>
          <w:sz w:val="22"/>
          <w:szCs w:val="22"/>
          <w:lang w:val="fr-FR"/>
        </w:rPr>
        <w:t> </w:t>
      </w:r>
      <w:r w:rsidR="00AA3814" w:rsidRPr="00AB6AA8">
        <w:rPr>
          <w:rFonts w:ascii="Arial" w:hAnsi="Arial" w:cs="Arial"/>
          <w:sz w:val="22"/>
          <w:szCs w:val="22"/>
          <w:lang w:val="fr-FR"/>
        </w:rPr>
        <w:t xml:space="preserve">variantes </w:t>
      </w:r>
      <w:r w:rsidR="00E26EC8" w:rsidRPr="00AB6AA8">
        <w:rPr>
          <w:rFonts w:ascii="Arial" w:hAnsi="Arial" w:cs="Arial"/>
          <w:sz w:val="22"/>
          <w:szCs w:val="22"/>
          <w:lang w:val="fr-FR"/>
        </w:rPr>
        <w:t xml:space="preserve">des objectifs </w:t>
      </w:r>
      <w:r w:rsidR="001F018D" w:rsidRPr="00AB6AA8">
        <w:rPr>
          <w:rFonts w:ascii="Arial" w:hAnsi="Arial" w:cs="Arial"/>
          <w:sz w:val="22"/>
          <w:szCs w:val="22"/>
          <w:lang w:val="fr-FR"/>
        </w:rPr>
        <w:t>qui figurent</w:t>
      </w:r>
      <w:r w:rsidR="00E26EC8" w:rsidRPr="00AB6AA8">
        <w:rPr>
          <w:rFonts w:ascii="Arial" w:hAnsi="Arial" w:cs="Arial"/>
          <w:sz w:val="22"/>
          <w:szCs w:val="22"/>
          <w:lang w:val="fr-FR"/>
        </w:rPr>
        <w:t xml:space="preserve"> dans le document de synthèse.</w:t>
      </w:r>
    </w:p>
    <w:p w:rsidR="00F33529" w:rsidRPr="00613A79" w:rsidRDefault="00F33529" w:rsidP="00602F2E">
      <w:pPr>
        <w:rPr>
          <w:rFonts w:ascii="Arial" w:hAnsi="Arial" w:cs="Arial"/>
          <w:sz w:val="22"/>
          <w:szCs w:val="22"/>
          <w:lang w:val="fr-FR"/>
        </w:rPr>
      </w:pPr>
    </w:p>
    <w:p w:rsidR="00F33529" w:rsidRPr="00AB6AA8" w:rsidRDefault="00E26EC8" w:rsidP="00602F2E">
      <w:p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 xml:space="preserve">En ce qui concerne les </w:t>
      </w:r>
      <w:r w:rsidRPr="00AB6AA8">
        <w:rPr>
          <w:rFonts w:ascii="Arial" w:hAnsi="Arial" w:cs="Arial"/>
          <w:b/>
          <w:sz w:val="22"/>
          <w:szCs w:val="22"/>
          <w:lang w:val="fr-FR"/>
        </w:rPr>
        <w:t>exigences de divulgation</w:t>
      </w:r>
      <w:r w:rsidR="00B91D82" w:rsidRPr="00AB6AA8">
        <w:rPr>
          <w:rFonts w:ascii="Arial" w:hAnsi="Arial" w:cs="Arial"/>
          <w:sz w:val="22"/>
          <w:szCs w:val="22"/>
          <w:lang w:val="fr-FR"/>
        </w:rPr>
        <w:t xml:space="preserve">, </w:t>
      </w:r>
      <w:r w:rsidR="00526881" w:rsidRPr="00AB6AA8">
        <w:rPr>
          <w:rFonts w:ascii="Arial" w:hAnsi="Arial" w:cs="Arial"/>
          <w:sz w:val="22"/>
          <w:szCs w:val="22"/>
          <w:lang w:val="fr-FR"/>
        </w:rPr>
        <w:t>le document de synthèse a été considérablement amélioré avec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526881" w:rsidRPr="00AB6AA8">
        <w:rPr>
          <w:rFonts w:ascii="Arial" w:hAnsi="Arial" w:cs="Arial"/>
          <w:sz w:val="22"/>
          <w:szCs w:val="22"/>
          <w:lang w:val="fr-FR"/>
        </w:rPr>
        <w:t>intégration d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526881" w:rsidRPr="00AB6AA8">
        <w:rPr>
          <w:rFonts w:ascii="Arial" w:hAnsi="Arial" w:cs="Arial"/>
          <w:sz w:val="22"/>
          <w:szCs w:val="22"/>
          <w:lang w:val="fr-FR"/>
        </w:rPr>
        <w:t>une option de mécanisme administratif visant à garantir la transparence au sein du système de propriété intellectuelle/des brevets, au lieu d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526881" w:rsidRPr="00AB6AA8">
        <w:rPr>
          <w:rFonts w:ascii="Arial" w:hAnsi="Arial" w:cs="Arial"/>
          <w:sz w:val="22"/>
          <w:szCs w:val="22"/>
          <w:lang w:val="fr-FR"/>
        </w:rPr>
        <w:t>un système unique fondé sur une exigence de brevetabilité quant au fo</w:t>
      </w:r>
      <w:r w:rsidR="00A76B86" w:rsidRPr="00AB6AA8">
        <w:rPr>
          <w:rFonts w:ascii="Arial" w:hAnsi="Arial" w:cs="Arial"/>
          <w:sz w:val="22"/>
          <w:szCs w:val="22"/>
          <w:lang w:val="fr-FR"/>
        </w:rPr>
        <w:t>nd</w:t>
      </w:r>
      <w:r w:rsidR="00A76B86">
        <w:rPr>
          <w:rFonts w:ascii="Arial" w:hAnsi="Arial" w:cs="Arial"/>
          <w:sz w:val="22"/>
          <w:szCs w:val="22"/>
          <w:lang w:val="fr-FR"/>
        </w:rPr>
        <w:t xml:space="preserve">.  </w:t>
      </w:r>
      <w:r w:rsidR="00A76B86" w:rsidRPr="00AB6AA8">
        <w:rPr>
          <w:rFonts w:ascii="Arial" w:hAnsi="Arial" w:cs="Arial"/>
          <w:sz w:val="22"/>
          <w:szCs w:val="22"/>
          <w:lang w:val="fr-FR"/>
        </w:rPr>
        <w:t>Le</w:t>
      </w:r>
      <w:r w:rsidR="00526881" w:rsidRPr="00AB6AA8">
        <w:rPr>
          <w:rFonts w:ascii="Arial" w:hAnsi="Arial" w:cs="Arial"/>
          <w:sz w:val="22"/>
          <w:szCs w:val="22"/>
          <w:lang w:val="fr-FR"/>
        </w:rPr>
        <w:t xml:space="preserve">s États membres </w:t>
      </w:r>
      <w:r w:rsidR="00423A80" w:rsidRPr="00AB6AA8">
        <w:rPr>
          <w:rFonts w:ascii="Arial" w:hAnsi="Arial" w:cs="Arial"/>
          <w:sz w:val="22"/>
          <w:szCs w:val="22"/>
          <w:lang w:val="fr-FR"/>
        </w:rPr>
        <w:t>pourraient envisager d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526881" w:rsidRPr="00AB6AA8">
        <w:rPr>
          <w:rFonts w:ascii="Arial" w:hAnsi="Arial" w:cs="Arial"/>
          <w:sz w:val="22"/>
          <w:szCs w:val="22"/>
          <w:lang w:val="fr-FR"/>
        </w:rPr>
        <w:t xml:space="preserve">examiner les questions </w:t>
      </w:r>
      <w:r w:rsidR="00854C48" w:rsidRPr="00AB6AA8">
        <w:rPr>
          <w:rFonts w:ascii="Arial" w:hAnsi="Arial" w:cs="Arial"/>
          <w:sz w:val="22"/>
          <w:szCs w:val="22"/>
          <w:lang w:val="fr-FR"/>
        </w:rPr>
        <w:t xml:space="preserve">essentielles </w:t>
      </w:r>
      <w:r w:rsidR="00526881" w:rsidRPr="00AB6AA8">
        <w:rPr>
          <w:rFonts w:ascii="Arial" w:hAnsi="Arial" w:cs="Arial"/>
          <w:sz w:val="22"/>
          <w:szCs w:val="22"/>
          <w:lang w:val="fr-FR"/>
        </w:rPr>
        <w:t>ci</w:t>
      </w:r>
      <w:r w:rsidR="006E1E1D">
        <w:rPr>
          <w:rFonts w:ascii="Arial" w:hAnsi="Arial" w:cs="Arial"/>
          <w:sz w:val="22"/>
          <w:szCs w:val="22"/>
          <w:lang w:val="fr-FR"/>
        </w:rPr>
        <w:noBreakHyphen/>
      </w:r>
      <w:r w:rsidR="00526881" w:rsidRPr="00AB6AA8">
        <w:rPr>
          <w:rFonts w:ascii="Arial" w:hAnsi="Arial" w:cs="Arial"/>
          <w:sz w:val="22"/>
          <w:szCs w:val="22"/>
          <w:lang w:val="fr-FR"/>
        </w:rPr>
        <w:t>après à la trente</w:t>
      </w:r>
      <w:r w:rsidR="006E1E1D">
        <w:rPr>
          <w:rFonts w:ascii="Arial" w:hAnsi="Arial" w:cs="Arial"/>
          <w:sz w:val="22"/>
          <w:szCs w:val="22"/>
          <w:lang w:val="fr-FR"/>
        </w:rPr>
        <w:noBreakHyphen/>
      </w:r>
      <w:r w:rsidR="00526881" w:rsidRPr="00AB6AA8">
        <w:rPr>
          <w:rFonts w:ascii="Arial" w:hAnsi="Arial" w:cs="Arial"/>
          <w:sz w:val="22"/>
          <w:szCs w:val="22"/>
          <w:lang w:val="fr-FR"/>
        </w:rPr>
        <w:t>cinqu</w:t>
      </w:r>
      <w:r w:rsidR="00CC28C9">
        <w:rPr>
          <w:rFonts w:ascii="Arial" w:hAnsi="Arial" w:cs="Arial"/>
          <w:sz w:val="22"/>
          <w:szCs w:val="22"/>
          <w:lang w:val="fr-FR"/>
        </w:rPr>
        <w:t>ième session</w:t>
      </w:r>
      <w:r w:rsidR="00526881" w:rsidRPr="00AB6AA8">
        <w:rPr>
          <w:rFonts w:ascii="Arial" w:hAnsi="Arial" w:cs="Arial"/>
          <w:sz w:val="22"/>
          <w:szCs w:val="22"/>
          <w:lang w:val="fr-FR"/>
        </w:rPr>
        <w:t xml:space="preserve"> de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526881" w:rsidRPr="00AB6AA8">
        <w:rPr>
          <w:rFonts w:ascii="Arial" w:hAnsi="Arial" w:cs="Arial"/>
          <w:sz w:val="22"/>
          <w:szCs w:val="22"/>
          <w:lang w:val="fr-FR"/>
        </w:rPr>
        <w:t>IGC</w:t>
      </w:r>
      <w:r w:rsidR="00CC28C9">
        <w:rPr>
          <w:rFonts w:ascii="Arial" w:hAnsi="Arial" w:cs="Arial"/>
          <w:sz w:val="22"/>
          <w:szCs w:val="22"/>
          <w:lang w:val="fr-FR"/>
        </w:rPr>
        <w:t> :</w:t>
      </w:r>
    </w:p>
    <w:p w:rsidR="00F33529" w:rsidRPr="00C90320" w:rsidRDefault="00F33529" w:rsidP="00602F2E">
      <w:pPr>
        <w:rPr>
          <w:rFonts w:ascii="Arial" w:hAnsi="Arial" w:cs="Arial"/>
          <w:sz w:val="20"/>
          <w:szCs w:val="22"/>
          <w:lang w:val="fr-FR"/>
        </w:rPr>
      </w:pPr>
    </w:p>
    <w:p w:rsidR="00F33529" w:rsidRPr="00AB6AA8" w:rsidRDefault="00526881" w:rsidP="00E05163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>Les exigences de divulgation devraient</w:t>
      </w:r>
      <w:r w:rsidR="006E1E1D">
        <w:rPr>
          <w:rFonts w:ascii="Arial" w:hAnsi="Arial" w:cs="Arial"/>
          <w:sz w:val="22"/>
          <w:szCs w:val="22"/>
          <w:lang w:val="fr-FR"/>
        </w:rPr>
        <w:noBreakHyphen/>
      </w:r>
      <w:r w:rsidRPr="00AB6AA8">
        <w:rPr>
          <w:rFonts w:ascii="Arial" w:hAnsi="Arial" w:cs="Arial"/>
          <w:sz w:val="22"/>
          <w:szCs w:val="22"/>
          <w:lang w:val="fr-FR"/>
        </w:rPr>
        <w:t xml:space="preserve">elles avoir un caractère </w:t>
      </w:r>
      <w:r w:rsidRPr="00AB6AA8">
        <w:rPr>
          <w:rFonts w:ascii="Arial" w:hAnsi="Arial" w:cs="Arial"/>
          <w:b/>
          <w:sz w:val="22"/>
          <w:szCs w:val="22"/>
          <w:lang w:val="fr-FR"/>
        </w:rPr>
        <w:t>obligatoire ou volontaire</w:t>
      </w:r>
      <w:r w:rsidR="005A6410" w:rsidRPr="00AB6AA8">
        <w:rPr>
          <w:rFonts w:ascii="Arial" w:hAnsi="Arial" w:cs="Arial"/>
          <w:sz w:val="22"/>
          <w:szCs w:val="22"/>
          <w:lang w:val="fr-FR"/>
        </w:rPr>
        <w:t>?</w:t>
      </w:r>
    </w:p>
    <w:p w:rsidR="00F33529" w:rsidRPr="00AB6AA8" w:rsidRDefault="00526881" w:rsidP="00E05163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 xml:space="preserve">Outre les ressources génétiques, </w:t>
      </w:r>
      <w:r w:rsidR="000E4AFC" w:rsidRPr="00AB6AA8">
        <w:rPr>
          <w:rFonts w:ascii="Arial" w:hAnsi="Arial" w:cs="Arial"/>
          <w:sz w:val="22"/>
          <w:szCs w:val="22"/>
          <w:lang w:val="fr-FR"/>
        </w:rPr>
        <w:t>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instrument devrait</w:t>
      </w:r>
      <w:r w:rsidR="006E1E1D">
        <w:rPr>
          <w:rFonts w:ascii="Arial" w:hAnsi="Arial" w:cs="Arial"/>
          <w:sz w:val="22"/>
          <w:szCs w:val="22"/>
          <w:lang w:val="fr-FR"/>
        </w:rPr>
        <w:noBreakHyphen/>
      </w:r>
      <w:r w:rsidRPr="00AB6AA8">
        <w:rPr>
          <w:rFonts w:ascii="Arial" w:hAnsi="Arial" w:cs="Arial"/>
          <w:sz w:val="22"/>
          <w:szCs w:val="22"/>
          <w:lang w:val="fr-FR"/>
        </w:rPr>
        <w:t>il également s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0E4AFC" w:rsidRPr="00AB6AA8">
        <w:rPr>
          <w:rFonts w:ascii="Arial" w:hAnsi="Arial" w:cs="Arial"/>
          <w:sz w:val="22"/>
          <w:szCs w:val="22"/>
          <w:lang w:val="fr-FR"/>
        </w:rPr>
        <w:t xml:space="preserve">appliquer aux </w:t>
      </w:r>
      <w:r w:rsidR="000E4AFC" w:rsidRPr="00AB6AA8">
        <w:rPr>
          <w:rFonts w:ascii="Arial" w:hAnsi="Arial" w:cs="Arial"/>
          <w:b/>
          <w:sz w:val="22"/>
          <w:szCs w:val="22"/>
          <w:lang w:val="fr-FR"/>
        </w:rPr>
        <w:t>produits dérivés et aux savoirs traditionnels associés aux ressources génétiques</w:t>
      </w:r>
      <w:r w:rsidR="00F011FA" w:rsidRPr="00AB6AA8">
        <w:rPr>
          <w:rFonts w:ascii="Arial" w:hAnsi="Arial" w:cs="Arial"/>
          <w:sz w:val="22"/>
          <w:szCs w:val="22"/>
          <w:lang w:val="fr-FR"/>
        </w:rPr>
        <w:t>?</w:t>
      </w:r>
    </w:p>
    <w:p w:rsidR="00F33529" w:rsidRPr="00AB6AA8" w:rsidRDefault="000E4AFC" w:rsidP="00E05163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 xml:space="preserve">Quel devrait être </w:t>
      </w:r>
      <w:r w:rsidRPr="00AB6AA8">
        <w:rPr>
          <w:rFonts w:ascii="Arial" w:hAnsi="Arial" w:cs="Arial"/>
          <w:b/>
          <w:sz w:val="22"/>
          <w:szCs w:val="22"/>
          <w:lang w:val="fr-FR"/>
        </w:rPr>
        <w:t>l</w:t>
      </w:r>
      <w:r w:rsidR="00CC28C9">
        <w:rPr>
          <w:rFonts w:ascii="Arial" w:hAnsi="Arial" w:cs="Arial"/>
          <w:b/>
          <w:sz w:val="22"/>
          <w:szCs w:val="22"/>
          <w:lang w:val="fr-FR"/>
        </w:rPr>
        <w:t>’</w:t>
      </w:r>
      <w:r w:rsidRPr="00AB6AA8">
        <w:rPr>
          <w:rFonts w:ascii="Arial" w:hAnsi="Arial" w:cs="Arial"/>
          <w:b/>
          <w:sz w:val="22"/>
          <w:szCs w:val="22"/>
          <w:lang w:val="fr-FR"/>
        </w:rPr>
        <w:t>élément déclencheur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</w:t>
      </w:r>
      <w:r w:rsidR="000C0780" w:rsidRPr="00AB6AA8">
        <w:rPr>
          <w:rFonts w:ascii="Arial" w:hAnsi="Arial" w:cs="Arial"/>
          <w:sz w:val="22"/>
          <w:szCs w:val="22"/>
          <w:lang w:val="fr-FR"/>
        </w:rPr>
        <w:t>de la divulgation</w:t>
      </w:r>
      <w:r w:rsidR="00E576C8" w:rsidRPr="00AB6AA8">
        <w:rPr>
          <w:rFonts w:ascii="Arial" w:hAnsi="Arial" w:cs="Arial"/>
          <w:sz w:val="22"/>
          <w:szCs w:val="22"/>
          <w:lang w:val="fr-FR"/>
        </w:rPr>
        <w:t>?</w:t>
      </w:r>
      <w:r w:rsidR="000C0780" w:rsidRPr="00AB6AA8">
        <w:rPr>
          <w:rFonts w:ascii="Arial" w:hAnsi="Arial" w:cs="Arial"/>
          <w:sz w:val="22"/>
          <w:szCs w:val="22"/>
          <w:lang w:val="fr-FR"/>
        </w:rPr>
        <w:t xml:space="preserve"> </w:t>
      </w:r>
      <w:r w:rsidR="00E576C8" w:rsidRPr="00AB6AA8">
        <w:rPr>
          <w:rFonts w:ascii="Arial" w:hAnsi="Arial" w:cs="Arial"/>
          <w:sz w:val="22"/>
          <w:szCs w:val="22"/>
          <w:lang w:val="fr-FR"/>
        </w:rPr>
        <w:t xml:space="preserve"> </w:t>
      </w:r>
      <w:r w:rsidR="005A6410" w:rsidRPr="00AB6AA8">
        <w:rPr>
          <w:rFonts w:ascii="Arial" w:hAnsi="Arial" w:cs="Arial"/>
          <w:sz w:val="22"/>
          <w:szCs w:val="22"/>
          <w:lang w:val="fr-FR"/>
        </w:rPr>
        <w:t>“</w:t>
      </w:r>
      <w:r w:rsidR="00E576C8" w:rsidRPr="00AB6AA8">
        <w:rPr>
          <w:rFonts w:ascii="Arial" w:hAnsi="Arial" w:cs="Arial"/>
          <w:sz w:val="22"/>
          <w:szCs w:val="22"/>
          <w:lang w:val="fr-FR"/>
        </w:rPr>
        <w:t>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utilisation</w:t>
      </w:r>
      <w:r w:rsidR="005A6410" w:rsidRPr="00AB6AA8">
        <w:rPr>
          <w:rFonts w:ascii="Arial" w:hAnsi="Arial" w:cs="Arial"/>
          <w:sz w:val="22"/>
          <w:szCs w:val="22"/>
          <w:lang w:val="fr-FR"/>
        </w:rPr>
        <w:t xml:space="preserve">” </w:t>
      </w:r>
      <w:r w:rsidRPr="00AB6AA8">
        <w:rPr>
          <w:rFonts w:ascii="Arial" w:hAnsi="Arial" w:cs="Arial"/>
          <w:sz w:val="22"/>
          <w:szCs w:val="22"/>
          <w:lang w:val="fr-FR"/>
        </w:rPr>
        <w:t>de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objet</w:t>
      </w:r>
      <w:r w:rsidR="00E576C8" w:rsidRPr="00AB6AA8">
        <w:rPr>
          <w:rFonts w:ascii="Arial" w:hAnsi="Arial" w:cs="Arial"/>
          <w:sz w:val="22"/>
          <w:szCs w:val="22"/>
          <w:lang w:val="fr-FR"/>
        </w:rPr>
        <w:t>,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le fait que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invention revendiquée soit </w:t>
      </w:r>
      <w:r w:rsidR="005A6410" w:rsidRPr="00AB6AA8">
        <w:rPr>
          <w:rFonts w:ascii="Arial" w:hAnsi="Arial" w:cs="Arial"/>
          <w:sz w:val="22"/>
          <w:szCs w:val="22"/>
          <w:lang w:val="fr-FR"/>
        </w:rPr>
        <w:t>“</w:t>
      </w:r>
      <w:r w:rsidRPr="00AB6AA8">
        <w:rPr>
          <w:rFonts w:ascii="Arial" w:hAnsi="Arial" w:cs="Arial"/>
          <w:sz w:val="22"/>
          <w:szCs w:val="22"/>
          <w:lang w:val="fr-FR"/>
        </w:rPr>
        <w:t>fondée directement</w:t>
      </w:r>
      <w:r w:rsidR="005A6410" w:rsidRPr="00AB6AA8">
        <w:rPr>
          <w:rFonts w:ascii="Arial" w:hAnsi="Arial" w:cs="Arial"/>
          <w:sz w:val="22"/>
          <w:szCs w:val="22"/>
          <w:lang w:val="fr-FR"/>
        </w:rPr>
        <w:t xml:space="preserve">” </w:t>
      </w:r>
      <w:r w:rsidRPr="00AB6AA8">
        <w:rPr>
          <w:rFonts w:ascii="Arial" w:hAnsi="Arial" w:cs="Arial"/>
          <w:sz w:val="22"/>
          <w:szCs w:val="22"/>
          <w:lang w:val="fr-FR"/>
        </w:rPr>
        <w:t>sur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objet ou </w:t>
      </w:r>
      <w:r w:rsidR="00E576C8" w:rsidRPr="00AB6AA8">
        <w:rPr>
          <w:rFonts w:ascii="Arial" w:hAnsi="Arial" w:cs="Arial"/>
          <w:sz w:val="22"/>
          <w:szCs w:val="22"/>
          <w:lang w:val="fr-FR"/>
        </w:rPr>
        <w:t>le fait que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E576C8" w:rsidRPr="00AB6AA8">
        <w:rPr>
          <w:rFonts w:ascii="Arial" w:hAnsi="Arial" w:cs="Arial"/>
          <w:sz w:val="22"/>
          <w:szCs w:val="22"/>
          <w:lang w:val="fr-FR"/>
        </w:rPr>
        <w:t xml:space="preserve">invention revendiquée soit </w:t>
      </w:r>
      <w:r w:rsidR="005A6410" w:rsidRPr="00AB6AA8">
        <w:rPr>
          <w:rFonts w:ascii="Arial" w:hAnsi="Arial" w:cs="Arial"/>
          <w:sz w:val="22"/>
          <w:szCs w:val="22"/>
          <w:lang w:val="fr-FR"/>
        </w:rPr>
        <w:t>“</w:t>
      </w:r>
      <w:r w:rsidRPr="00AB6AA8">
        <w:rPr>
          <w:rFonts w:ascii="Arial" w:hAnsi="Arial" w:cs="Arial"/>
          <w:sz w:val="22"/>
          <w:szCs w:val="22"/>
          <w:lang w:val="fr-FR"/>
        </w:rPr>
        <w:t>fondée directement sur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utilisation</w:t>
      </w:r>
      <w:r w:rsidR="005A6410" w:rsidRPr="00AB6AA8">
        <w:rPr>
          <w:rFonts w:ascii="Arial" w:hAnsi="Arial" w:cs="Arial"/>
          <w:sz w:val="22"/>
          <w:szCs w:val="22"/>
          <w:lang w:val="fr-FR"/>
        </w:rPr>
        <w:t xml:space="preserve">” </w:t>
      </w:r>
      <w:r w:rsidRPr="00AB6AA8">
        <w:rPr>
          <w:rFonts w:ascii="Arial" w:hAnsi="Arial" w:cs="Arial"/>
          <w:sz w:val="22"/>
          <w:szCs w:val="22"/>
          <w:lang w:val="fr-FR"/>
        </w:rPr>
        <w:t>de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objet</w:t>
      </w:r>
      <w:r w:rsidR="005A6410" w:rsidRPr="00AB6AA8">
        <w:rPr>
          <w:rFonts w:ascii="Arial" w:hAnsi="Arial" w:cs="Arial"/>
          <w:sz w:val="22"/>
          <w:szCs w:val="22"/>
          <w:lang w:val="fr-FR"/>
        </w:rPr>
        <w:t>?</w:t>
      </w:r>
    </w:p>
    <w:p w:rsidR="00F33529" w:rsidRPr="00AB6AA8" w:rsidRDefault="00185924" w:rsidP="00E05163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 xml:space="preserve">Quel devrait être la </w:t>
      </w:r>
      <w:r w:rsidRPr="00AB6AA8">
        <w:rPr>
          <w:rFonts w:ascii="Arial" w:hAnsi="Arial" w:cs="Arial"/>
          <w:b/>
          <w:sz w:val="22"/>
          <w:szCs w:val="22"/>
          <w:lang w:val="fr-FR"/>
        </w:rPr>
        <w:t xml:space="preserve">teneur </w:t>
      </w:r>
      <w:r w:rsidRPr="00AB6AA8">
        <w:rPr>
          <w:rFonts w:ascii="Arial" w:hAnsi="Arial" w:cs="Arial"/>
          <w:sz w:val="22"/>
          <w:szCs w:val="22"/>
          <w:lang w:val="fr-FR"/>
        </w:rPr>
        <w:t>de la divulgation? 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origine et/ou la source des ressources génétiques</w:t>
      </w:r>
      <w:r w:rsidR="00E576C8" w:rsidRPr="00AB6AA8">
        <w:rPr>
          <w:rFonts w:ascii="Arial" w:hAnsi="Arial" w:cs="Arial"/>
          <w:sz w:val="22"/>
          <w:szCs w:val="22"/>
          <w:lang w:val="fr-FR"/>
        </w:rPr>
        <w:t>, ainsi que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des informations concernant la conformité avec les exigences en matière d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accès et de partage des avantages, </w:t>
      </w:r>
      <w:r w:rsidR="00CC28C9">
        <w:rPr>
          <w:rFonts w:ascii="Arial" w:hAnsi="Arial" w:cs="Arial"/>
          <w:sz w:val="22"/>
          <w:szCs w:val="22"/>
          <w:lang w:val="fr-FR"/>
        </w:rPr>
        <w:t>y compris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le consentement préalable en connaissance de cause</w:t>
      </w:r>
      <w:r w:rsidR="005A6410" w:rsidRPr="00AB6AA8">
        <w:rPr>
          <w:rFonts w:ascii="Arial" w:hAnsi="Arial" w:cs="Arial"/>
          <w:sz w:val="22"/>
          <w:szCs w:val="22"/>
          <w:lang w:val="fr-FR"/>
        </w:rPr>
        <w:t>?</w:t>
      </w:r>
    </w:p>
    <w:p w:rsidR="00BB77E3" w:rsidRPr="00AB6AA8" w:rsidRDefault="00185924" w:rsidP="00E05163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>Devrait</w:t>
      </w:r>
      <w:r w:rsidR="006E1E1D">
        <w:rPr>
          <w:rFonts w:ascii="Arial" w:hAnsi="Arial" w:cs="Arial"/>
          <w:sz w:val="22"/>
          <w:szCs w:val="22"/>
          <w:lang w:val="fr-FR"/>
        </w:rPr>
        <w:noBreakHyphen/>
      </w:r>
      <w:r w:rsidRPr="00AB6AA8">
        <w:rPr>
          <w:rFonts w:ascii="Arial" w:hAnsi="Arial" w:cs="Arial"/>
          <w:sz w:val="22"/>
          <w:szCs w:val="22"/>
          <w:lang w:val="fr-FR"/>
        </w:rPr>
        <w:t xml:space="preserve">on prévoir des </w:t>
      </w:r>
      <w:r w:rsidRPr="00AB6AA8">
        <w:rPr>
          <w:rFonts w:ascii="Arial" w:hAnsi="Arial" w:cs="Arial"/>
          <w:b/>
          <w:sz w:val="22"/>
          <w:szCs w:val="22"/>
          <w:lang w:val="fr-FR"/>
        </w:rPr>
        <w:t>exceptions et limitations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relatives à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exigence de divulgation et, </w:t>
      </w:r>
      <w:r w:rsidR="00855F65" w:rsidRPr="00AB6AA8">
        <w:rPr>
          <w:rFonts w:ascii="Arial" w:hAnsi="Arial" w:cs="Arial"/>
          <w:sz w:val="22"/>
          <w:szCs w:val="22"/>
          <w:lang w:val="fr-FR"/>
        </w:rPr>
        <w:t>dans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855F65" w:rsidRPr="00AB6AA8">
        <w:rPr>
          <w:rFonts w:ascii="Arial" w:hAnsi="Arial" w:cs="Arial"/>
          <w:sz w:val="22"/>
          <w:szCs w:val="22"/>
          <w:lang w:val="fr-FR"/>
        </w:rPr>
        <w:t>affirmative</w:t>
      </w:r>
      <w:r w:rsidRPr="00AB6AA8">
        <w:rPr>
          <w:rFonts w:ascii="Arial" w:hAnsi="Arial" w:cs="Arial"/>
          <w:sz w:val="22"/>
          <w:szCs w:val="22"/>
          <w:lang w:val="fr-FR"/>
        </w:rPr>
        <w:t>, lesquelles?</w:t>
      </w:r>
    </w:p>
    <w:p w:rsidR="00F33529" w:rsidRPr="00AB6AA8" w:rsidRDefault="00185924" w:rsidP="00185924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 xml:space="preserve">Les questions concernant les ressources génétiques et/ou les produits dérivés existant dans la nature ou isolés de la nature qui sont des </w:t>
      </w:r>
      <w:r w:rsidRPr="00AB6AA8">
        <w:rPr>
          <w:rFonts w:ascii="Arial" w:hAnsi="Arial" w:cs="Arial"/>
          <w:b/>
          <w:sz w:val="22"/>
          <w:szCs w:val="22"/>
          <w:lang w:val="fr-FR"/>
        </w:rPr>
        <w:t>objets susceptibles de protection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par la propriété intellectuelle/par brevet</w:t>
      </w:r>
      <w:r w:rsidR="004B657A" w:rsidRPr="00AB6AA8">
        <w:rPr>
          <w:rFonts w:ascii="Arial" w:hAnsi="Arial" w:cs="Arial"/>
          <w:sz w:val="22"/>
          <w:szCs w:val="22"/>
          <w:lang w:val="fr-FR"/>
        </w:rPr>
        <w:t xml:space="preserve"> </w:t>
      </w:r>
      <w:r w:rsidR="00855F65" w:rsidRPr="00AB6AA8">
        <w:rPr>
          <w:rFonts w:ascii="Arial" w:hAnsi="Arial" w:cs="Arial"/>
          <w:sz w:val="22"/>
          <w:szCs w:val="22"/>
          <w:lang w:val="fr-FR"/>
        </w:rPr>
        <w:t>devraient</w:t>
      </w:r>
      <w:r w:rsidR="006E1E1D">
        <w:rPr>
          <w:rFonts w:ascii="Arial" w:hAnsi="Arial" w:cs="Arial"/>
          <w:sz w:val="22"/>
          <w:szCs w:val="22"/>
          <w:lang w:val="fr-FR"/>
        </w:rPr>
        <w:noBreakHyphen/>
      </w:r>
      <w:r w:rsidR="00855F65" w:rsidRPr="00AB6AA8">
        <w:rPr>
          <w:rFonts w:ascii="Arial" w:hAnsi="Arial" w:cs="Arial"/>
          <w:sz w:val="22"/>
          <w:szCs w:val="22"/>
          <w:lang w:val="fr-FR"/>
        </w:rPr>
        <w:t>elles être traitées dans cet instrument et, dans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855F65" w:rsidRPr="00AB6AA8">
        <w:rPr>
          <w:rFonts w:ascii="Arial" w:hAnsi="Arial" w:cs="Arial"/>
          <w:sz w:val="22"/>
          <w:szCs w:val="22"/>
          <w:lang w:val="fr-FR"/>
        </w:rPr>
        <w:t xml:space="preserve">affirmative, dans quelle partie, </w:t>
      </w:r>
      <w:r w:rsidR="00CC28C9">
        <w:rPr>
          <w:rFonts w:ascii="Arial" w:hAnsi="Arial" w:cs="Arial"/>
          <w:sz w:val="22"/>
          <w:szCs w:val="22"/>
          <w:lang w:val="fr-FR"/>
        </w:rPr>
        <w:t>à savoir</w:t>
      </w:r>
      <w:r w:rsidR="00855F65" w:rsidRPr="00AB6AA8">
        <w:rPr>
          <w:rFonts w:ascii="Arial" w:hAnsi="Arial" w:cs="Arial"/>
          <w:sz w:val="22"/>
          <w:szCs w:val="22"/>
          <w:lang w:val="fr-FR"/>
        </w:rPr>
        <w:t xml:space="preserve"> le préambule ou le corps du texte de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855F65" w:rsidRPr="00AB6AA8">
        <w:rPr>
          <w:rFonts w:ascii="Arial" w:hAnsi="Arial" w:cs="Arial"/>
          <w:sz w:val="22"/>
          <w:szCs w:val="22"/>
          <w:lang w:val="fr-FR"/>
        </w:rPr>
        <w:t>instrument?</w:t>
      </w:r>
    </w:p>
    <w:p w:rsidR="00F33529" w:rsidRPr="00AB6AA8" w:rsidRDefault="00855F65" w:rsidP="00E05163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 xml:space="preserve">Quelles seraient les </w:t>
      </w:r>
      <w:r w:rsidRPr="00AB6AA8">
        <w:rPr>
          <w:rFonts w:ascii="Arial" w:hAnsi="Arial" w:cs="Arial"/>
          <w:b/>
          <w:sz w:val="22"/>
          <w:szCs w:val="22"/>
          <w:lang w:val="fr-FR"/>
        </w:rPr>
        <w:t xml:space="preserve">conséquences </w:t>
      </w:r>
      <w:r w:rsidR="00291954" w:rsidRPr="00AB6AA8">
        <w:rPr>
          <w:rFonts w:ascii="Arial" w:hAnsi="Arial" w:cs="Arial"/>
          <w:b/>
          <w:sz w:val="22"/>
          <w:szCs w:val="22"/>
          <w:lang w:val="fr-FR"/>
        </w:rPr>
        <w:t>en cas de non</w:t>
      </w:r>
      <w:r w:rsidR="006E1E1D">
        <w:rPr>
          <w:rFonts w:ascii="Arial" w:hAnsi="Arial" w:cs="Arial"/>
          <w:b/>
          <w:sz w:val="22"/>
          <w:szCs w:val="22"/>
          <w:lang w:val="fr-FR"/>
        </w:rPr>
        <w:noBreakHyphen/>
      </w:r>
      <w:r w:rsidR="00291954" w:rsidRPr="00AB6AA8">
        <w:rPr>
          <w:rFonts w:ascii="Arial" w:hAnsi="Arial" w:cs="Arial"/>
          <w:b/>
          <w:sz w:val="22"/>
          <w:szCs w:val="22"/>
          <w:lang w:val="fr-FR"/>
        </w:rPr>
        <w:t>respect de l</w:t>
      </w:r>
      <w:r w:rsidR="00CC28C9">
        <w:rPr>
          <w:rFonts w:ascii="Arial" w:hAnsi="Arial" w:cs="Arial"/>
          <w:b/>
          <w:sz w:val="22"/>
          <w:szCs w:val="22"/>
          <w:lang w:val="fr-FR"/>
        </w:rPr>
        <w:t>’</w:t>
      </w:r>
      <w:r w:rsidRPr="00AB6AA8">
        <w:rPr>
          <w:rFonts w:ascii="Arial" w:hAnsi="Arial" w:cs="Arial"/>
          <w:b/>
          <w:sz w:val="22"/>
          <w:szCs w:val="22"/>
          <w:lang w:val="fr-FR"/>
        </w:rPr>
        <w:t>exigence de divulgation</w:t>
      </w:r>
      <w:r w:rsidR="004B657A" w:rsidRPr="00AB6AA8">
        <w:rPr>
          <w:rFonts w:ascii="Arial" w:hAnsi="Arial" w:cs="Arial"/>
          <w:sz w:val="22"/>
          <w:szCs w:val="22"/>
          <w:lang w:val="fr-FR"/>
        </w:rPr>
        <w:t xml:space="preserve">?  </w:t>
      </w:r>
      <w:r w:rsidRPr="00AB6AA8">
        <w:rPr>
          <w:rFonts w:ascii="Arial" w:hAnsi="Arial" w:cs="Arial"/>
          <w:sz w:val="22"/>
          <w:szCs w:val="22"/>
          <w:lang w:val="fr-FR"/>
        </w:rPr>
        <w:t>Un tel manquement devrait</w:t>
      </w:r>
      <w:r w:rsidR="006E1E1D">
        <w:rPr>
          <w:rFonts w:ascii="Arial" w:hAnsi="Arial" w:cs="Arial"/>
          <w:sz w:val="22"/>
          <w:szCs w:val="22"/>
          <w:lang w:val="fr-FR"/>
        </w:rPr>
        <w:noBreakHyphen/>
      </w:r>
      <w:r w:rsidRPr="00AB6AA8">
        <w:rPr>
          <w:rFonts w:ascii="Arial" w:hAnsi="Arial" w:cs="Arial"/>
          <w:sz w:val="22"/>
          <w:szCs w:val="22"/>
          <w:lang w:val="fr-FR"/>
        </w:rPr>
        <w:t>t</w:t>
      </w:r>
      <w:r w:rsidR="006E1E1D">
        <w:rPr>
          <w:rFonts w:ascii="Arial" w:hAnsi="Arial" w:cs="Arial"/>
          <w:sz w:val="22"/>
          <w:szCs w:val="22"/>
          <w:lang w:val="fr-FR"/>
        </w:rPr>
        <w:noBreakHyphen/>
      </w:r>
      <w:r w:rsidRPr="00AB6AA8">
        <w:rPr>
          <w:rFonts w:ascii="Arial" w:hAnsi="Arial" w:cs="Arial"/>
          <w:sz w:val="22"/>
          <w:szCs w:val="22"/>
          <w:lang w:val="fr-FR"/>
        </w:rPr>
        <w:t>il avoir une incidence sur la validité d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un brevet délivré et, dans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affirmative, dans quelles </w:t>
      </w:r>
      <w:r w:rsidR="009C415A" w:rsidRPr="00AB6AA8">
        <w:rPr>
          <w:rFonts w:ascii="Arial" w:hAnsi="Arial" w:cs="Arial"/>
          <w:sz w:val="22"/>
          <w:szCs w:val="22"/>
          <w:lang w:val="fr-FR"/>
        </w:rPr>
        <w:t>circonstances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entraînerait</w:t>
      </w:r>
      <w:r w:rsidR="006E1E1D">
        <w:rPr>
          <w:rFonts w:ascii="Arial" w:hAnsi="Arial" w:cs="Arial"/>
          <w:sz w:val="22"/>
          <w:szCs w:val="22"/>
          <w:lang w:val="fr-FR"/>
        </w:rPr>
        <w:noBreakHyphen/>
      </w:r>
      <w:r w:rsidRPr="00AB6AA8">
        <w:rPr>
          <w:rFonts w:ascii="Arial" w:hAnsi="Arial" w:cs="Arial"/>
          <w:sz w:val="22"/>
          <w:szCs w:val="22"/>
          <w:lang w:val="fr-FR"/>
        </w:rPr>
        <w:t>il la révocation du brevet</w:t>
      </w:r>
      <w:r w:rsidR="00473BB6" w:rsidRPr="00AB6AA8">
        <w:rPr>
          <w:rFonts w:ascii="Arial" w:hAnsi="Arial" w:cs="Arial"/>
          <w:sz w:val="22"/>
          <w:szCs w:val="22"/>
          <w:lang w:val="fr-FR"/>
        </w:rPr>
        <w:t>?</w:t>
      </w:r>
    </w:p>
    <w:p w:rsidR="00F33529" w:rsidRPr="00C90320" w:rsidRDefault="00F33529" w:rsidP="00602F2E">
      <w:pPr>
        <w:rPr>
          <w:rFonts w:ascii="Arial" w:hAnsi="Arial" w:cs="Arial"/>
          <w:sz w:val="20"/>
          <w:szCs w:val="22"/>
          <w:lang w:val="fr-FR"/>
        </w:rPr>
      </w:pPr>
    </w:p>
    <w:p w:rsidR="00BB77E3" w:rsidRPr="00613A79" w:rsidRDefault="006E738B" w:rsidP="00602F2E">
      <w:pPr>
        <w:rPr>
          <w:rFonts w:ascii="Arial" w:hAnsi="Arial" w:cs="Arial"/>
          <w:spacing w:val="-2"/>
          <w:sz w:val="22"/>
          <w:szCs w:val="22"/>
          <w:lang w:val="fr-FR"/>
        </w:rPr>
      </w:pPr>
      <w:r w:rsidRPr="00613A79">
        <w:rPr>
          <w:rFonts w:ascii="Arial" w:hAnsi="Arial" w:cs="Arial"/>
          <w:spacing w:val="-2"/>
          <w:sz w:val="22"/>
          <w:szCs w:val="22"/>
          <w:lang w:val="fr-FR"/>
        </w:rPr>
        <w:t xml:space="preserve">En ce qui concerne les </w:t>
      </w:r>
      <w:r w:rsidRPr="00613A79">
        <w:rPr>
          <w:rFonts w:ascii="Arial" w:hAnsi="Arial" w:cs="Arial"/>
          <w:b/>
          <w:spacing w:val="-2"/>
          <w:sz w:val="22"/>
          <w:szCs w:val="22"/>
          <w:lang w:val="fr-FR"/>
        </w:rPr>
        <w:t>mesures défensives</w:t>
      </w:r>
      <w:r w:rsidR="005E108D" w:rsidRPr="00613A79">
        <w:rPr>
          <w:rFonts w:ascii="Arial" w:hAnsi="Arial" w:cs="Arial"/>
          <w:spacing w:val="-2"/>
          <w:sz w:val="22"/>
          <w:szCs w:val="22"/>
          <w:lang w:val="fr-FR"/>
        </w:rPr>
        <w:t xml:space="preserve"> </w:t>
      </w:r>
      <w:r w:rsidR="00404132" w:rsidRPr="00613A79">
        <w:rPr>
          <w:rFonts w:ascii="Arial" w:hAnsi="Arial" w:cs="Arial"/>
          <w:spacing w:val="-2"/>
          <w:sz w:val="22"/>
          <w:szCs w:val="22"/>
          <w:lang w:val="fr-FR"/>
        </w:rPr>
        <w:t>indiquées dans le document de synthèse, il convient de noter que certains États membres sont d</w:t>
      </w:r>
      <w:r w:rsidR="00CC28C9">
        <w:rPr>
          <w:rFonts w:ascii="Arial" w:hAnsi="Arial" w:cs="Arial"/>
          <w:spacing w:val="-2"/>
          <w:sz w:val="22"/>
          <w:szCs w:val="22"/>
          <w:lang w:val="fr-FR"/>
        </w:rPr>
        <w:t>’</w:t>
      </w:r>
      <w:r w:rsidR="00404132" w:rsidRPr="00613A79">
        <w:rPr>
          <w:rFonts w:ascii="Arial" w:hAnsi="Arial" w:cs="Arial"/>
          <w:spacing w:val="-2"/>
          <w:sz w:val="22"/>
          <w:szCs w:val="22"/>
          <w:lang w:val="fr-FR"/>
        </w:rPr>
        <w:t>avis que la meilleure solution pour atteindre les objectifs consisterait à adopter uniquement des mesures défensives, sans autres exigences de divulgation, tandis que d</w:t>
      </w:r>
      <w:r w:rsidR="00CC28C9">
        <w:rPr>
          <w:rFonts w:ascii="Arial" w:hAnsi="Arial" w:cs="Arial"/>
          <w:spacing w:val="-2"/>
          <w:sz w:val="22"/>
          <w:szCs w:val="22"/>
          <w:lang w:val="fr-FR"/>
        </w:rPr>
        <w:t>’</w:t>
      </w:r>
      <w:r w:rsidR="00404132" w:rsidRPr="00613A79">
        <w:rPr>
          <w:rFonts w:ascii="Arial" w:hAnsi="Arial" w:cs="Arial"/>
          <w:spacing w:val="-2"/>
          <w:sz w:val="22"/>
          <w:szCs w:val="22"/>
          <w:lang w:val="fr-FR"/>
        </w:rPr>
        <w:t xml:space="preserve">autres États membres estiment que les exigences de divulgation pourraient être </w:t>
      </w:r>
      <w:r w:rsidR="000D3D8A" w:rsidRPr="00613A79">
        <w:rPr>
          <w:rFonts w:ascii="Arial" w:hAnsi="Arial" w:cs="Arial"/>
          <w:spacing w:val="-2"/>
          <w:sz w:val="22"/>
          <w:szCs w:val="22"/>
          <w:lang w:val="fr-FR"/>
        </w:rPr>
        <w:t xml:space="preserve">assorties </w:t>
      </w:r>
      <w:r w:rsidR="00404132" w:rsidRPr="00613A79">
        <w:rPr>
          <w:rFonts w:ascii="Arial" w:hAnsi="Arial" w:cs="Arial"/>
          <w:spacing w:val="-2"/>
          <w:sz w:val="22"/>
          <w:szCs w:val="22"/>
          <w:lang w:val="fr-FR"/>
        </w:rPr>
        <w:t>de mesures défensiv</w:t>
      </w:r>
      <w:r w:rsidR="00A76B86" w:rsidRPr="00613A79">
        <w:rPr>
          <w:rFonts w:ascii="Arial" w:hAnsi="Arial" w:cs="Arial"/>
          <w:spacing w:val="-2"/>
          <w:sz w:val="22"/>
          <w:szCs w:val="22"/>
          <w:lang w:val="fr-FR"/>
        </w:rPr>
        <w:t>es</w:t>
      </w:r>
      <w:r w:rsidR="00A76B86">
        <w:rPr>
          <w:rFonts w:ascii="Arial" w:hAnsi="Arial" w:cs="Arial"/>
          <w:spacing w:val="-2"/>
          <w:sz w:val="22"/>
          <w:szCs w:val="22"/>
          <w:lang w:val="fr-FR"/>
        </w:rPr>
        <w:t xml:space="preserve">.  </w:t>
      </w:r>
      <w:r w:rsidR="00A76B86" w:rsidRPr="00613A79">
        <w:rPr>
          <w:rFonts w:ascii="Arial" w:hAnsi="Arial" w:cs="Arial"/>
          <w:spacing w:val="-2"/>
          <w:sz w:val="22"/>
          <w:szCs w:val="22"/>
          <w:lang w:val="fr-FR"/>
        </w:rPr>
        <w:t>Co</w:t>
      </w:r>
      <w:r w:rsidR="00404132" w:rsidRPr="00613A79">
        <w:rPr>
          <w:rFonts w:ascii="Arial" w:hAnsi="Arial" w:cs="Arial"/>
          <w:spacing w:val="-2"/>
          <w:sz w:val="22"/>
          <w:szCs w:val="22"/>
          <w:lang w:val="fr-FR"/>
        </w:rPr>
        <w:t xml:space="preserve">mpte tenu de ce qui précède, les États membres </w:t>
      </w:r>
      <w:r w:rsidR="00423A80" w:rsidRPr="00613A79">
        <w:rPr>
          <w:rFonts w:ascii="Arial" w:hAnsi="Arial" w:cs="Arial"/>
          <w:spacing w:val="-2"/>
          <w:sz w:val="22"/>
          <w:szCs w:val="22"/>
          <w:lang w:val="fr-FR"/>
        </w:rPr>
        <w:t>pourraient envisager d</w:t>
      </w:r>
      <w:r w:rsidR="00CC28C9">
        <w:rPr>
          <w:rFonts w:ascii="Arial" w:hAnsi="Arial" w:cs="Arial"/>
          <w:spacing w:val="-2"/>
          <w:sz w:val="22"/>
          <w:szCs w:val="22"/>
          <w:lang w:val="fr-FR"/>
        </w:rPr>
        <w:t>’</w:t>
      </w:r>
      <w:r w:rsidR="00404132" w:rsidRPr="00613A79">
        <w:rPr>
          <w:rFonts w:ascii="Arial" w:hAnsi="Arial" w:cs="Arial"/>
          <w:spacing w:val="-2"/>
          <w:sz w:val="22"/>
          <w:szCs w:val="22"/>
          <w:lang w:val="fr-FR"/>
        </w:rPr>
        <w:t>examiner la nécessité de prévoir</w:t>
      </w:r>
      <w:r w:rsidR="00423A80" w:rsidRPr="00613A79">
        <w:rPr>
          <w:rFonts w:ascii="Arial" w:hAnsi="Arial" w:cs="Arial"/>
          <w:spacing w:val="-2"/>
          <w:sz w:val="22"/>
          <w:szCs w:val="22"/>
          <w:lang w:val="fr-FR"/>
        </w:rPr>
        <w:t>,</w:t>
      </w:r>
      <w:r w:rsidR="00404132" w:rsidRPr="00613A79">
        <w:rPr>
          <w:rFonts w:ascii="Arial" w:hAnsi="Arial" w:cs="Arial"/>
          <w:spacing w:val="-2"/>
          <w:sz w:val="22"/>
          <w:szCs w:val="22"/>
          <w:lang w:val="fr-FR"/>
        </w:rPr>
        <w:t xml:space="preserve"> dans le cadre de cet instrument international</w:t>
      </w:r>
      <w:r w:rsidR="00423A80" w:rsidRPr="00613A79">
        <w:rPr>
          <w:rFonts w:ascii="Arial" w:hAnsi="Arial" w:cs="Arial"/>
          <w:spacing w:val="-2"/>
          <w:sz w:val="22"/>
          <w:szCs w:val="22"/>
          <w:lang w:val="fr-FR"/>
        </w:rPr>
        <w:t>,</w:t>
      </w:r>
      <w:r w:rsidR="00404132" w:rsidRPr="00613A79">
        <w:rPr>
          <w:rFonts w:ascii="Arial" w:hAnsi="Arial" w:cs="Arial"/>
          <w:spacing w:val="-2"/>
          <w:sz w:val="22"/>
          <w:szCs w:val="22"/>
          <w:lang w:val="fr-FR"/>
        </w:rPr>
        <w:t xml:space="preserve"> des </w:t>
      </w:r>
      <w:r w:rsidR="00404132" w:rsidRPr="00613A79">
        <w:rPr>
          <w:rFonts w:ascii="Arial" w:hAnsi="Arial" w:cs="Arial"/>
          <w:b/>
          <w:spacing w:val="-2"/>
          <w:sz w:val="22"/>
          <w:szCs w:val="22"/>
          <w:lang w:val="fr-FR"/>
        </w:rPr>
        <w:t xml:space="preserve">mesures </w:t>
      </w:r>
      <w:r w:rsidR="00735BC7" w:rsidRPr="00613A79">
        <w:rPr>
          <w:rFonts w:ascii="Arial" w:hAnsi="Arial" w:cs="Arial"/>
          <w:b/>
          <w:spacing w:val="-2"/>
          <w:sz w:val="22"/>
          <w:szCs w:val="22"/>
          <w:lang w:val="fr-FR"/>
        </w:rPr>
        <w:t>complémentaires</w:t>
      </w:r>
      <w:r w:rsidR="00CE770A" w:rsidRPr="00613A79">
        <w:rPr>
          <w:rFonts w:ascii="Arial" w:hAnsi="Arial" w:cs="Arial"/>
          <w:b/>
          <w:spacing w:val="-2"/>
          <w:sz w:val="22"/>
          <w:szCs w:val="22"/>
          <w:lang w:val="fr-FR"/>
        </w:rPr>
        <w:t xml:space="preserve"> fondées sur la </w:t>
      </w:r>
      <w:r w:rsidR="00404132" w:rsidRPr="00613A79">
        <w:rPr>
          <w:rFonts w:ascii="Arial" w:hAnsi="Arial" w:cs="Arial"/>
          <w:b/>
          <w:spacing w:val="-2"/>
          <w:sz w:val="22"/>
          <w:szCs w:val="22"/>
          <w:lang w:val="fr-FR"/>
        </w:rPr>
        <w:t xml:space="preserve">diligence </w:t>
      </w:r>
      <w:r w:rsidR="002F0D96" w:rsidRPr="00613A79">
        <w:rPr>
          <w:rFonts w:ascii="Arial" w:hAnsi="Arial" w:cs="Arial"/>
          <w:b/>
          <w:spacing w:val="-2"/>
          <w:sz w:val="22"/>
          <w:szCs w:val="22"/>
          <w:lang w:val="fr-FR"/>
        </w:rPr>
        <w:t>r</w:t>
      </w:r>
      <w:r w:rsidR="00CE770A" w:rsidRPr="00613A79">
        <w:rPr>
          <w:rFonts w:ascii="Arial" w:hAnsi="Arial" w:cs="Arial"/>
          <w:b/>
          <w:spacing w:val="-2"/>
          <w:sz w:val="22"/>
          <w:szCs w:val="22"/>
          <w:lang w:val="fr-FR"/>
        </w:rPr>
        <w:t>equi</w:t>
      </w:r>
      <w:r w:rsidR="00A76B86" w:rsidRPr="00613A79">
        <w:rPr>
          <w:rFonts w:ascii="Arial" w:hAnsi="Arial" w:cs="Arial"/>
          <w:b/>
          <w:spacing w:val="-2"/>
          <w:sz w:val="22"/>
          <w:szCs w:val="22"/>
          <w:lang w:val="fr-FR"/>
        </w:rPr>
        <w:t>se</w:t>
      </w:r>
      <w:r w:rsidR="00A76B86">
        <w:rPr>
          <w:rFonts w:ascii="Arial" w:hAnsi="Arial" w:cs="Arial"/>
          <w:b/>
          <w:spacing w:val="-2"/>
          <w:sz w:val="22"/>
          <w:szCs w:val="22"/>
          <w:lang w:val="fr-FR"/>
        </w:rPr>
        <w:t xml:space="preserve">.  </w:t>
      </w:r>
      <w:r w:rsidR="00A76B86" w:rsidRPr="00613A79">
        <w:rPr>
          <w:rFonts w:ascii="Arial" w:hAnsi="Arial" w:cs="Arial"/>
          <w:spacing w:val="-2"/>
          <w:sz w:val="22"/>
          <w:szCs w:val="22"/>
          <w:lang w:val="fr-FR"/>
        </w:rPr>
        <w:t>En</w:t>
      </w:r>
      <w:r w:rsidR="00E174B0" w:rsidRPr="00613A79">
        <w:rPr>
          <w:rFonts w:ascii="Arial" w:hAnsi="Arial" w:cs="Arial"/>
          <w:spacing w:val="-2"/>
          <w:sz w:val="22"/>
          <w:szCs w:val="22"/>
          <w:lang w:val="fr-FR"/>
        </w:rPr>
        <w:t xml:space="preserve"> outre, i</w:t>
      </w:r>
      <w:r w:rsidR="002F0D96" w:rsidRPr="00613A79">
        <w:rPr>
          <w:rFonts w:ascii="Arial" w:hAnsi="Arial" w:cs="Arial"/>
          <w:spacing w:val="-2"/>
          <w:sz w:val="22"/>
          <w:szCs w:val="22"/>
          <w:lang w:val="fr-FR"/>
        </w:rPr>
        <w:t xml:space="preserve">l semblerait que la plupart des États membres soient </w:t>
      </w:r>
      <w:r w:rsidR="00CE770A" w:rsidRPr="00613A79">
        <w:rPr>
          <w:rFonts w:ascii="Arial" w:hAnsi="Arial" w:cs="Arial"/>
          <w:spacing w:val="-2"/>
          <w:sz w:val="22"/>
          <w:szCs w:val="22"/>
          <w:lang w:val="fr-FR"/>
        </w:rPr>
        <w:t>d</w:t>
      </w:r>
      <w:r w:rsidR="00CC28C9">
        <w:rPr>
          <w:rFonts w:ascii="Arial" w:hAnsi="Arial" w:cs="Arial"/>
          <w:spacing w:val="-2"/>
          <w:sz w:val="22"/>
          <w:szCs w:val="22"/>
          <w:lang w:val="fr-FR"/>
        </w:rPr>
        <w:t>’</w:t>
      </w:r>
      <w:r w:rsidR="00CE770A" w:rsidRPr="00613A79">
        <w:rPr>
          <w:rFonts w:ascii="Arial" w:hAnsi="Arial" w:cs="Arial"/>
          <w:spacing w:val="-2"/>
          <w:sz w:val="22"/>
          <w:szCs w:val="22"/>
          <w:lang w:val="fr-FR"/>
        </w:rPr>
        <w:t>avis</w:t>
      </w:r>
      <w:r w:rsidR="002F0D96" w:rsidRPr="00613A79">
        <w:rPr>
          <w:rFonts w:ascii="Arial" w:hAnsi="Arial" w:cs="Arial"/>
          <w:spacing w:val="-2"/>
          <w:sz w:val="22"/>
          <w:szCs w:val="22"/>
          <w:lang w:val="fr-FR"/>
        </w:rPr>
        <w:t xml:space="preserve"> que les </w:t>
      </w:r>
      <w:r w:rsidR="002F0D96" w:rsidRPr="00613A79">
        <w:rPr>
          <w:rFonts w:ascii="Arial" w:hAnsi="Arial" w:cs="Arial"/>
          <w:b/>
          <w:spacing w:val="-2"/>
          <w:sz w:val="22"/>
          <w:szCs w:val="22"/>
          <w:lang w:val="fr-FR"/>
        </w:rPr>
        <w:t>bases</w:t>
      </w:r>
      <w:r w:rsidR="00B63EBA" w:rsidRPr="00613A79">
        <w:rPr>
          <w:rFonts w:ascii="Arial" w:hAnsi="Arial" w:cs="Arial"/>
          <w:b/>
          <w:spacing w:val="-2"/>
          <w:sz w:val="22"/>
          <w:szCs w:val="22"/>
          <w:lang w:val="fr-FR"/>
        </w:rPr>
        <w:t> </w:t>
      </w:r>
      <w:r w:rsidR="002F0D96" w:rsidRPr="00613A79">
        <w:rPr>
          <w:rFonts w:ascii="Arial" w:hAnsi="Arial" w:cs="Arial"/>
          <w:b/>
          <w:spacing w:val="-2"/>
          <w:sz w:val="22"/>
          <w:szCs w:val="22"/>
          <w:lang w:val="fr-FR"/>
        </w:rPr>
        <w:t>de données</w:t>
      </w:r>
      <w:r w:rsidR="002F0D96" w:rsidRPr="00613A79">
        <w:rPr>
          <w:rFonts w:ascii="Arial" w:hAnsi="Arial" w:cs="Arial"/>
          <w:spacing w:val="-2"/>
          <w:sz w:val="22"/>
          <w:szCs w:val="22"/>
          <w:lang w:val="fr-FR"/>
        </w:rPr>
        <w:t>, quelle que soit l</w:t>
      </w:r>
      <w:r w:rsidR="00CC28C9">
        <w:rPr>
          <w:rFonts w:ascii="Arial" w:hAnsi="Arial" w:cs="Arial"/>
          <w:spacing w:val="-2"/>
          <w:sz w:val="22"/>
          <w:szCs w:val="22"/>
          <w:lang w:val="fr-FR"/>
        </w:rPr>
        <w:t>’</w:t>
      </w:r>
      <w:r w:rsidR="002F0D96" w:rsidRPr="00613A79">
        <w:rPr>
          <w:rFonts w:ascii="Arial" w:hAnsi="Arial" w:cs="Arial"/>
          <w:spacing w:val="-2"/>
          <w:sz w:val="22"/>
          <w:szCs w:val="22"/>
          <w:lang w:val="fr-FR"/>
        </w:rPr>
        <w:t>approche (exigence de divulgation ou non)</w:t>
      </w:r>
      <w:r w:rsidR="00AD0313" w:rsidRPr="00613A79">
        <w:rPr>
          <w:rFonts w:ascii="Arial" w:hAnsi="Arial" w:cs="Arial"/>
          <w:spacing w:val="-2"/>
          <w:sz w:val="22"/>
          <w:szCs w:val="22"/>
          <w:lang w:val="fr-FR"/>
        </w:rPr>
        <w:t xml:space="preserve">, </w:t>
      </w:r>
      <w:r w:rsidR="00E174B0" w:rsidRPr="00613A79">
        <w:rPr>
          <w:rFonts w:ascii="Arial" w:hAnsi="Arial" w:cs="Arial"/>
          <w:spacing w:val="-2"/>
          <w:sz w:val="22"/>
          <w:szCs w:val="22"/>
          <w:lang w:val="fr-FR"/>
        </w:rPr>
        <w:t>peuvent jouer</w:t>
      </w:r>
      <w:r w:rsidR="00CE770A" w:rsidRPr="00613A79">
        <w:rPr>
          <w:rFonts w:ascii="Arial" w:hAnsi="Arial" w:cs="Arial"/>
          <w:spacing w:val="-2"/>
          <w:sz w:val="22"/>
          <w:szCs w:val="22"/>
          <w:lang w:val="fr-FR"/>
        </w:rPr>
        <w:t xml:space="preserve"> un rôle fondamental en ce qui concerne le système de propriété intellectuelle/des brevets et les ressources génétiqu</w:t>
      </w:r>
      <w:r w:rsidR="00A76B86" w:rsidRPr="00613A79">
        <w:rPr>
          <w:rFonts w:ascii="Arial" w:hAnsi="Arial" w:cs="Arial"/>
          <w:spacing w:val="-2"/>
          <w:sz w:val="22"/>
          <w:szCs w:val="22"/>
          <w:lang w:val="fr-FR"/>
        </w:rPr>
        <w:t>es</w:t>
      </w:r>
      <w:r w:rsidR="00A76B86">
        <w:rPr>
          <w:rFonts w:ascii="Arial" w:hAnsi="Arial" w:cs="Arial"/>
          <w:spacing w:val="-2"/>
          <w:sz w:val="22"/>
          <w:szCs w:val="22"/>
          <w:lang w:val="fr-FR"/>
        </w:rPr>
        <w:t xml:space="preserve">.  </w:t>
      </w:r>
      <w:r w:rsidR="00A76B86" w:rsidRPr="00613A79">
        <w:rPr>
          <w:rFonts w:ascii="Arial" w:hAnsi="Arial" w:cs="Arial"/>
          <w:spacing w:val="-2"/>
          <w:sz w:val="22"/>
          <w:szCs w:val="22"/>
          <w:lang w:val="fr-FR"/>
        </w:rPr>
        <w:t>Le</w:t>
      </w:r>
      <w:r w:rsidR="00CE770A" w:rsidRPr="00613A79">
        <w:rPr>
          <w:rFonts w:ascii="Arial" w:hAnsi="Arial" w:cs="Arial"/>
          <w:spacing w:val="-2"/>
          <w:sz w:val="22"/>
          <w:szCs w:val="22"/>
          <w:lang w:val="fr-FR"/>
        </w:rPr>
        <w:t xml:space="preserve">s États membres </w:t>
      </w:r>
      <w:r w:rsidR="00423A80" w:rsidRPr="00613A79">
        <w:rPr>
          <w:rFonts w:ascii="Arial" w:hAnsi="Arial" w:cs="Arial"/>
          <w:spacing w:val="-2"/>
          <w:sz w:val="22"/>
          <w:szCs w:val="22"/>
          <w:lang w:val="fr-FR"/>
        </w:rPr>
        <w:t>pourraient envisager</w:t>
      </w:r>
      <w:r w:rsidR="00CE770A" w:rsidRPr="00613A79">
        <w:rPr>
          <w:rFonts w:ascii="Arial" w:hAnsi="Arial" w:cs="Arial"/>
          <w:spacing w:val="-2"/>
          <w:sz w:val="22"/>
          <w:szCs w:val="22"/>
          <w:lang w:val="fr-FR"/>
        </w:rPr>
        <w:t xml:space="preserve"> la possibilité de concevoir les bases de données en tant que mesures défensives autonomes pour atteindre les objectifs de politique générale ou uniquement en </w:t>
      </w:r>
      <w:r w:rsidR="00E174B0" w:rsidRPr="00613A79">
        <w:rPr>
          <w:rFonts w:ascii="Arial" w:hAnsi="Arial" w:cs="Arial"/>
          <w:spacing w:val="-2"/>
          <w:sz w:val="22"/>
          <w:szCs w:val="22"/>
          <w:lang w:val="fr-FR"/>
        </w:rPr>
        <w:t xml:space="preserve">tant que </w:t>
      </w:r>
      <w:r w:rsidR="00CE770A" w:rsidRPr="00613A79">
        <w:rPr>
          <w:rFonts w:ascii="Arial" w:hAnsi="Arial" w:cs="Arial"/>
          <w:spacing w:val="-2"/>
          <w:sz w:val="22"/>
          <w:szCs w:val="22"/>
          <w:lang w:val="fr-FR"/>
        </w:rPr>
        <w:t>complément d</w:t>
      </w:r>
      <w:r w:rsidR="00CC28C9">
        <w:rPr>
          <w:rFonts w:ascii="Arial" w:hAnsi="Arial" w:cs="Arial"/>
          <w:spacing w:val="-2"/>
          <w:sz w:val="22"/>
          <w:szCs w:val="22"/>
          <w:lang w:val="fr-FR"/>
        </w:rPr>
        <w:t>’</w:t>
      </w:r>
      <w:r w:rsidR="00CE770A" w:rsidRPr="00613A79">
        <w:rPr>
          <w:rFonts w:ascii="Arial" w:hAnsi="Arial" w:cs="Arial"/>
          <w:spacing w:val="-2"/>
          <w:sz w:val="22"/>
          <w:szCs w:val="22"/>
          <w:lang w:val="fr-FR"/>
        </w:rPr>
        <w:t>une exigence de divulgation</w:t>
      </w:r>
      <w:r w:rsidR="00AD0313" w:rsidRPr="00613A79">
        <w:rPr>
          <w:rFonts w:ascii="Arial" w:hAnsi="Arial" w:cs="Arial"/>
          <w:spacing w:val="-2"/>
          <w:sz w:val="22"/>
          <w:szCs w:val="22"/>
          <w:lang w:val="fr-FR"/>
        </w:rPr>
        <w:t>.</w:t>
      </w:r>
    </w:p>
    <w:p w:rsidR="00F33529" w:rsidRPr="00AB6AA8" w:rsidRDefault="00F33529" w:rsidP="00602F2E">
      <w:pPr>
        <w:rPr>
          <w:rFonts w:ascii="Arial" w:hAnsi="Arial" w:cs="Arial"/>
          <w:sz w:val="22"/>
          <w:szCs w:val="22"/>
          <w:lang w:val="fr-FR"/>
        </w:rPr>
      </w:pPr>
    </w:p>
    <w:p w:rsidR="00BB77E3" w:rsidRPr="00AB6AA8" w:rsidRDefault="00423A80" w:rsidP="00602F2E">
      <w:p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 xml:space="preserve">Bien que </w:t>
      </w:r>
      <w:r w:rsidR="0090579F" w:rsidRPr="00AB6AA8">
        <w:rPr>
          <w:rFonts w:ascii="Arial" w:hAnsi="Arial" w:cs="Arial"/>
          <w:sz w:val="22"/>
          <w:szCs w:val="22"/>
          <w:lang w:val="fr-FR"/>
        </w:rPr>
        <w:t>la présente note d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90579F" w:rsidRPr="00AB6AA8">
        <w:rPr>
          <w:rFonts w:ascii="Arial" w:hAnsi="Arial" w:cs="Arial"/>
          <w:sz w:val="22"/>
          <w:szCs w:val="22"/>
          <w:lang w:val="fr-FR"/>
        </w:rPr>
        <w:t xml:space="preserve">information 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ne </w:t>
      </w:r>
      <w:r w:rsidR="0090579F" w:rsidRPr="00AB6AA8">
        <w:rPr>
          <w:rFonts w:ascii="Arial" w:hAnsi="Arial" w:cs="Arial"/>
          <w:sz w:val="22"/>
          <w:szCs w:val="22"/>
          <w:lang w:val="fr-FR"/>
        </w:rPr>
        <w:t xml:space="preserve">présente </w:t>
      </w:r>
      <w:r w:rsidRPr="00AB6AA8">
        <w:rPr>
          <w:rFonts w:ascii="Arial" w:hAnsi="Arial" w:cs="Arial"/>
          <w:sz w:val="22"/>
          <w:szCs w:val="22"/>
          <w:lang w:val="fr-FR"/>
        </w:rPr>
        <w:t>qu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un bref résumé informel des principales questions de politique générale ou de fond à examiner, </w:t>
      </w:r>
      <w:r w:rsidR="003E57CF" w:rsidRPr="00AB6AA8">
        <w:rPr>
          <w:rFonts w:ascii="Arial" w:hAnsi="Arial" w:cs="Arial"/>
          <w:sz w:val="22"/>
          <w:szCs w:val="22"/>
          <w:lang w:val="fr-FR"/>
        </w:rPr>
        <w:t>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IGC pourrait </w:t>
      </w:r>
      <w:r w:rsidR="006117B9" w:rsidRPr="00AB6AA8">
        <w:rPr>
          <w:rFonts w:ascii="Arial" w:hAnsi="Arial" w:cs="Arial"/>
          <w:sz w:val="22"/>
          <w:szCs w:val="22"/>
          <w:lang w:val="fr-FR"/>
        </w:rPr>
        <w:t xml:space="preserve">en outre </w:t>
      </w:r>
      <w:r w:rsidRPr="00AB6AA8">
        <w:rPr>
          <w:rFonts w:ascii="Arial" w:hAnsi="Arial" w:cs="Arial"/>
          <w:sz w:val="22"/>
          <w:szCs w:val="22"/>
          <w:lang w:val="fr-FR"/>
        </w:rPr>
        <w:t>envisager d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3E57CF" w:rsidRPr="00AB6AA8">
        <w:rPr>
          <w:rFonts w:ascii="Arial" w:hAnsi="Arial" w:cs="Arial"/>
          <w:sz w:val="22"/>
          <w:szCs w:val="22"/>
          <w:lang w:val="fr-FR"/>
        </w:rPr>
        <w:t>examiner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les mécanismes et autres processus </w:t>
      </w:r>
      <w:r w:rsidR="003E57CF" w:rsidRPr="00AB6AA8">
        <w:rPr>
          <w:rFonts w:ascii="Arial" w:hAnsi="Arial" w:cs="Arial"/>
          <w:sz w:val="22"/>
          <w:szCs w:val="22"/>
          <w:lang w:val="fr-FR"/>
        </w:rPr>
        <w:t xml:space="preserve">les plus appropriés </w:t>
      </w:r>
      <w:r w:rsidR="00953802" w:rsidRPr="00AB6AA8">
        <w:rPr>
          <w:rFonts w:ascii="Arial" w:hAnsi="Arial" w:cs="Arial"/>
          <w:sz w:val="22"/>
          <w:szCs w:val="22"/>
          <w:lang w:val="fr-FR"/>
        </w:rPr>
        <w:t>au sein de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953802" w:rsidRPr="00AB6AA8">
        <w:rPr>
          <w:rFonts w:ascii="Arial" w:hAnsi="Arial" w:cs="Arial"/>
          <w:sz w:val="22"/>
          <w:szCs w:val="22"/>
          <w:lang w:val="fr-FR"/>
        </w:rPr>
        <w:t xml:space="preserve">IGC qui permettraient </w:t>
      </w:r>
      <w:r w:rsidR="003E57CF" w:rsidRPr="00AB6AA8">
        <w:rPr>
          <w:rFonts w:ascii="Arial" w:hAnsi="Arial" w:cs="Arial"/>
          <w:sz w:val="22"/>
          <w:szCs w:val="22"/>
          <w:lang w:val="fr-FR"/>
        </w:rPr>
        <w:t>de faire avancer le débat</w:t>
      </w:r>
      <w:r w:rsidR="00953802" w:rsidRPr="00AB6AA8">
        <w:rPr>
          <w:rFonts w:ascii="Arial" w:hAnsi="Arial" w:cs="Arial"/>
          <w:sz w:val="22"/>
          <w:szCs w:val="22"/>
          <w:lang w:val="fr-FR"/>
        </w:rPr>
        <w:t xml:space="preserve"> </w:t>
      </w:r>
      <w:r w:rsidR="003E57CF" w:rsidRPr="00AB6AA8">
        <w:rPr>
          <w:rFonts w:ascii="Arial" w:hAnsi="Arial" w:cs="Arial"/>
          <w:sz w:val="22"/>
          <w:szCs w:val="22"/>
          <w:lang w:val="fr-FR"/>
        </w:rPr>
        <w:t xml:space="preserve">sur ces questions afin de parvenir à </w:t>
      </w:r>
      <w:r w:rsidR="00953802" w:rsidRPr="00AB6AA8">
        <w:rPr>
          <w:rFonts w:ascii="Arial" w:hAnsi="Arial" w:cs="Arial"/>
          <w:sz w:val="22"/>
          <w:szCs w:val="22"/>
          <w:lang w:val="fr-FR"/>
        </w:rPr>
        <w:t>un acco</w:t>
      </w:r>
      <w:r w:rsidR="00A76B86" w:rsidRPr="00AB6AA8">
        <w:rPr>
          <w:rFonts w:ascii="Arial" w:hAnsi="Arial" w:cs="Arial"/>
          <w:sz w:val="22"/>
          <w:szCs w:val="22"/>
          <w:lang w:val="fr-FR"/>
        </w:rPr>
        <w:t>rd</w:t>
      </w:r>
      <w:r w:rsidR="00A76B86">
        <w:rPr>
          <w:rFonts w:ascii="Arial" w:hAnsi="Arial" w:cs="Arial"/>
          <w:sz w:val="22"/>
          <w:szCs w:val="22"/>
          <w:lang w:val="fr-FR"/>
        </w:rPr>
        <w:t xml:space="preserve">.  </w:t>
      </w:r>
      <w:r w:rsidR="00A76B86" w:rsidRPr="00AB6AA8">
        <w:rPr>
          <w:rFonts w:ascii="Arial" w:hAnsi="Arial" w:cs="Arial"/>
          <w:sz w:val="22"/>
          <w:szCs w:val="22"/>
          <w:lang w:val="fr-FR"/>
        </w:rPr>
        <w:t>Pa</w:t>
      </w:r>
      <w:r w:rsidR="003E57CF" w:rsidRPr="00AB6AA8">
        <w:rPr>
          <w:rFonts w:ascii="Arial" w:hAnsi="Arial" w:cs="Arial"/>
          <w:sz w:val="22"/>
          <w:szCs w:val="22"/>
          <w:lang w:val="fr-FR"/>
        </w:rPr>
        <w:t>r exemple, p</w:t>
      </w:r>
      <w:r w:rsidR="00953802" w:rsidRPr="00AB6AA8">
        <w:rPr>
          <w:rFonts w:ascii="Arial" w:hAnsi="Arial" w:cs="Arial"/>
          <w:sz w:val="22"/>
          <w:szCs w:val="22"/>
          <w:lang w:val="fr-FR"/>
        </w:rPr>
        <w:t>récédemment,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953802" w:rsidRPr="00AB6AA8">
        <w:rPr>
          <w:rFonts w:ascii="Arial" w:hAnsi="Arial" w:cs="Arial"/>
          <w:sz w:val="22"/>
          <w:szCs w:val="22"/>
          <w:lang w:val="fr-FR"/>
        </w:rPr>
        <w:t xml:space="preserve">IGC a organisé </w:t>
      </w:r>
      <w:r w:rsidR="003E57CF" w:rsidRPr="00AB6AA8">
        <w:rPr>
          <w:rFonts w:ascii="Arial" w:hAnsi="Arial" w:cs="Arial"/>
          <w:sz w:val="22"/>
          <w:szCs w:val="22"/>
          <w:lang w:val="fr-FR"/>
        </w:rPr>
        <w:t>une succession de séances plénières et de</w:t>
      </w:r>
      <w:r w:rsidR="00953802" w:rsidRPr="00AB6AA8">
        <w:rPr>
          <w:rFonts w:ascii="Arial" w:hAnsi="Arial" w:cs="Arial"/>
          <w:sz w:val="22"/>
          <w:szCs w:val="22"/>
          <w:lang w:val="fr-FR"/>
        </w:rPr>
        <w:t xml:space="preserve"> séances informell</w:t>
      </w:r>
      <w:r w:rsidR="00A76B86" w:rsidRPr="00AB6AA8">
        <w:rPr>
          <w:rFonts w:ascii="Arial" w:hAnsi="Arial" w:cs="Arial"/>
          <w:sz w:val="22"/>
          <w:szCs w:val="22"/>
          <w:lang w:val="fr-FR"/>
        </w:rPr>
        <w:t>es</w:t>
      </w:r>
      <w:r w:rsidR="00A76B86">
        <w:rPr>
          <w:rFonts w:ascii="Arial" w:hAnsi="Arial" w:cs="Arial"/>
          <w:sz w:val="22"/>
          <w:szCs w:val="22"/>
          <w:lang w:val="fr-FR"/>
        </w:rPr>
        <w:t xml:space="preserve">.  </w:t>
      </w:r>
      <w:r w:rsidR="00A76B86" w:rsidRPr="00AB6AA8">
        <w:rPr>
          <w:rFonts w:ascii="Arial" w:hAnsi="Arial" w:cs="Arial"/>
          <w:sz w:val="22"/>
          <w:szCs w:val="22"/>
          <w:lang w:val="fr-FR"/>
        </w:rPr>
        <w:t>De</w:t>
      </w:r>
      <w:r w:rsidR="006117B9" w:rsidRPr="00AB6AA8">
        <w:rPr>
          <w:rFonts w:ascii="Arial" w:hAnsi="Arial" w:cs="Arial"/>
          <w:sz w:val="22"/>
          <w:szCs w:val="22"/>
          <w:lang w:val="fr-FR"/>
        </w:rPr>
        <w:t xml:space="preserve"> plus,</w:t>
      </w:r>
      <w:r w:rsidR="00953802" w:rsidRPr="00AB6AA8">
        <w:rPr>
          <w:rFonts w:ascii="Arial" w:hAnsi="Arial" w:cs="Arial"/>
          <w:sz w:val="22"/>
          <w:szCs w:val="22"/>
          <w:lang w:val="fr-FR"/>
        </w:rPr>
        <w:t xml:space="preserve"> le nouveau mandat pour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953802" w:rsidRPr="00AB6AA8">
        <w:rPr>
          <w:rFonts w:ascii="Arial" w:hAnsi="Arial" w:cs="Arial"/>
          <w:sz w:val="22"/>
          <w:szCs w:val="22"/>
          <w:lang w:val="fr-FR"/>
        </w:rPr>
        <w:t xml:space="preserve">exercice </w:t>
      </w:r>
      <w:r w:rsidR="00BB77E3" w:rsidRPr="00AB6AA8">
        <w:rPr>
          <w:rFonts w:ascii="Arial" w:hAnsi="Arial" w:cs="Arial"/>
          <w:sz w:val="22"/>
          <w:szCs w:val="22"/>
          <w:lang w:val="fr-FR"/>
        </w:rPr>
        <w:t>biennal 2018</w:t>
      </w:r>
      <w:r w:rsidR="006E1E1D">
        <w:rPr>
          <w:rFonts w:ascii="Arial" w:hAnsi="Arial" w:cs="Arial"/>
          <w:sz w:val="22"/>
          <w:szCs w:val="22"/>
          <w:lang w:val="fr-FR"/>
        </w:rPr>
        <w:noBreakHyphen/>
      </w:r>
      <w:r w:rsidR="00812238" w:rsidRPr="00AB6AA8">
        <w:rPr>
          <w:rFonts w:ascii="Arial" w:hAnsi="Arial" w:cs="Arial"/>
          <w:sz w:val="22"/>
          <w:szCs w:val="22"/>
          <w:lang w:val="fr-FR"/>
        </w:rPr>
        <w:t xml:space="preserve">2019 </w:t>
      </w:r>
      <w:r w:rsidR="00953802" w:rsidRPr="00AB6AA8">
        <w:rPr>
          <w:rFonts w:ascii="Arial" w:hAnsi="Arial" w:cs="Arial"/>
          <w:sz w:val="22"/>
          <w:szCs w:val="22"/>
          <w:lang w:val="fr-FR"/>
        </w:rPr>
        <w:t>mentionne la possibilité de créer un ou plusieurs groupes spéciaux d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953802" w:rsidRPr="00AB6AA8">
        <w:rPr>
          <w:rFonts w:ascii="Arial" w:hAnsi="Arial" w:cs="Arial"/>
          <w:sz w:val="22"/>
          <w:szCs w:val="22"/>
          <w:lang w:val="fr-FR"/>
        </w:rPr>
        <w:t xml:space="preserve">experts </w:t>
      </w:r>
      <w:r w:rsidR="00812238" w:rsidRPr="00AB6AA8">
        <w:rPr>
          <w:rFonts w:ascii="Arial" w:hAnsi="Arial" w:cs="Arial"/>
          <w:sz w:val="22"/>
          <w:szCs w:val="22"/>
          <w:lang w:val="fr-FR"/>
        </w:rPr>
        <w:t>“</w:t>
      </w:r>
      <w:r w:rsidR="00953802" w:rsidRPr="00AB6AA8">
        <w:rPr>
          <w:rFonts w:ascii="Arial" w:hAnsi="Arial" w:cs="Arial"/>
          <w:sz w:val="22"/>
          <w:szCs w:val="22"/>
          <w:lang w:val="fr-FR"/>
        </w:rPr>
        <w:t>pour traiter d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953802" w:rsidRPr="00AB6AA8">
        <w:rPr>
          <w:rFonts w:ascii="Arial" w:hAnsi="Arial" w:cs="Arial"/>
          <w:sz w:val="22"/>
          <w:szCs w:val="22"/>
          <w:lang w:val="fr-FR"/>
        </w:rPr>
        <w:t>une question juridique, politique ou technique précise</w:t>
      </w:r>
      <w:r w:rsidR="00812238" w:rsidRPr="00AB6AA8">
        <w:rPr>
          <w:rFonts w:ascii="Arial" w:hAnsi="Arial" w:cs="Arial"/>
          <w:sz w:val="22"/>
          <w:szCs w:val="22"/>
          <w:lang w:val="fr-FR"/>
        </w:rPr>
        <w:t>”.</w:t>
      </w:r>
    </w:p>
    <w:p w:rsidR="00F33529" w:rsidRPr="00AB6AA8" w:rsidRDefault="00F33529" w:rsidP="00602F2E">
      <w:pPr>
        <w:rPr>
          <w:rFonts w:ascii="Arial" w:hAnsi="Arial" w:cs="Arial"/>
          <w:b/>
          <w:sz w:val="22"/>
          <w:szCs w:val="22"/>
          <w:u w:val="single"/>
          <w:lang w:val="fr-FR"/>
        </w:rPr>
      </w:pPr>
    </w:p>
    <w:p w:rsidR="00F33529" w:rsidRPr="00AB6AA8" w:rsidRDefault="00953802" w:rsidP="00602F2E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AB6AA8">
        <w:rPr>
          <w:rFonts w:ascii="Arial" w:hAnsi="Arial" w:cs="Arial"/>
          <w:b/>
          <w:sz w:val="22"/>
          <w:szCs w:val="22"/>
          <w:u w:val="single"/>
          <w:lang w:val="fr-FR"/>
        </w:rPr>
        <w:t>Autres ressources utiles</w:t>
      </w:r>
    </w:p>
    <w:p w:rsidR="00F33529" w:rsidRPr="00AB6AA8" w:rsidRDefault="00F33529" w:rsidP="00602F2E">
      <w:pPr>
        <w:rPr>
          <w:rFonts w:ascii="Arial" w:hAnsi="Arial" w:cs="Arial"/>
          <w:sz w:val="22"/>
          <w:szCs w:val="22"/>
          <w:lang w:val="fr-FR"/>
        </w:rPr>
      </w:pPr>
    </w:p>
    <w:p w:rsidR="00F33529" w:rsidRPr="00AB6AA8" w:rsidRDefault="00953802" w:rsidP="00602F2E">
      <w:p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>Je signale que des ressources utiles sont disponibles sur le site Web de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OMPI et que les États membres pourraient s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en servir comme documentation de référence pour préparer la trente</w:t>
      </w:r>
      <w:r w:rsidR="006E1E1D">
        <w:rPr>
          <w:rFonts w:ascii="Arial" w:hAnsi="Arial" w:cs="Arial"/>
          <w:sz w:val="22"/>
          <w:szCs w:val="22"/>
          <w:lang w:val="fr-FR"/>
        </w:rPr>
        <w:noBreakHyphen/>
      </w:r>
      <w:r w:rsidRPr="00AB6AA8">
        <w:rPr>
          <w:rFonts w:ascii="Arial" w:hAnsi="Arial" w:cs="Arial"/>
          <w:sz w:val="22"/>
          <w:szCs w:val="22"/>
          <w:lang w:val="fr-FR"/>
        </w:rPr>
        <w:t>cinqu</w:t>
      </w:r>
      <w:r w:rsidR="00CC28C9">
        <w:rPr>
          <w:rFonts w:ascii="Arial" w:hAnsi="Arial" w:cs="Arial"/>
          <w:sz w:val="22"/>
          <w:szCs w:val="22"/>
          <w:lang w:val="fr-FR"/>
        </w:rPr>
        <w:t>ième session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de l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="00A76B86" w:rsidRPr="00AB6AA8">
        <w:rPr>
          <w:rFonts w:ascii="Arial" w:hAnsi="Arial" w:cs="Arial"/>
          <w:sz w:val="22"/>
          <w:szCs w:val="22"/>
          <w:lang w:val="fr-FR"/>
        </w:rPr>
        <w:t>IGC</w:t>
      </w:r>
      <w:r w:rsidR="00A76B86">
        <w:rPr>
          <w:rFonts w:ascii="Arial" w:hAnsi="Arial" w:cs="Arial"/>
          <w:sz w:val="22"/>
          <w:szCs w:val="22"/>
          <w:lang w:val="fr-FR"/>
        </w:rPr>
        <w:t xml:space="preserve">.  </w:t>
      </w:r>
      <w:r w:rsidR="00A76B86" w:rsidRPr="00AB6AA8">
        <w:rPr>
          <w:rFonts w:ascii="Arial" w:hAnsi="Arial" w:cs="Arial"/>
          <w:sz w:val="22"/>
          <w:szCs w:val="22"/>
          <w:lang w:val="fr-FR"/>
        </w:rPr>
        <w:t>Pa</w:t>
      </w:r>
      <w:r w:rsidRPr="00AB6AA8">
        <w:rPr>
          <w:rFonts w:ascii="Arial" w:hAnsi="Arial" w:cs="Arial"/>
          <w:sz w:val="22"/>
          <w:szCs w:val="22"/>
          <w:lang w:val="fr-FR"/>
        </w:rPr>
        <w:t>r exemple</w:t>
      </w:r>
      <w:r w:rsidR="00CC28C9">
        <w:rPr>
          <w:rFonts w:ascii="Arial" w:hAnsi="Arial" w:cs="Arial"/>
          <w:sz w:val="22"/>
          <w:szCs w:val="22"/>
          <w:lang w:val="fr-FR"/>
        </w:rPr>
        <w:t> :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</w:t>
      </w:r>
      <w:r w:rsidR="005165FC" w:rsidRPr="00AB6AA8">
        <w:rPr>
          <w:rFonts w:ascii="Arial" w:hAnsi="Arial" w:cs="Arial"/>
          <w:sz w:val="22"/>
          <w:szCs w:val="22"/>
          <w:lang w:val="fr-FR"/>
        </w:rPr>
        <w:br/>
      </w:r>
    </w:p>
    <w:p w:rsidR="00BB77E3" w:rsidRDefault="00953802" w:rsidP="00F533C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>Questions essentielles sur les exigences de divulgation des ressources génétiques et des savoirs traditionnels dans les demandes de brevet (en anglais seulement</w:t>
      </w:r>
      <w:proofErr w:type="gramStart"/>
      <w:r w:rsidRPr="00AB6AA8">
        <w:rPr>
          <w:rFonts w:ascii="Arial" w:hAnsi="Arial" w:cs="Arial"/>
          <w:sz w:val="22"/>
          <w:szCs w:val="22"/>
          <w:lang w:val="fr-FR"/>
        </w:rPr>
        <w:t>)</w:t>
      </w:r>
      <w:proofErr w:type="gramEnd"/>
      <w:r w:rsidRPr="00AB6AA8">
        <w:rPr>
          <w:rFonts w:ascii="Arial" w:hAnsi="Arial" w:cs="Arial"/>
          <w:sz w:val="22"/>
          <w:szCs w:val="22"/>
          <w:lang w:val="fr-FR"/>
        </w:rPr>
        <w:br/>
      </w:r>
      <w:hyperlink r:id="rId9" w:history="1">
        <w:r w:rsidRPr="00CE1C61">
          <w:rPr>
            <w:rStyle w:val="Hyperlink"/>
            <w:rFonts w:ascii="Arial" w:hAnsi="Arial" w:cs="Arial"/>
            <w:sz w:val="22"/>
            <w:szCs w:val="22"/>
            <w:lang w:val="fr-FR"/>
          </w:rPr>
          <w:t>http://www.wipo.int/publications/fr/details.jsp?id=4194</w:t>
        </w:r>
      </w:hyperlink>
      <w:r w:rsidR="005165FC" w:rsidRPr="005844C8">
        <w:rPr>
          <w:rFonts w:ascii="Arial" w:hAnsi="Arial" w:cs="Arial"/>
          <w:sz w:val="22"/>
          <w:szCs w:val="22"/>
          <w:lang w:val="fr-FR"/>
        </w:rPr>
        <w:t>;</w:t>
      </w:r>
    </w:p>
    <w:p w:rsidR="00BB77E3" w:rsidRDefault="00953802" w:rsidP="0057391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Tableau sur les exigences de divulgation (en anglais seulement</w:t>
      </w:r>
      <w:proofErr w:type="gramStart"/>
      <w:r>
        <w:rPr>
          <w:rFonts w:ascii="Arial" w:hAnsi="Arial" w:cs="Arial"/>
          <w:sz w:val="22"/>
          <w:szCs w:val="22"/>
          <w:lang w:val="fr-FR"/>
        </w:rPr>
        <w:t>)</w:t>
      </w:r>
      <w:proofErr w:type="gramEnd"/>
      <w:r>
        <w:rPr>
          <w:rFonts w:ascii="Arial" w:hAnsi="Arial" w:cs="Arial"/>
          <w:sz w:val="22"/>
          <w:szCs w:val="22"/>
          <w:lang w:val="fr-FR"/>
        </w:rPr>
        <w:br/>
      </w:r>
      <w:hyperlink r:id="rId10" w:history="1">
        <w:r w:rsidR="0057391C" w:rsidRPr="005844C8">
          <w:rPr>
            <w:rStyle w:val="Hyperlink"/>
            <w:rFonts w:ascii="Arial" w:hAnsi="Arial" w:cs="Arial"/>
            <w:sz w:val="22"/>
            <w:szCs w:val="22"/>
            <w:lang w:val="fr-FR"/>
          </w:rPr>
          <w:t>http://www.wipo.int/export/sites/www/tk/en/documents/pdf/genetic_resources_disclosure.pdf</w:t>
        </w:r>
      </w:hyperlink>
      <w:r w:rsidR="0057391C" w:rsidRPr="005844C8">
        <w:rPr>
          <w:rFonts w:ascii="Arial" w:hAnsi="Arial" w:cs="Arial"/>
          <w:sz w:val="22"/>
          <w:szCs w:val="22"/>
          <w:lang w:val="fr-FR"/>
        </w:rPr>
        <w:t>;</w:t>
      </w:r>
    </w:p>
    <w:p w:rsidR="00F33529" w:rsidRDefault="00953802" w:rsidP="00F533C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>Dossier d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information n° 10</w:t>
      </w:r>
      <w:r w:rsidR="00CC28C9">
        <w:rPr>
          <w:rFonts w:ascii="Arial" w:hAnsi="Arial" w:cs="Arial"/>
          <w:sz w:val="22"/>
          <w:szCs w:val="22"/>
          <w:lang w:val="fr-FR"/>
        </w:rPr>
        <w:t> :</w:t>
      </w:r>
      <w:r w:rsidRPr="00AB6AA8">
        <w:rPr>
          <w:rFonts w:ascii="Arial" w:hAnsi="Arial" w:cs="Arial"/>
          <w:sz w:val="22"/>
          <w:szCs w:val="22"/>
          <w:lang w:val="fr-FR"/>
        </w:rPr>
        <w:t xml:space="preserve"> Propriété intellectuelle et ressources génétiques</w:t>
      </w:r>
      <w:r w:rsidRPr="00AB6AA8">
        <w:rPr>
          <w:rFonts w:ascii="Arial" w:hAnsi="Arial" w:cs="Arial"/>
          <w:sz w:val="22"/>
          <w:szCs w:val="22"/>
          <w:lang w:val="fr-FR"/>
        </w:rPr>
        <w:br/>
      </w:r>
      <w:hyperlink r:id="rId11" w:history="1">
        <w:r w:rsidRPr="00CE1C61">
          <w:rPr>
            <w:rStyle w:val="Hyperlink"/>
            <w:rFonts w:ascii="Arial" w:hAnsi="Arial" w:cs="Arial"/>
            <w:sz w:val="22"/>
            <w:szCs w:val="22"/>
            <w:lang w:val="fr-FR"/>
          </w:rPr>
          <w:t>http://www.wipo.int/publications/fr/details.jsp?id=4011</w:t>
        </w:r>
      </w:hyperlink>
      <w:r w:rsidR="00BD2C78">
        <w:rPr>
          <w:rFonts w:ascii="Arial" w:hAnsi="Arial" w:cs="Arial"/>
          <w:sz w:val="22"/>
          <w:szCs w:val="22"/>
          <w:lang w:val="fr-FR"/>
        </w:rPr>
        <w:t>;</w:t>
      </w:r>
    </w:p>
    <w:p w:rsidR="00F33529" w:rsidRDefault="00BD2C78" w:rsidP="0057391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>Données d</w:t>
      </w:r>
      <w:r w:rsidR="00CC28C9">
        <w:rPr>
          <w:rFonts w:ascii="Arial" w:hAnsi="Arial" w:cs="Arial"/>
          <w:sz w:val="22"/>
          <w:szCs w:val="22"/>
          <w:lang w:val="fr-FR"/>
        </w:rPr>
        <w:t>’</w:t>
      </w:r>
      <w:r w:rsidRPr="00AB6AA8">
        <w:rPr>
          <w:rFonts w:ascii="Arial" w:hAnsi="Arial" w:cs="Arial"/>
          <w:sz w:val="22"/>
          <w:szCs w:val="22"/>
          <w:lang w:val="fr-FR"/>
        </w:rPr>
        <w:t>expérience régionales, nationales, locales et communautaires</w:t>
      </w:r>
      <w:r w:rsidRPr="00AB6AA8">
        <w:rPr>
          <w:rFonts w:ascii="Arial" w:hAnsi="Arial" w:cs="Arial"/>
          <w:sz w:val="22"/>
          <w:szCs w:val="22"/>
          <w:lang w:val="fr-FR"/>
        </w:rPr>
        <w:br/>
      </w:r>
      <w:hyperlink r:id="rId12" w:history="1">
        <w:r w:rsidRPr="00CE1C61">
          <w:rPr>
            <w:rStyle w:val="Hyperlink"/>
            <w:rFonts w:ascii="Arial" w:hAnsi="Arial" w:cs="Arial"/>
            <w:sz w:val="22"/>
            <w:szCs w:val="22"/>
            <w:lang w:val="fr-FR"/>
          </w:rPr>
          <w:t>http://www.wipo.int/tk/fr/resources/tk_experiences.html</w:t>
        </w:r>
      </w:hyperlink>
      <w:r>
        <w:rPr>
          <w:rFonts w:ascii="Arial" w:hAnsi="Arial" w:cs="Arial"/>
          <w:sz w:val="22"/>
          <w:szCs w:val="22"/>
          <w:lang w:val="fr-FR"/>
        </w:rPr>
        <w:t>;  et</w:t>
      </w:r>
    </w:p>
    <w:p w:rsidR="00F33529" w:rsidRPr="00AB6AA8" w:rsidRDefault="00BD2C78" w:rsidP="0057391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fr-FR"/>
        </w:rPr>
      </w:pPr>
      <w:r w:rsidRPr="00AB6AA8">
        <w:rPr>
          <w:rFonts w:ascii="Arial" w:hAnsi="Arial" w:cs="Arial"/>
          <w:sz w:val="22"/>
          <w:szCs w:val="22"/>
          <w:lang w:val="fr-FR"/>
        </w:rPr>
        <w:t>Conférences et exposés sur des thèmes choisis</w:t>
      </w:r>
    </w:p>
    <w:p w:rsidR="00F33529" w:rsidRDefault="006E1E1D" w:rsidP="00602F2E">
      <w:pPr>
        <w:ind w:firstLine="720"/>
        <w:rPr>
          <w:rFonts w:ascii="Arial" w:hAnsi="Arial" w:cs="Arial"/>
          <w:sz w:val="22"/>
          <w:szCs w:val="22"/>
          <w:lang w:val="fr-FR"/>
        </w:rPr>
      </w:pPr>
      <w:hyperlink r:id="rId13" w:anchor="4" w:history="1">
        <w:r w:rsidR="00BD2C78" w:rsidRPr="00CE1C61">
          <w:rPr>
            <w:rStyle w:val="Hyperlink"/>
            <w:rFonts w:ascii="Arial" w:hAnsi="Arial" w:cs="Arial"/>
            <w:sz w:val="22"/>
            <w:szCs w:val="22"/>
            <w:lang w:val="fr-FR"/>
          </w:rPr>
          <w:t>http://www.wipo.int/tk/fr/resources/tk_experiences.html#4</w:t>
        </w:r>
      </w:hyperlink>
    </w:p>
    <w:p w:rsidR="00F33529" w:rsidRDefault="00BD2C78" w:rsidP="0057391C">
      <w:pPr>
        <w:numPr>
          <w:ilvl w:val="1"/>
          <w:numId w:val="4"/>
        </w:num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Exposés sur les exigences de divulgation</w:t>
      </w:r>
      <w:r w:rsidR="005165FC" w:rsidRPr="005844C8">
        <w:rPr>
          <w:rFonts w:ascii="Arial" w:hAnsi="Arial" w:cs="Arial"/>
          <w:sz w:val="22"/>
          <w:szCs w:val="22"/>
          <w:lang w:val="fr-FR"/>
        </w:rPr>
        <w:t xml:space="preserve">; </w:t>
      </w:r>
      <w:r w:rsidR="0057391C" w:rsidRPr="005844C8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et</w:t>
      </w:r>
    </w:p>
    <w:p w:rsidR="00F33529" w:rsidRDefault="00BD2C78" w:rsidP="00602F2E">
      <w:pPr>
        <w:numPr>
          <w:ilvl w:val="1"/>
          <w:numId w:val="4"/>
        </w:num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Exposés sur les bases de données</w:t>
      </w:r>
      <w:r w:rsidR="005165FC" w:rsidRPr="005844C8">
        <w:rPr>
          <w:rFonts w:ascii="Arial" w:hAnsi="Arial" w:cs="Arial"/>
          <w:sz w:val="22"/>
          <w:szCs w:val="22"/>
          <w:lang w:val="fr-FR"/>
        </w:rPr>
        <w:t>.</w:t>
      </w:r>
    </w:p>
    <w:p w:rsidR="00F33529" w:rsidRDefault="00F33529" w:rsidP="00602F2E">
      <w:pPr>
        <w:rPr>
          <w:rFonts w:ascii="Arial" w:hAnsi="Arial" w:cs="Arial"/>
          <w:sz w:val="22"/>
          <w:szCs w:val="22"/>
          <w:lang w:val="fr-FR"/>
        </w:rPr>
      </w:pPr>
    </w:p>
    <w:p w:rsidR="00F33529" w:rsidRDefault="0016060F" w:rsidP="00643B5A">
      <w:pPr>
        <w:jc w:val="center"/>
        <w:rPr>
          <w:lang w:val="fr-FR"/>
        </w:rPr>
      </w:pPr>
      <w:r w:rsidRPr="005844C8">
        <w:rPr>
          <w:lang w:val="fr-FR"/>
        </w:rPr>
        <w:t>______</w:t>
      </w:r>
    </w:p>
    <w:sectPr w:rsidR="00F33529" w:rsidSect="007423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107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DB" w:rsidRDefault="005B6BDB" w:rsidP="00B91D82">
      <w:r>
        <w:separator/>
      </w:r>
    </w:p>
  </w:endnote>
  <w:endnote w:type="continuationSeparator" w:id="0">
    <w:p w:rsidR="005B6BDB" w:rsidRDefault="005B6BDB" w:rsidP="00B91D82">
      <w:r>
        <w:continuationSeparator/>
      </w:r>
    </w:p>
  </w:endnote>
  <w:endnote w:type="continuationNotice" w:id="1">
    <w:p w:rsidR="00A67026" w:rsidRDefault="00A67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465" w:rsidRDefault="00E674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465" w:rsidRDefault="00E674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465" w:rsidRDefault="00E674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DB" w:rsidRDefault="005B6BDB" w:rsidP="00B91D82">
      <w:r>
        <w:separator/>
      </w:r>
    </w:p>
  </w:footnote>
  <w:footnote w:type="continuationSeparator" w:id="0">
    <w:p w:rsidR="005B6BDB" w:rsidRDefault="005B6BDB" w:rsidP="00B91D82">
      <w:r>
        <w:continuationSeparator/>
      </w:r>
    </w:p>
  </w:footnote>
  <w:footnote w:type="continuationNotice" w:id="1">
    <w:p w:rsidR="00A67026" w:rsidRDefault="00A67026"/>
  </w:footnote>
  <w:footnote w:id="2">
    <w:p w:rsidR="005844C8" w:rsidRPr="00AB6AA8" w:rsidRDefault="005844C8" w:rsidP="005844C8">
      <w:pPr>
        <w:pStyle w:val="FootnoteText"/>
        <w:rPr>
          <w:rFonts w:ascii="Arial" w:hAnsi="Arial" w:cs="Arial"/>
          <w:sz w:val="18"/>
          <w:szCs w:val="18"/>
          <w:lang w:val="fr-FR"/>
        </w:rPr>
      </w:pPr>
      <w:r w:rsidRPr="00F33529">
        <w:rPr>
          <w:rStyle w:val="FootnoteReference"/>
          <w:rFonts w:ascii="Arial" w:hAnsi="Arial" w:cs="Arial"/>
          <w:sz w:val="18"/>
          <w:szCs w:val="18"/>
          <w:lang w:val="fr-FR"/>
        </w:rPr>
        <w:footnoteRef/>
      </w:r>
      <w:r w:rsidRPr="00F33529">
        <w:rPr>
          <w:rFonts w:ascii="Arial" w:hAnsi="Arial" w:cs="Arial"/>
          <w:sz w:val="18"/>
          <w:szCs w:val="18"/>
          <w:lang w:val="fr-FR"/>
        </w:rPr>
        <w:t xml:space="preserve"> </w:t>
      </w:r>
      <w:r w:rsidRPr="00F33529">
        <w:rPr>
          <w:rFonts w:ascii="Arial" w:hAnsi="Arial" w:cs="Arial"/>
          <w:color w:val="008000"/>
          <w:sz w:val="18"/>
          <w:szCs w:val="18"/>
          <w:lang w:val="fr-FR"/>
        </w:rPr>
        <w:tab/>
      </w:r>
      <w:r w:rsidRPr="00AB6AA8">
        <w:rPr>
          <w:rFonts w:ascii="Arial" w:hAnsi="Arial" w:cs="Arial"/>
          <w:sz w:val="18"/>
          <w:szCs w:val="18"/>
          <w:lang w:val="fr-FR"/>
        </w:rPr>
        <w:t>Note du Secrétariat de l</w:t>
      </w:r>
      <w:r w:rsidR="00803E49">
        <w:rPr>
          <w:rFonts w:ascii="Arial" w:hAnsi="Arial" w:cs="Arial"/>
          <w:sz w:val="18"/>
          <w:szCs w:val="18"/>
          <w:lang w:val="fr-FR"/>
        </w:rPr>
        <w:t>’</w:t>
      </w:r>
      <w:r w:rsidRPr="00AB6AA8">
        <w:rPr>
          <w:rFonts w:ascii="Arial" w:hAnsi="Arial" w:cs="Arial"/>
          <w:sz w:val="18"/>
          <w:szCs w:val="18"/>
          <w:lang w:val="fr-FR"/>
        </w:rPr>
        <w:t>OMPI</w:t>
      </w:r>
      <w:r w:rsidR="00803E49">
        <w:rPr>
          <w:rFonts w:ascii="Arial" w:hAnsi="Arial" w:cs="Arial"/>
          <w:sz w:val="18"/>
          <w:szCs w:val="18"/>
          <w:lang w:val="fr-FR"/>
        </w:rPr>
        <w:t> :</w:t>
      </w:r>
      <w:r w:rsidRPr="00AB6AA8">
        <w:rPr>
          <w:rFonts w:ascii="Arial" w:hAnsi="Arial" w:cs="Arial"/>
          <w:sz w:val="18"/>
          <w:szCs w:val="18"/>
          <w:lang w:val="fr-FR"/>
        </w:rPr>
        <w:t xml:space="preserve"> le président de l</w:t>
      </w:r>
      <w:r w:rsidR="00803E49">
        <w:rPr>
          <w:rFonts w:ascii="Arial" w:hAnsi="Arial" w:cs="Arial"/>
          <w:sz w:val="18"/>
          <w:szCs w:val="18"/>
          <w:lang w:val="fr-FR"/>
        </w:rPr>
        <w:t>’</w:t>
      </w:r>
      <w:r w:rsidRPr="00AB6AA8">
        <w:rPr>
          <w:rFonts w:ascii="Arial" w:hAnsi="Arial" w:cs="Arial"/>
          <w:sz w:val="18"/>
          <w:szCs w:val="18"/>
          <w:lang w:val="fr-FR"/>
        </w:rPr>
        <w:t>IGC, M.</w:t>
      </w:r>
      <w:r w:rsidR="00BC5F10" w:rsidRPr="00AB6AA8">
        <w:rPr>
          <w:rFonts w:ascii="Arial" w:hAnsi="Arial" w:cs="Arial"/>
          <w:sz w:val="18"/>
          <w:szCs w:val="18"/>
          <w:lang w:val="fr-FR"/>
        </w:rPr>
        <w:t> </w:t>
      </w:r>
      <w:r w:rsidRPr="00AB6AA8">
        <w:rPr>
          <w:rFonts w:ascii="Arial" w:hAnsi="Arial" w:cs="Arial"/>
          <w:sz w:val="18"/>
          <w:szCs w:val="18"/>
          <w:lang w:val="fr-FR"/>
        </w:rPr>
        <w:t>Ian</w:t>
      </w:r>
      <w:r w:rsidR="00A67026" w:rsidRPr="00AB6AA8">
        <w:rPr>
          <w:rFonts w:ascii="Arial" w:hAnsi="Arial" w:cs="Arial"/>
          <w:sz w:val="18"/>
          <w:szCs w:val="18"/>
          <w:lang w:val="fr-FR"/>
        </w:rPr>
        <w:t> </w:t>
      </w:r>
      <w:r w:rsidRPr="00AB6AA8">
        <w:rPr>
          <w:rFonts w:ascii="Arial" w:hAnsi="Arial" w:cs="Arial"/>
          <w:sz w:val="18"/>
          <w:szCs w:val="18"/>
          <w:lang w:val="fr-FR"/>
        </w:rPr>
        <w:t>Goss, a établi cette note d</w:t>
      </w:r>
      <w:r w:rsidR="00803E49">
        <w:rPr>
          <w:rFonts w:ascii="Arial" w:hAnsi="Arial" w:cs="Arial"/>
          <w:sz w:val="18"/>
          <w:szCs w:val="18"/>
          <w:lang w:val="fr-FR"/>
        </w:rPr>
        <w:t>’</w:t>
      </w:r>
      <w:r w:rsidRPr="00AB6AA8">
        <w:rPr>
          <w:rFonts w:ascii="Arial" w:hAnsi="Arial" w:cs="Arial"/>
          <w:sz w:val="18"/>
          <w:szCs w:val="18"/>
          <w:lang w:val="fr-FR"/>
        </w:rPr>
        <w:t>information en vue d</w:t>
      </w:r>
      <w:r w:rsidR="00803E49">
        <w:rPr>
          <w:rFonts w:ascii="Arial" w:hAnsi="Arial" w:cs="Arial"/>
          <w:sz w:val="18"/>
          <w:szCs w:val="18"/>
          <w:lang w:val="fr-FR"/>
        </w:rPr>
        <w:t>’</w:t>
      </w:r>
      <w:r w:rsidRPr="00AB6AA8">
        <w:rPr>
          <w:rFonts w:ascii="Arial" w:hAnsi="Arial" w:cs="Arial"/>
          <w:sz w:val="18"/>
          <w:szCs w:val="18"/>
          <w:lang w:val="fr-FR"/>
        </w:rPr>
        <w:t>aider les États membres à préparer la trente</w:t>
      </w:r>
      <w:r w:rsidR="006E1E1D">
        <w:rPr>
          <w:rFonts w:ascii="Arial" w:hAnsi="Arial" w:cs="Arial"/>
          <w:sz w:val="18"/>
          <w:szCs w:val="18"/>
          <w:lang w:val="fr-FR"/>
        </w:rPr>
        <w:noBreakHyphen/>
      </w:r>
      <w:r w:rsidRPr="00AB6AA8">
        <w:rPr>
          <w:rFonts w:ascii="Arial" w:hAnsi="Arial" w:cs="Arial"/>
          <w:sz w:val="18"/>
          <w:szCs w:val="18"/>
          <w:lang w:val="fr-FR"/>
        </w:rPr>
        <w:t>cinqu</w:t>
      </w:r>
      <w:r w:rsidR="00803E49">
        <w:rPr>
          <w:rFonts w:ascii="Arial" w:hAnsi="Arial" w:cs="Arial"/>
          <w:sz w:val="18"/>
          <w:szCs w:val="18"/>
          <w:lang w:val="fr-FR"/>
        </w:rPr>
        <w:t>ième session</w:t>
      </w:r>
      <w:r w:rsidRPr="00AB6AA8">
        <w:rPr>
          <w:rFonts w:ascii="Arial" w:hAnsi="Arial" w:cs="Arial"/>
          <w:sz w:val="18"/>
          <w:szCs w:val="18"/>
          <w:lang w:val="fr-FR"/>
        </w:rPr>
        <w:t xml:space="preserve"> de l</w:t>
      </w:r>
      <w:r w:rsidR="00803E49">
        <w:rPr>
          <w:rFonts w:ascii="Arial" w:hAnsi="Arial" w:cs="Arial"/>
          <w:sz w:val="18"/>
          <w:szCs w:val="18"/>
          <w:lang w:val="fr-FR"/>
        </w:rPr>
        <w:t>’</w:t>
      </w:r>
      <w:r w:rsidRPr="00AB6AA8">
        <w:rPr>
          <w:rFonts w:ascii="Arial" w:hAnsi="Arial" w:cs="Arial"/>
          <w:sz w:val="18"/>
          <w:szCs w:val="18"/>
          <w:lang w:val="fr-FR"/>
        </w:rPr>
        <w:t>IGC.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7033973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237AFB" w:rsidRDefault="00237AFB" w:rsidP="00F03A9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A7B17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:rsidR="00237AFB" w:rsidRDefault="00237AFB" w:rsidP="00237AF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466252408"/>
      <w:docPartObj>
        <w:docPartGallery w:val="Page Numbers (Top of Page)"/>
        <w:docPartUnique/>
      </w:docPartObj>
    </w:sdtPr>
    <w:sdtEndPr>
      <w:rPr>
        <w:rStyle w:val="PageNumber"/>
        <w:rFonts w:ascii="Arial" w:hAnsi="Arial" w:cs="Arial"/>
        <w:sz w:val="22"/>
        <w:szCs w:val="22"/>
      </w:rPr>
    </w:sdtEndPr>
    <w:sdtContent>
      <w:p w:rsidR="00237AFB" w:rsidRPr="00237AFB" w:rsidRDefault="00237AFB" w:rsidP="00F03A99">
        <w:pPr>
          <w:pStyle w:val="Header"/>
          <w:framePr w:wrap="none" w:vAnchor="text" w:hAnchor="margin" w:xAlign="right" w:y="1"/>
          <w:rPr>
            <w:rStyle w:val="PageNumber"/>
            <w:rFonts w:ascii="Arial" w:hAnsi="Arial" w:cs="Arial"/>
            <w:sz w:val="22"/>
            <w:szCs w:val="22"/>
          </w:rPr>
        </w:pPr>
        <w:r w:rsidRPr="00237AFB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237AFB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237AFB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6E1E1D">
          <w:rPr>
            <w:rStyle w:val="PageNumber"/>
            <w:rFonts w:ascii="Arial" w:hAnsi="Arial" w:cs="Arial"/>
            <w:noProof/>
            <w:sz w:val="22"/>
            <w:szCs w:val="22"/>
          </w:rPr>
          <w:t>4</w:t>
        </w:r>
        <w:r w:rsidRPr="00237AFB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:rsidR="00237AFB" w:rsidRPr="00237AFB" w:rsidRDefault="00237AFB" w:rsidP="00237AFB">
    <w:pPr>
      <w:pStyle w:val="Header"/>
      <w:ind w:right="36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465" w:rsidRDefault="00E674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2B32"/>
    <w:multiLevelType w:val="hybridMultilevel"/>
    <w:tmpl w:val="A72CE6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D2FCF"/>
    <w:multiLevelType w:val="hybridMultilevel"/>
    <w:tmpl w:val="C8FE6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2354F"/>
    <w:multiLevelType w:val="hybridMultilevel"/>
    <w:tmpl w:val="BFE2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A1034"/>
    <w:multiLevelType w:val="hybridMultilevel"/>
    <w:tmpl w:val="BA5033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54E3F"/>
    <w:multiLevelType w:val="hybridMultilevel"/>
    <w:tmpl w:val="1EE80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D78CC"/>
    <w:multiLevelType w:val="hybridMultilevel"/>
    <w:tmpl w:val="EA382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|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50619E"/>
    <w:rsid w:val="00003957"/>
    <w:rsid w:val="000109E6"/>
    <w:rsid w:val="00011746"/>
    <w:rsid w:val="00023AA2"/>
    <w:rsid w:val="00024B6A"/>
    <w:rsid w:val="00031BBC"/>
    <w:rsid w:val="000A4A5A"/>
    <w:rsid w:val="000B0E9B"/>
    <w:rsid w:val="000B190D"/>
    <w:rsid w:val="000C0780"/>
    <w:rsid w:val="000C2019"/>
    <w:rsid w:val="000D3D8A"/>
    <w:rsid w:val="000E4AFC"/>
    <w:rsid w:val="0010576F"/>
    <w:rsid w:val="0016060F"/>
    <w:rsid w:val="00160ABE"/>
    <w:rsid w:val="001776B3"/>
    <w:rsid w:val="00185924"/>
    <w:rsid w:val="001B61B2"/>
    <w:rsid w:val="001E11C0"/>
    <w:rsid w:val="001F018D"/>
    <w:rsid w:val="00237AFB"/>
    <w:rsid w:val="002630AD"/>
    <w:rsid w:val="002633C3"/>
    <w:rsid w:val="00273D78"/>
    <w:rsid w:val="00274530"/>
    <w:rsid w:val="00291954"/>
    <w:rsid w:val="0029615B"/>
    <w:rsid w:val="002A7B17"/>
    <w:rsid w:val="002C73AE"/>
    <w:rsid w:val="002F0D96"/>
    <w:rsid w:val="0030791C"/>
    <w:rsid w:val="00307CAE"/>
    <w:rsid w:val="00315A73"/>
    <w:rsid w:val="00332025"/>
    <w:rsid w:val="00351A3C"/>
    <w:rsid w:val="003530AB"/>
    <w:rsid w:val="003E57CF"/>
    <w:rsid w:val="003F3245"/>
    <w:rsid w:val="00404132"/>
    <w:rsid w:val="00420B43"/>
    <w:rsid w:val="00423A80"/>
    <w:rsid w:val="00437E95"/>
    <w:rsid w:val="004415EF"/>
    <w:rsid w:val="00473BB6"/>
    <w:rsid w:val="004B657A"/>
    <w:rsid w:val="00503BBB"/>
    <w:rsid w:val="0050619E"/>
    <w:rsid w:val="005165FC"/>
    <w:rsid w:val="00526881"/>
    <w:rsid w:val="00534730"/>
    <w:rsid w:val="005471FC"/>
    <w:rsid w:val="00555188"/>
    <w:rsid w:val="0057391C"/>
    <w:rsid w:val="00576B85"/>
    <w:rsid w:val="005844C8"/>
    <w:rsid w:val="005A6410"/>
    <w:rsid w:val="005B6BDB"/>
    <w:rsid w:val="005D5380"/>
    <w:rsid w:val="005D6E2E"/>
    <w:rsid w:val="005E0A6F"/>
    <w:rsid w:val="005E108D"/>
    <w:rsid w:val="005E2F2B"/>
    <w:rsid w:val="005E7EC6"/>
    <w:rsid w:val="00602F2E"/>
    <w:rsid w:val="006056EC"/>
    <w:rsid w:val="006117B9"/>
    <w:rsid w:val="00613A79"/>
    <w:rsid w:val="00643B5A"/>
    <w:rsid w:val="00685A7F"/>
    <w:rsid w:val="006866EE"/>
    <w:rsid w:val="006C2206"/>
    <w:rsid w:val="006D2BD9"/>
    <w:rsid w:val="006E1E1D"/>
    <w:rsid w:val="006E738B"/>
    <w:rsid w:val="00720445"/>
    <w:rsid w:val="007223DC"/>
    <w:rsid w:val="00726E22"/>
    <w:rsid w:val="00731829"/>
    <w:rsid w:val="00735BC7"/>
    <w:rsid w:val="007423FA"/>
    <w:rsid w:val="00782BBF"/>
    <w:rsid w:val="00787DC9"/>
    <w:rsid w:val="007B3192"/>
    <w:rsid w:val="007C66A5"/>
    <w:rsid w:val="007D62A0"/>
    <w:rsid w:val="00801FDB"/>
    <w:rsid w:val="00803E49"/>
    <w:rsid w:val="00812238"/>
    <w:rsid w:val="00823BE8"/>
    <w:rsid w:val="008350BD"/>
    <w:rsid w:val="00854A93"/>
    <w:rsid w:val="00854C48"/>
    <w:rsid w:val="00855F65"/>
    <w:rsid w:val="00862877"/>
    <w:rsid w:val="00873377"/>
    <w:rsid w:val="0088339F"/>
    <w:rsid w:val="008841F8"/>
    <w:rsid w:val="0089735D"/>
    <w:rsid w:val="008F0CA5"/>
    <w:rsid w:val="0090579F"/>
    <w:rsid w:val="0090699D"/>
    <w:rsid w:val="009414CD"/>
    <w:rsid w:val="00944915"/>
    <w:rsid w:val="00947DFC"/>
    <w:rsid w:val="00953802"/>
    <w:rsid w:val="00966799"/>
    <w:rsid w:val="00971346"/>
    <w:rsid w:val="009C3992"/>
    <w:rsid w:val="009C415A"/>
    <w:rsid w:val="00A02FEB"/>
    <w:rsid w:val="00A37994"/>
    <w:rsid w:val="00A566DC"/>
    <w:rsid w:val="00A62720"/>
    <w:rsid w:val="00A67026"/>
    <w:rsid w:val="00A743D5"/>
    <w:rsid w:val="00A75B4B"/>
    <w:rsid w:val="00A76B86"/>
    <w:rsid w:val="00A8342C"/>
    <w:rsid w:val="00A91808"/>
    <w:rsid w:val="00A93FF7"/>
    <w:rsid w:val="00AA3814"/>
    <w:rsid w:val="00AA7E11"/>
    <w:rsid w:val="00AB12C5"/>
    <w:rsid w:val="00AB6AA8"/>
    <w:rsid w:val="00AD0313"/>
    <w:rsid w:val="00B33741"/>
    <w:rsid w:val="00B52BAE"/>
    <w:rsid w:val="00B5727A"/>
    <w:rsid w:val="00B63EBA"/>
    <w:rsid w:val="00B90C00"/>
    <w:rsid w:val="00B91D82"/>
    <w:rsid w:val="00B95B60"/>
    <w:rsid w:val="00BB349E"/>
    <w:rsid w:val="00BB67BB"/>
    <w:rsid w:val="00BB77E3"/>
    <w:rsid w:val="00BC5F10"/>
    <w:rsid w:val="00BD2C78"/>
    <w:rsid w:val="00BF6C4A"/>
    <w:rsid w:val="00C17AB7"/>
    <w:rsid w:val="00C23BA4"/>
    <w:rsid w:val="00C307CC"/>
    <w:rsid w:val="00C52423"/>
    <w:rsid w:val="00C56ECE"/>
    <w:rsid w:val="00C574D4"/>
    <w:rsid w:val="00C637C0"/>
    <w:rsid w:val="00C90320"/>
    <w:rsid w:val="00CC02CD"/>
    <w:rsid w:val="00CC28C9"/>
    <w:rsid w:val="00CD074C"/>
    <w:rsid w:val="00CE68F6"/>
    <w:rsid w:val="00CE770A"/>
    <w:rsid w:val="00CF329A"/>
    <w:rsid w:val="00D04EE1"/>
    <w:rsid w:val="00D2353B"/>
    <w:rsid w:val="00D30A64"/>
    <w:rsid w:val="00D55720"/>
    <w:rsid w:val="00D67C02"/>
    <w:rsid w:val="00D76BC3"/>
    <w:rsid w:val="00D8096E"/>
    <w:rsid w:val="00D83628"/>
    <w:rsid w:val="00DB14CD"/>
    <w:rsid w:val="00DB39C8"/>
    <w:rsid w:val="00DC0283"/>
    <w:rsid w:val="00DC2DB9"/>
    <w:rsid w:val="00E05163"/>
    <w:rsid w:val="00E174B0"/>
    <w:rsid w:val="00E26EC8"/>
    <w:rsid w:val="00E576C8"/>
    <w:rsid w:val="00E60AA0"/>
    <w:rsid w:val="00E67465"/>
    <w:rsid w:val="00ED04A4"/>
    <w:rsid w:val="00ED16C5"/>
    <w:rsid w:val="00EE51AB"/>
    <w:rsid w:val="00EF040D"/>
    <w:rsid w:val="00EF6121"/>
    <w:rsid w:val="00EF7597"/>
    <w:rsid w:val="00F011FA"/>
    <w:rsid w:val="00F06DC6"/>
    <w:rsid w:val="00F327AB"/>
    <w:rsid w:val="00F33529"/>
    <w:rsid w:val="00F533CF"/>
    <w:rsid w:val="00F66BA3"/>
    <w:rsid w:val="00F80B7E"/>
    <w:rsid w:val="00F910FC"/>
    <w:rsid w:val="00F97606"/>
    <w:rsid w:val="00FA2B62"/>
    <w:rsid w:val="00FA4382"/>
    <w:rsid w:val="00FB2497"/>
    <w:rsid w:val="00FD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91D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1D8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aliases w:val="4_G,Footnotes refss,Footnote Ref,16 Point,Superscript 6 Point,Footnote Refernece,Footnote number,ftref,a Footnote Reference,FZ,Appel note de bas de page,Texto de nota al pie,referencia nota al pie,BVI fnr,Ref"/>
    <w:qFormat/>
    <w:rsid w:val="00B91D82"/>
    <w:rPr>
      <w:vertAlign w:val="superscript"/>
    </w:rPr>
  </w:style>
  <w:style w:type="character" w:styleId="Hyperlink">
    <w:name w:val="Hyperlink"/>
    <w:rsid w:val="005165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14C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91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37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AF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37AFB"/>
  </w:style>
  <w:style w:type="paragraph" w:styleId="Footer">
    <w:name w:val="footer"/>
    <w:basedOn w:val="Normal"/>
    <w:link w:val="FooterChar"/>
    <w:uiPriority w:val="99"/>
    <w:unhideWhenUsed/>
    <w:rsid w:val="00237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AF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7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D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DC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DC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DC9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538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91D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1D8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aliases w:val="4_G,Footnotes refss,Footnote Ref,16 Point,Superscript 6 Point,Footnote Refernece,Footnote number,ftref,a Footnote Reference,FZ,Appel note de bas de page,Texto de nota al pie,referencia nota al pie,BVI fnr,Ref"/>
    <w:qFormat/>
    <w:rsid w:val="00B91D82"/>
    <w:rPr>
      <w:vertAlign w:val="superscript"/>
    </w:rPr>
  </w:style>
  <w:style w:type="character" w:styleId="Hyperlink">
    <w:name w:val="Hyperlink"/>
    <w:rsid w:val="005165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14C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91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37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AF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37AFB"/>
  </w:style>
  <w:style w:type="paragraph" w:styleId="Footer">
    <w:name w:val="footer"/>
    <w:basedOn w:val="Normal"/>
    <w:link w:val="FooterChar"/>
    <w:uiPriority w:val="99"/>
    <w:unhideWhenUsed/>
    <w:rsid w:val="00237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AF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7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D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DC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DC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DC9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538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tk/fr/resources/tk_experiences.htm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wipo.int/tk/fr/resources/tk_experiences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publications/fr/details.jsp?id=401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wipo.int/export/sites/www/tk/en/documents/pdf/genetic_resources_disclosure.pdf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wipo.int/publications/fr/details.jsp?id=419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B22B-0419-405E-93DF-C371339B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1944</Words>
  <Characters>11086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13004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keywords>MP</cp:keywords>
  <cp:lastModifiedBy>ROURE Cécile</cp:lastModifiedBy>
  <cp:revision>15</cp:revision>
  <cp:lastPrinted>2018-03-08T15:57:00Z</cp:lastPrinted>
  <dcterms:created xsi:type="dcterms:W3CDTF">2018-03-14T16:00:00Z</dcterms:created>
  <dcterms:modified xsi:type="dcterms:W3CDTF">2018-03-16T08:15:00Z</dcterms:modified>
</cp:coreProperties>
</file>