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E8642C">
        <w:tc>
          <w:tcPr>
            <w:tcW w:w="4594" w:type="dxa"/>
            <w:tcBorders>
              <w:bottom w:val="single" w:sz="4" w:space="0" w:color="auto"/>
            </w:tcBorders>
            <w:tcMar>
              <w:bottom w:w="170" w:type="dxa"/>
            </w:tcMar>
          </w:tcPr>
          <w:p w:rsidR="00AF32FD" w:rsidRPr="00E8642C" w:rsidRDefault="00AF32FD" w:rsidP="00EF6794"/>
        </w:tc>
        <w:tc>
          <w:tcPr>
            <w:tcW w:w="4337" w:type="dxa"/>
            <w:tcBorders>
              <w:bottom w:val="single" w:sz="4" w:space="0" w:color="auto"/>
            </w:tcBorders>
            <w:tcMar>
              <w:left w:w="0" w:type="dxa"/>
              <w:right w:w="0" w:type="dxa"/>
            </w:tcMar>
          </w:tcPr>
          <w:p w:rsidR="00AF32FD" w:rsidRPr="00E8642C" w:rsidRDefault="00BE4D4C" w:rsidP="00EF6794">
            <w:r w:rsidRPr="00E8642C">
              <w:rPr>
                <w:noProof/>
                <w:lang w:val="en-US" w:eastAsia="en-US"/>
              </w:rPr>
              <w:drawing>
                <wp:inline distT="0" distB="0" distL="0" distR="0" wp14:anchorId="6700ACEE" wp14:editId="1FF70A31">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E8642C" w:rsidRDefault="00AF32FD" w:rsidP="00EF6794">
            <w:pPr>
              <w:jc w:val="right"/>
              <w:rPr>
                <w:rFonts w:cs="Arial"/>
              </w:rPr>
            </w:pPr>
            <w:r w:rsidRPr="00E8642C">
              <w:rPr>
                <w:rFonts w:cs="Arial"/>
                <w:b/>
                <w:sz w:val="40"/>
                <w:szCs w:val="40"/>
              </w:rPr>
              <w:t>F</w:t>
            </w:r>
          </w:p>
        </w:tc>
      </w:tr>
      <w:tr w:rsidR="00AF32FD" w:rsidRPr="00E8642C">
        <w:trPr>
          <w:trHeight w:hRule="exact" w:val="340"/>
        </w:trPr>
        <w:tc>
          <w:tcPr>
            <w:tcW w:w="9356" w:type="dxa"/>
            <w:gridSpan w:val="3"/>
            <w:tcBorders>
              <w:top w:val="single" w:sz="4" w:space="0" w:color="auto"/>
            </w:tcBorders>
            <w:tcMar>
              <w:top w:w="170" w:type="dxa"/>
              <w:left w:w="0" w:type="dxa"/>
              <w:right w:w="0" w:type="dxa"/>
            </w:tcMar>
            <w:vAlign w:val="bottom"/>
          </w:tcPr>
          <w:p w:rsidR="00AF32FD" w:rsidRPr="00E8642C" w:rsidRDefault="00AF32FD" w:rsidP="00171C87">
            <w:pPr>
              <w:jc w:val="right"/>
              <w:rPr>
                <w:rFonts w:ascii="Arial Black" w:hAnsi="Arial Black"/>
                <w:caps/>
                <w:sz w:val="15"/>
              </w:rPr>
            </w:pPr>
            <w:r w:rsidRPr="00E8642C">
              <w:rPr>
                <w:rFonts w:ascii="Arial Black" w:hAnsi="Arial Black"/>
                <w:caps/>
                <w:sz w:val="15"/>
              </w:rPr>
              <w:t>WIPO/GRTKF/IC/</w:t>
            </w:r>
            <w:r w:rsidR="000379C2">
              <w:rPr>
                <w:rFonts w:ascii="Arial Black" w:hAnsi="Arial Black"/>
                <w:caps/>
                <w:sz w:val="15"/>
              </w:rPr>
              <w:t>3</w:t>
            </w:r>
            <w:r w:rsidR="00171C87">
              <w:rPr>
                <w:rFonts w:ascii="Arial Black" w:hAnsi="Arial Black"/>
                <w:caps/>
                <w:sz w:val="15"/>
              </w:rPr>
              <w:t>8</w:t>
            </w:r>
            <w:r w:rsidRPr="00E8642C">
              <w:rPr>
                <w:rFonts w:ascii="Arial Black" w:hAnsi="Arial Black"/>
                <w:caps/>
                <w:sz w:val="15"/>
              </w:rPr>
              <w:t>/INF/</w:t>
            </w:r>
            <w:r w:rsidR="00E23777" w:rsidRPr="00E8642C">
              <w:rPr>
                <w:rFonts w:ascii="Arial Black" w:hAnsi="Arial Black"/>
                <w:caps/>
                <w:sz w:val="15"/>
              </w:rPr>
              <w:t>7</w:t>
            </w:r>
            <w:r w:rsidRPr="00E8642C">
              <w:rPr>
                <w:rFonts w:ascii="Arial Black" w:hAnsi="Arial Black"/>
                <w:caps/>
                <w:sz w:val="15"/>
              </w:rPr>
              <w:t xml:space="preserve"> </w:t>
            </w:r>
          </w:p>
        </w:tc>
      </w:tr>
      <w:tr w:rsidR="00AF32FD" w:rsidRPr="00E8642C">
        <w:trPr>
          <w:trHeight w:hRule="exact" w:val="170"/>
        </w:trPr>
        <w:tc>
          <w:tcPr>
            <w:tcW w:w="9356" w:type="dxa"/>
            <w:gridSpan w:val="3"/>
            <w:noWrap/>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ORIGINAL</w:t>
            </w:r>
            <w:r w:rsidR="004D2AA1">
              <w:rPr>
                <w:rFonts w:ascii="Arial Black" w:hAnsi="Arial Black"/>
                <w:caps/>
                <w:sz w:val="15"/>
              </w:rPr>
              <w:t> :</w:t>
            </w:r>
            <w:r w:rsidRPr="00E8642C">
              <w:rPr>
                <w:rFonts w:ascii="Arial Black" w:hAnsi="Arial Black"/>
                <w:caps/>
                <w:sz w:val="15"/>
              </w:rPr>
              <w:t xml:space="preserve"> anglais</w:t>
            </w:r>
          </w:p>
        </w:tc>
      </w:tr>
      <w:tr w:rsidR="00AF32FD" w:rsidRPr="00E8642C">
        <w:trPr>
          <w:trHeight w:hRule="exact" w:val="198"/>
        </w:trPr>
        <w:tc>
          <w:tcPr>
            <w:tcW w:w="9356" w:type="dxa"/>
            <w:gridSpan w:val="3"/>
            <w:tcMar>
              <w:left w:w="0" w:type="dxa"/>
              <w:right w:w="0" w:type="dxa"/>
            </w:tcMar>
            <w:vAlign w:val="bottom"/>
          </w:tcPr>
          <w:p w:rsidR="00AF32FD" w:rsidRPr="00E8642C" w:rsidRDefault="00AF32FD" w:rsidP="00171C87">
            <w:pPr>
              <w:jc w:val="right"/>
              <w:rPr>
                <w:rFonts w:ascii="Arial Black" w:hAnsi="Arial Black"/>
                <w:caps/>
                <w:sz w:val="15"/>
              </w:rPr>
            </w:pPr>
            <w:r w:rsidRPr="00E8642C">
              <w:rPr>
                <w:rFonts w:ascii="Arial Black" w:hAnsi="Arial Black"/>
                <w:caps/>
                <w:sz w:val="15"/>
              </w:rPr>
              <w:t>DATE</w:t>
            </w:r>
            <w:r w:rsidR="004D2AA1">
              <w:rPr>
                <w:rFonts w:ascii="Arial Black" w:hAnsi="Arial Black"/>
                <w:caps/>
                <w:sz w:val="15"/>
              </w:rPr>
              <w:t> :</w:t>
            </w:r>
            <w:r w:rsidRPr="00E8642C">
              <w:rPr>
                <w:rFonts w:ascii="Arial Black" w:hAnsi="Arial Black"/>
                <w:caps/>
                <w:sz w:val="15"/>
              </w:rPr>
              <w:t xml:space="preserve"> </w:t>
            </w:r>
            <w:r w:rsidR="00171C87">
              <w:rPr>
                <w:rFonts w:ascii="Arial Black" w:hAnsi="Arial Black"/>
                <w:caps/>
                <w:sz w:val="15"/>
              </w:rPr>
              <w:t>28 septembre</w:t>
            </w:r>
            <w:r w:rsidR="00C33F04" w:rsidRPr="00E8642C">
              <w:rPr>
                <w:rFonts w:ascii="Arial Black" w:hAnsi="Arial Black"/>
                <w:caps/>
                <w:sz w:val="15"/>
              </w:rPr>
              <w:t> 20</w:t>
            </w:r>
            <w:r w:rsidR="00AE5194" w:rsidRPr="00E8642C">
              <w:rPr>
                <w:rFonts w:ascii="Arial Black" w:hAnsi="Arial Black"/>
                <w:caps/>
                <w:sz w:val="15"/>
              </w:rPr>
              <w:t>1</w:t>
            </w:r>
            <w:r w:rsidR="002B36FC" w:rsidRPr="00E8642C">
              <w:rPr>
                <w:rFonts w:ascii="Arial Black" w:hAnsi="Arial Black"/>
                <w:caps/>
                <w:sz w:val="15"/>
              </w:rPr>
              <w:t>8</w:t>
            </w:r>
          </w:p>
        </w:tc>
      </w:tr>
    </w:tbl>
    <w:p w:rsidR="00D05100" w:rsidRPr="00E8642C" w:rsidRDefault="00AF32FD" w:rsidP="00912E24">
      <w:pPr>
        <w:spacing w:before="1200" w:after="600"/>
        <w:rPr>
          <w:rFonts w:cs="Arial"/>
          <w:b/>
          <w:sz w:val="28"/>
          <w:szCs w:val="28"/>
        </w:rPr>
      </w:pPr>
      <w:r w:rsidRPr="00E8642C">
        <w:rPr>
          <w:rFonts w:cs="Arial"/>
          <w:b/>
          <w:sz w:val="28"/>
          <w:szCs w:val="28"/>
        </w:rPr>
        <w:t>Comité intergouvernemental de la p</w:t>
      </w:r>
      <w:bookmarkStart w:id="0" w:name="_GoBack"/>
      <w:bookmarkEnd w:id="0"/>
      <w:r w:rsidRPr="00E8642C">
        <w:rPr>
          <w:rFonts w:cs="Arial"/>
          <w:b/>
          <w:sz w:val="28"/>
          <w:szCs w:val="28"/>
        </w:rPr>
        <w:t>ropriété intellectuelle relative aux</w:t>
      </w:r>
      <w:r w:rsidR="003F6300">
        <w:rPr>
          <w:rFonts w:cs="Arial"/>
          <w:b/>
          <w:sz w:val="28"/>
          <w:szCs w:val="28"/>
        </w:rPr>
        <w:t xml:space="preserve"> </w:t>
      </w:r>
      <w:r w:rsidRPr="00E8642C">
        <w:rPr>
          <w:rFonts w:cs="Arial"/>
          <w:b/>
          <w:sz w:val="28"/>
          <w:szCs w:val="28"/>
        </w:rPr>
        <w:t>ressources génétiques, aux savoirs traditionnels et au folklore</w:t>
      </w:r>
    </w:p>
    <w:p w:rsidR="00D05100" w:rsidRPr="00E8642C" w:rsidRDefault="005D4EE8" w:rsidP="00EF6794">
      <w:pPr>
        <w:rPr>
          <w:rFonts w:cs="Arial"/>
          <w:b/>
          <w:sz w:val="24"/>
          <w:szCs w:val="24"/>
        </w:rPr>
      </w:pPr>
      <w:r w:rsidRPr="00E8642C">
        <w:rPr>
          <w:rFonts w:cs="Arial"/>
          <w:b/>
          <w:sz w:val="24"/>
          <w:szCs w:val="24"/>
        </w:rPr>
        <w:t>Trent</w:t>
      </w:r>
      <w:r w:rsidR="00AE66F5" w:rsidRPr="00E8642C">
        <w:rPr>
          <w:rFonts w:cs="Arial"/>
          <w:b/>
          <w:sz w:val="24"/>
          <w:szCs w:val="24"/>
        </w:rPr>
        <w:t>e</w:t>
      </w:r>
      <w:r w:rsidR="005A7440">
        <w:rPr>
          <w:rFonts w:cs="Arial"/>
          <w:b/>
          <w:sz w:val="24"/>
          <w:szCs w:val="24"/>
        </w:rPr>
        <w:noBreakHyphen/>
      </w:r>
      <w:r w:rsidR="00816613">
        <w:rPr>
          <w:rFonts w:cs="Arial"/>
          <w:b/>
          <w:sz w:val="24"/>
          <w:szCs w:val="24"/>
        </w:rPr>
        <w:t>h</w:t>
      </w:r>
      <w:r w:rsidR="00171C87">
        <w:rPr>
          <w:rFonts w:cs="Arial"/>
          <w:b/>
          <w:sz w:val="24"/>
          <w:szCs w:val="24"/>
        </w:rPr>
        <w:t>ui</w:t>
      </w:r>
      <w:r w:rsidR="006B25AE">
        <w:rPr>
          <w:rFonts w:cs="Arial"/>
          <w:b/>
          <w:sz w:val="24"/>
          <w:szCs w:val="24"/>
        </w:rPr>
        <w:t>t</w:t>
      </w:r>
      <w:r w:rsidR="004D2AA1">
        <w:rPr>
          <w:rFonts w:cs="Arial"/>
          <w:b/>
          <w:sz w:val="24"/>
          <w:szCs w:val="24"/>
        </w:rPr>
        <w:t>ième session</w:t>
      </w:r>
    </w:p>
    <w:p w:rsidR="00D05100" w:rsidRPr="00E8642C" w:rsidRDefault="00AF32FD" w:rsidP="00EF6794">
      <w:pPr>
        <w:rPr>
          <w:rFonts w:cs="Arial"/>
          <w:b/>
          <w:sz w:val="24"/>
          <w:szCs w:val="24"/>
        </w:rPr>
      </w:pPr>
      <w:r w:rsidRPr="00E8642C">
        <w:rPr>
          <w:rFonts w:cs="Arial"/>
          <w:b/>
          <w:sz w:val="24"/>
          <w:szCs w:val="24"/>
        </w:rPr>
        <w:t xml:space="preserve">Genève, </w:t>
      </w:r>
      <w:r w:rsidR="00171C87">
        <w:rPr>
          <w:rFonts w:cs="Arial"/>
          <w:b/>
          <w:sz w:val="24"/>
          <w:szCs w:val="24"/>
        </w:rPr>
        <w:t>10</w:t>
      </w:r>
      <w:r w:rsidR="00957D11">
        <w:rPr>
          <w:rFonts w:cs="Arial"/>
          <w:b/>
          <w:sz w:val="24"/>
          <w:szCs w:val="24"/>
        </w:rPr>
        <w:t xml:space="preserve"> </w:t>
      </w:r>
      <w:r w:rsidR="00957D11" w:rsidRPr="00E8642C">
        <w:rPr>
          <w:rFonts w:cs="Arial"/>
          <w:b/>
          <w:sz w:val="24"/>
          <w:szCs w:val="24"/>
        </w:rPr>
        <w:t>–</w:t>
      </w:r>
      <w:r w:rsidR="00957D11">
        <w:rPr>
          <w:rFonts w:cs="Arial"/>
          <w:b/>
          <w:sz w:val="24"/>
          <w:szCs w:val="24"/>
        </w:rPr>
        <w:t xml:space="preserve"> </w:t>
      </w:r>
      <w:r w:rsidR="00171C87">
        <w:rPr>
          <w:rFonts w:cs="Arial"/>
          <w:b/>
          <w:sz w:val="24"/>
          <w:szCs w:val="24"/>
        </w:rPr>
        <w:t>14</w:t>
      </w:r>
      <w:r w:rsidR="004D2AA1">
        <w:rPr>
          <w:rFonts w:cs="Arial"/>
          <w:b/>
          <w:sz w:val="24"/>
          <w:szCs w:val="24"/>
        </w:rPr>
        <w:t> </w:t>
      </w:r>
      <w:r w:rsidR="00171C87">
        <w:rPr>
          <w:rFonts w:cs="Arial"/>
          <w:b/>
          <w:sz w:val="24"/>
          <w:szCs w:val="24"/>
        </w:rPr>
        <w:t>décembre</w:t>
      </w:r>
      <w:r w:rsidR="00E667D8" w:rsidRPr="00E8642C">
        <w:rPr>
          <w:rFonts w:cs="Arial"/>
          <w:b/>
          <w:color w:val="000000"/>
          <w:sz w:val="24"/>
          <w:szCs w:val="22"/>
        </w:rPr>
        <w:t> </w:t>
      </w:r>
      <w:r w:rsidR="0061367E" w:rsidRPr="00E8642C">
        <w:rPr>
          <w:rFonts w:cs="Arial"/>
          <w:b/>
          <w:sz w:val="24"/>
          <w:szCs w:val="24"/>
        </w:rPr>
        <w:t>20</w:t>
      </w:r>
      <w:r w:rsidR="00AE66F5" w:rsidRPr="00E8642C">
        <w:rPr>
          <w:rFonts w:cs="Arial"/>
          <w:b/>
          <w:sz w:val="24"/>
          <w:szCs w:val="24"/>
        </w:rPr>
        <w:t>1</w:t>
      </w:r>
      <w:r w:rsidR="002B36FC" w:rsidRPr="00E8642C">
        <w:rPr>
          <w:rFonts w:cs="Arial"/>
          <w:b/>
          <w:sz w:val="24"/>
          <w:szCs w:val="24"/>
        </w:rPr>
        <w:t>8</w:t>
      </w:r>
    </w:p>
    <w:p w:rsidR="00D05100" w:rsidRPr="00E8642C" w:rsidRDefault="007019FF" w:rsidP="00912E24">
      <w:pPr>
        <w:spacing w:before="720" w:after="360"/>
        <w:rPr>
          <w:b/>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AF32FD" w:rsidP="00912E24">
      <w:pPr>
        <w:pStyle w:val="preparedby"/>
        <w:spacing w:after="960" w:line="240" w:lineRule="auto"/>
        <w:ind w:left="0"/>
        <w:rPr>
          <w:rFonts w:cs="Arial"/>
          <w:szCs w:val="22"/>
        </w:rPr>
      </w:pPr>
      <w:r w:rsidRPr="00E8642C">
        <w:rPr>
          <w:rFonts w:cs="Arial"/>
          <w:szCs w:val="22"/>
        </w:rPr>
        <w:t>Document établi par le Secrétariat</w:t>
      </w:r>
    </w:p>
    <w:p w:rsidR="00D05100" w:rsidRPr="00E8642C" w:rsidRDefault="0051068B" w:rsidP="00EF6794">
      <w:pPr>
        <w:pStyle w:val="Heading1"/>
        <w:rPr>
          <w:b/>
        </w:rPr>
      </w:pPr>
      <w:r w:rsidRPr="00E8642C">
        <w:rPr>
          <w:b/>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E8642C">
        <w:t>À ses seizième et dix</w:t>
      </w:r>
      <w:r w:rsidR="005A7440">
        <w:noBreakHyphen/>
      </w:r>
      <w:r w:rsidRPr="00E8642C">
        <w:t>sept</w:t>
      </w:r>
      <w:r w:rsidR="004D2AA1">
        <w:t>ième session</w:t>
      </w:r>
      <w:r w:rsidRPr="00E8642C">
        <w:t>s, tenues du 3 au 7 mai 2010 et du 6 au 10 décembre 2010 respectivement, le Comité intergouvernemental de la propriété intellectuelle relative aux ressources génétiques, aux savoirs traditionnels et au folklore (ci</w:t>
      </w:r>
      <w:r w:rsidR="005A7440">
        <w:noBreakHyphen/>
      </w:r>
      <w:r w:rsidRPr="00E8642C">
        <w:t>après dénommé “IGC”) a demandé au Secrétariat d</w:t>
      </w:r>
      <w:r w:rsidR="004D2AA1">
        <w:t>’</w:t>
      </w:r>
      <w:r w:rsidRPr="00E8642C">
        <w:t xml:space="preserve">élaborer, en tant que </w:t>
      </w:r>
      <w:r w:rsidRPr="00E8642C">
        <w:rPr>
          <w:lang w:eastAsia="en-US" w:bidi="th-TH"/>
        </w:rPr>
        <w:t>documents d</w:t>
      </w:r>
      <w:r w:rsidR="004D2AA1">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4D2AA1">
        <w:t>’</w:t>
      </w:r>
      <w:r w:rsidRPr="00E8642C">
        <w:t>IGC.</w:t>
      </w:r>
    </w:p>
    <w:p w:rsidR="00D05100" w:rsidRPr="00E8642C" w:rsidRDefault="007019FF" w:rsidP="00EF6794">
      <w:pPr>
        <w:pStyle w:val="ONUMFS"/>
        <w:rPr>
          <w:szCs w:val="22"/>
          <w:lang w:eastAsia="en-US"/>
        </w:rPr>
      </w:pPr>
      <w:r w:rsidRPr="00E8642C">
        <w:t>À sa dix</w:t>
      </w:r>
      <w:r w:rsidR="005A7440">
        <w:noBreakHyphen/>
      </w:r>
      <w:r w:rsidRPr="00E8642C">
        <w:t>neuv</w:t>
      </w:r>
      <w:r w:rsidR="004D2AA1">
        <w:t>ième session</w:t>
      </w:r>
      <w:r w:rsidR="00C72D25" w:rsidRPr="00E8642C">
        <w:t>,</w:t>
      </w:r>
      <w:r w:rsidRPr="00E8642C">
        <w:t xml:space="preserve"> tenue du 18 au 22 juillet </w:t>
      </w:r>
      <w:r w:rsidR="00C72D25" w:rsidRPr="00E8642C">
        <w:t>2011, l</w:t>
      </w:r>
      <w:r w:rsidR="004D2AA1">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4D2AA1">
        <w:rPr>
          <w:szCs w:val="22"/>
          <w:lang w:eastAsia="en-US"/>
        </w:rPr>
        <w:t>’</w:t>
      </w:r>
      <w:r w:rsidRPr="00E8642C">
        <w:rPr>
          <w:szCs w:val="22"/>
          <w:lang w:eastAsia="en-US"/>
        </w:rPr>
        <w:t>un document d</w:t>
      </w:r>
      <w:r w:rsidR="004D2AA1">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4D2AA1">
        <w:t>’</w:t>
      </w:r>
      <w:r w:rsidR="00FC3D53" w:rsidRPr="00E8642C">
        <w:t>information aux</w:t>
      </w:r>
      <w:r w:rsidRPr="00E8642C">
        <w:t xml:space="preserve"> précédentes</w:t>
      </w:r>
      <w:r w:rsidR="00FC3D53" w:rsidRPr="00E8642C">
        <w:t xml:space="preserve"> sessions de l</w:t>
      </w:r>
      <w:r w:rsidR="004D2AA1">
        <w:t>’</w:t>
      </w:r>
      <w:r w:rsidR="00007531" w:rsidRPr="00E8642C">
        <w:t>IGC</w:t>
      </w:r>
      <w:r w:rsidR="00007531">
        <w:t xml:space="preserve">.  </w:t>
      </w:r>
      <w:r w:rsidR="003C7886">
        <w:t>Il</w:t>
      </w:r>
      <w:r w:rsidR="00AF32FD" w:rsidRPr="00E8642C">
        <w:t xml:space="preserve"> fait l</w:t>
      </w:r>
      <w:r w:rsidR="004D2AA1">
        <w:t>’</w:t>
      </w:r>
      <w:r w:rsidR="00AF32FD" w:rsidRPr="00E8642C">
        <w:t>objet de l</w:t>
      </w:r>
      <w:r w:rsidR="004D2AA1">
        <w:t>’</w:t>
      </w:r>
      <w:r w:rsidR="00AF32FD" w:rsidRPr="00E8642C">
        <w:t>annexe du présent document</w:t>
      </w:r>
      <w:r w:rsidR="00717B33" w:rsidRPr="00E8642C">
        <w:t>.</w:t>
      </w:r>
    </w:p>
    <w:p w:rsidR="00D05100" w:rsidRPr="00E8642C" w:rsidRDefault="00AF32FD" w:rsidP="00EF6794">
      <w:pPr>
        <w:pStyle w:val="ONUMFS"/>
      </w:pPr>
      <w:r w:rsidRPr="00E8642C">
        <w:t>Le glossaire s</w:t>
      </w:r>
      <w:r w:rsidR="004D2AA1">
        <w:t>’</w:t>
      </w:r>
      <w:r w:rsidRPr="00E8642C">
        <w:t>inspire autant que possible des précédents glossaires établis par l</w:t>
      </w:r>
      <w:r w:rsidR="004D2AA1">
        <w:t>’</w:t>
      </w:r>
      <w:r w:rsidRPr="00E8642C">
        <w:t xml:space="preserve">IGC et des instruments existants des </w:t>
      </w:r>
      <w:r w:rsidR="004D2AA1">
        <w:t>Nations Unies</w:t>
      </w:r>
      <w:r w:rsidRPr="00E8642C">
        <w:t xml:space="preserve"> et d</w:t>
      </w:r>
      <w:r w:rsidR="004D2AA1">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4D2AA1">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4D2AA1">
        <w:t>’</w:t>
      </w:r>
      <w:r w:rsidRPr="00E8642C">
        <w:t>IGC, sur d</w:t>
      </w:r>
      <w:r w:rsidR="004D2AA1">
        <w:t>’</w:t>
      </w:r>
      <w:r w:rsidRPr="00E8642C">
        <w:t>autres documents de l</w:t>
      </w:r>
      <w:r w:rsidR="004D2AA1">
        <w:t>’</w:t>
      </w:r>
      <w:r w:rsidRPr="00E8642C">
        <w:t>OMPI et sur les documents établis au titre d</w:t>
      </w:r>
      <w:r w:rsidR="004D2AA1">
        <w:t>’</w:t>
      </w:r>
      <w:r w:rsidRPr="00E8642C">
        <w:t>autres programmes de travail de l</w:t>
      </w:r>
      <w:r w:rsidR="004D2AA1">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4D2AA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4D2AA1">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4D2AA1">
        <w:t>’</w:t>
      </w:r>
      <w:r w:rsidR="00BE7E0E" w:rsidRPr="00E8642C">
        <w:t>IGC</w:t>
      </w:r>
      <w:r w:rsidRPr="00E8642C">
        <w:t xml:space="preserve"> et d</w:t>
      </w:r>
      <w:r w:rsidR="004D2AA1">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4D2AA1">
        <w:t>’</w:t>
      </w:r>
      <w:r w:rsidRPr="00E8642C">
        <w:t>annexe sont sans préjudice de tout autre glossaire ou définition figurant dans de précédents documents de l</w:t>
      </w:r>
      <w:r w:rsidR="004D2AA1">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4D2AA1">
        <w:t>’</w:t>
      </w:r>
      <w:r w:rsidR="00007531" w:rsidRPr="00E8642C">
        <w:t>IGC</w:t>
      </w:r>
      <w:r w:rsidR="00007531">
        <w:t xml:space="preserve">.  </w:t>
      </w:r>
      <w:r w:rsidR="00007531" w:rsidRPr="00E8642C">
        <w:t>Il</w:t>
      </w:r>
      <w:r w:rsidRPr="00E8642C">
        <w:t xml:space="preserve"> s</w:t>
      </w:r>
      <w:r w:rsidR="004D2AA1">
        <w:t>’</w:t>
      </w:r>
      <w:r w:rsidRPr="00E8642C">
        <w:t>agit d</w:t>
      </w:r>
      <w:r w:rsidR="004D2AA1">
        <w:t>’</w:t>
      </w:r>
      <w:r w:rsidRPr="00E8642C">
        <w:t>un document d</w:t>
      </w:r>
      <w:r w:rsidR="004D2AA1">
        <w:t>’</w:t>
      </w:r>
      <w:r w:rsidRPr="00E8642C">
        <w:t>information et l</w:t>
      </w:r>
      <w:r w:rsidR="004D2AA1">
        <w:t>’</w:t>
      </w:r>
      <w:r w:rsidRPr="00E8642C">
        <w:t>IGC n</w:t>
      </w:r>
      <w:r w:rsidR="004D2AA1">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4D2AA1">
        <w:rPr>
          <w:i/>
          <w:iCs/>
        </w:rPr>
        <w:t>’</w:t>
      </w:r>
      <w:r w:rsidRPr="00E8642C">
        <w:rPr>
          <w:i/>
          <w:iCs/>
        </w:rPr>
        <w:t>IGC est invité à prendre note du présent document et de son annexe</w:t>
      </w:r>
      <w:r w:rsidRPr="00E8642C">
        <w:rPr>
          <w:i/>
        </w:rPr>
        <w:t>.</w:t>
      </w: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AF32FD" w:rsidP="00EF6794">
      <w:pPr>
        <w:pStyle w:val="Endofdocument"/>
        <w:spacing w:after="0" w:line="240" w:lineRule="auto"/>
        <w:ind w:left="5533"/>
      </w:pPr>
      <w:r w:rsidRPr="00E8642C">
        <w:rPr>
          <w:szCs w:val="22"/>
        </w:rPr>
        <w:t>[L</w:t>
      </w:r>
      <w:r w:rsidR="004D2AA1">
        <w:rPr>
          <w:szCs w:val="22"/>
        </w:rPr>
        <w:t>’</w:t>
      </w:r>
      <w:r w:rsidRPr="00E8642C">
        <w:rPr>
          <w:szCs w:val="22"/>
        </w:rPr>
        <w:t>annexe suit]</w:t>
      </w:r>
    </w:p>
    <w:p w:rsidR="00AF32FD" w:rsidRPr="00E8642C" w:rsidRDefault="00AF32FD" w:rsidP="00EF6794">
      <w:pPr>
        <w:pStyle w:val="Endofdocument"/>
        <w:spacing w:after="0" w:line="240" w:lineRule="auto"/>
        <w:ind w:left="0"/>
        <w:rPr>
          <w:rFonts w:cs="Arial"/>
          <w:szCs w:val="22"/>
        </w:rPr>
        <w:sectPr w:rsidR="00AF32FD" w:rsidRPr="00E8642C" w:rsidSect="00DC26CA">
          <w:headerReference w:type="even" r:id="rId10"/>
          <w:headerReference w:type="default" r:id="rId11"/>
          <w:footerReference w:type="even" r:id="rId12"/>
          <w:footerReference w:type="default" r:id="rId13"/>
          <w:footerReference w:type="first" r:id="rId14"/>
          <w:footnotePr>
            <w:numRestart w:val="eachSect"/>
          </w:footnotePr>
          <w:pgSz w:w="11907" w:h="16840" w:code="9"/>
          <w:pgMar w:top="567" w:right="1134" w:bottom="1418" w:left="1418" w:header="510" w:footer="1021" w:gutter="0"/>
          <w:pgNumType w:start="1"/>
          <w:cols w:space="720"/>
          <w:titlePg/>
          <w:docGrid w:linePitch="272"/>
        </w:sectPr>
      </w:pP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Pr="00E8642C" w:rsidRDefault="00D05100" w:rsidP="00EF6794">
      <w:pPr>
        <w:rPr>
          <w:rFonts w:cs="Arial"/>
          <w:szCs w:val="22"/>
        </w:rPr>
      </w:pPr>
    </w:p>
    <w:p w:rsidR="00D05100" w:rsidRPr="00E8642C" w:rsidRDefault="00D05100" w:rsidP="00EF6794"/>
    <w:p w:rsidR="00D05100" w:rsidRPr="00E8642C" w:rsidRDefault="00D05100" w:rsidP="00EF6794">
      <w:pPr>
        <w:pStyle w:val="Heading1"/>
        <w:keepNext w:val="0"/>
        <w:rPr>
          <w:rFonts w:cs="Arial"/>
          <w:caps w:val="0"/>
          <w:szCs w:val="22"/>
        </w:rPr>
      </w:pPr>
    </w:p>
    <w:p w:rsidR="00DD607D" w:rsidRPr="00E8642C" w:rsidRDefault="00DD607D" w:rsidP="00EF6794">
      <w:pPr>
        <w:pStyle w:val="Heading2"/>
        <w:spacing w:line="240" w:lineRule="auto"/>
      </w:pPr>
      <w:r w:rsidRPr="00E8642C">
        <w:t>Accès et partage des avantages</w:t>
      </w:r>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4D2AA1">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4D2AA1">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4D2AA1">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4D2AA1">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4D2AA1">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4D2AA1">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En ce qui concerne les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le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“accès” comme “</w:t>
      </w:r>
      <w:r w:rsidRPr="00E8642C">
        <w:rPr>
          <w:rFonts w:cs="Arial"/>
          <w:iCs/>
          <w:szCs w:val="22"/>
        </w:rPr>
        <w:t>l</w:t>
      </w:r>
      <w:r w:rsidR="004D2AA1">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4D2AA1">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4D2AA1">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4D2AA1">
        <w:rPr>
          <w:rFonts w:cs="Arial"/>
          <w:szCs w:val="22"/>
        </w:rPr>
        <w:t>’</w:t>
      </w:r>
      <w:r w:rsidRPr="00E8642C">
        <w:rPr>
          <w:rFonts w:cs="Arial"/>
          <w:szCs w:val="22"/>
        </w:rPr>
        <w:t>obtention de l</w:t>
      </w:r>
      <w:r w:rsidR="004D2AA1">
        <w:rPr>
          <w:rFonts w:cs="Arial"/>
          <w:szCs w:val="22"/>
        </w:rPr>
        <w:t>’</w:t>
      </w:r>
      <w:r w:rsidRPr="00E8642C">
        <w:rPr>
          <w:rFonts w:cs="Arial"/>
          <w:szCs w:val="22"/>
        </w:rPr>
        <w:t>accès aux ressources génétiques et du partage des avantages peuvent comprendre des activités antérieures à l</w:t>
      </w:r>
      <w:r w:rsidR="004D2AA1">
        <w:rPr>
          <w:rFonts w:cs="Arial"/>
          <w:szCs w:val="22"/>
        </w:rPr>
        <w:t>’</w:t>
      </w:r>
      <w:r w:rsidRPr="00E8642C">
        <w:rPr>
          <w:rFonts w:cs="Arial"/>
          <w:szCs w:val="22"/>
        </w:rPr>
        <w:t>accès, des travaux de recherche et de mise en valeur sur les ressources génétiques ainsi que la commercialisation et d</w:t>
      </w:r>
      <w:r w:rsidR="004D2AA1">
        <w:rPr>
          <w:rFonts w:cs="Arial"/>
          <w:szCs w:val="22"/>
        </w:rPr>
        <w:t>’</w:t>
      </w:r>
      <w:r w:rsidRPr="00E8642C">
        <w:rPr>
          <w:rFonts w:cs="Arial"/>
          <w:szCs w:val="22"/>
        </w:rPr>
        <w:t>autres utilisations de celles</w:t>
      </w:r>
      <w:r w:rsidR="005A7440">
        <w:rPr>
          <w:rFonts w:cs="Arial"/>
          <w:szCs w:val="22"/>
        </w:rPr>
        <w:noBreakHyphen/>
      </w:r>
      <w:r w:rsidRPr="00E8642C">
        <w:rPr>
          <w:rFonts w:cs="Arial"/>
          <w:szCs w:val="22"/>
        </w:rPr>
        <w:t xml:space="preserve">ci, </w:t>
      </w:r>
      <w:r w:rsidR="004D2AA1">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Accord de transfert de matériel</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Les accords de transfert de matériel sont des partenariats de recherche commerciale et universitaire portant sur le transfert de matériel biologique, tel que germoplasme, micro</w:t>
      </w:r>
      <w:r w:rsidR="005A7440">
        <w:rPr>
          <w:rFonts w:cs="Arial"/>
          <w:iCs/>
          <w:szCs w:val="22"/>
        </w:rPr>
        <w:noBreakHyphen/>
      </w:r>
      <w:r w:rsidRPr="00E8642C">
        <w:rPr>
          <w:rFonts w:cs="Arial"/>
          <w:iCs/>
          <w:szCs w:val="22"/>
        </w:rPr>
        <w:t>organismes et cultures cellulaires, entre le fournisseur et le bénéficiaire et fixant les conditions d</w:t>
      </w:r>
      <w:r w:rsidR="004D2AA1">
        <w:rPr>
          <w:rFonts w:cs="Arial"/>
          <w:iCs/>
          <w:szCs w:val="22"/>
        </w:rPr>
        <w:t>’</w:t>
      </w:r>
      <w:r w:rsidRPr="00E8642C">
        <w:rPr>
          <w:rFonts w:cs="Arial"/>
          <w:iCs/>
          <w:szCs w:val="22"/>
        </w:rPr>
        <w:t xml:space="preserve">accès du public aux collections de germoplasme,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OMPI a élaboré la base de données des accords d</w:t>
      </w:r>
      <w:r w:rsidR="004D2AA1">
        <w:rPr>
          <w:rFonts w:cs="Arial"/>
          <w:szCs w:val="22"/>
        </w:rPr>
        <w:t>’</w:t>
      </w:r>
      <w:r w:rsidRPr="00E8642C">
        <w:rPr>
          <w:rFonts w:cs="Arial"/>
          <w:szCs w:val="22"/>
        </w:rPr>
        <w:t>accès et de partage des avantages en matière de biodiversité contenant les clauses contractuelles relatives au transfert et à l</w:t>
      </w:r>
      <w:r w:rsidR="004D2AA1">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a élaboré et adopté en 2006 un Accord type de transfert de matériel dans le cadre de la mise en œuvre du Traité international sur les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4D2AA1">
        <w:rPr>
          <w:rFonts w:cs="Arial"/>
          <w:bCs/>
          <w:szCs w:val="22"/>
        </w:rPr>
        <w:t>’</w:t>
      </w:r>
      <w:r w:rsidRPr="00E8642C">
        <w:rPr>
          <w:rFonts w:cs="Arial"/>
          <w:bCs/>
          <w:szCs w:val="22"/>
        </w:rPr>
        <w:t xml:space="preserve">appendice I des </w:t>
      </w:r>
      <w:r w:rsidRPr="00E8642C">
        <w:rPr>
          <w:rFonts w:cs="Arial"/>
          <w:bCs/>
          <w:i/>
          <w:szCs w:val="22"/>
        </w:rPr>
        <w:t>Lignes directrices de Bonn sur l</w:t>
      </w:r>
      <w:r w:rsidR="004D2AA1">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Accord et participation</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4D2AA1">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4D2AA1">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4D2AA1">
        <w:rPr>
          <w:rFonts w:cs="Arial"/>
          <w:szCs w:val="22"/>
        </w:rPr>
        <w:t>’</w:t>
      </w:r>
      <w:r w:rsidRPr="00E8642C">
        <w:rPr>
          <w:rFonts w:cs="Arial"/>
          <w:szCs w:val="22"/>
        </w:rPr>
        <w:t>expression “accord et participation”, plusieurs décisions fondées sur l</w:t>
      </w:r>
      <w:r w:rsidR="004D2AA1">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Activité inventive</w:t>
      </w:r>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activité inventive (également dénommée “non</w:t>
      </w:r>
      <w:r w:rsidR="005A7440">
        <w:rPr>
          <w:rFonts w:cs="Arial"/>
          <w:bCs/>
          <w:szCs w:val="22"/>
        </w:rPr>
        <w:noBreakHyphen/>
      </w:r>
      <w:r w:rsidRPr="00E8642C">
        <w:rPr>
          <w:rFonts w:cs="Arial"/>
          <w:bCs/>
          <w:szCs w:val="22"/>
        </w:rPr>
        <w:t>évidence”) est l</w:t>
      </w:r>
      <w:r w:rsidR="004D2AA1">
        <w:rPr>
          <w:rFonts w:cs="Arial"/>
          <w:bCs/>
          <w:szCs w:val="22"/>
        </w:rPr>
        <w:t>’</w:t>
      </w:r>
      <w:r w:rsidRPr="00E8642C">
        <w:rPr>
          <w:rFonts w:cs="Arial"/>
          <w:bCs/>
          <w:szCs w:val="22"/>
        </w:rPr>
        <w:t>un des critères de brevetabilité et se rapporte à la question de savoir si l</w:t>
      </w:r>
      <w:r w:rsidR="004D2AA1">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4D2AA1">
        <w:rPr>
          <w:rFonts w:cs="Arial"/>
          <w:bCs/>
          <w:iCs/>
          <w:szCs w:val="22"/>
        </w:rPr>
        <w:t>’</w:t>
      </w:r>
      <w:r w:rsidRPr="00E8642C">
        <w:rPr>
          <w:rFonts w:cs="Arial"/>
          <w:bCs/>
          <w:iCs/>
          <w:szCs w:val="22"/>
        </w:rPr>
        <w:t>état de la technique tel qu</w:t>
      </w:r>
      <w:r w:rsidR="004D2AA1">
        <w:rPr>
          <w:rFonts w:cs="Arial"/>
          <w:bCs/>
          <w:iCs/>
          <w:szCs w:val="22"/>
        </w:rPr>
        <w:t>’</w:t>
      </w:r>
      <w:r w:rsidRPr="00E8642C">
        <w:rPr>
          <w:rFonts w:cs="Arial"/>
          <w:bCs/>
          <w:iCs/>
          <w:szCs w:val="22"/>
        </w:rPr>
        <w:t>il est défini dans le règlement d</w:t>
      </w:r>
      <w:r w:rsidR="004D2AA1">
        <w:rPr>
          <w:rFonts w:cs="Arial"/>
          <w:bCs/>
          <w:iCs/>
          <w:szCs w:val="22"/>
        </w:rPr>
        <w:t>’</w:t>
      </w:r>
      <w:r w:rsidRPr="00E8642C">
        <w:rPr>
          <w:rFonts w:cs="Arial"/>
          <w:bCs/>
          <w:iCs/>
          <w:szCs w:val="22"/>
        </w:rPr>
        <w:t>exécution, elle n</w:t>
      </w:r>
      <w:r w:rsidR="004D2AA1">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4D2AA1">
        <w:rPr>
          <w:rFonts w:cs="Arial"/>
          <w:bCs/>
          <w:szCs w:val="22"/>
        </w:rPr>
        <w:t>’</w:t>
      </w:r>
      <w:r w:rsidRPr="00E8642C">
        <w:rPr>
          <w:rFonts w:cs="Arial"/>
          <w:bCs/>
          <w:szCs w:val="22"/>
        </w:rPr>
        <w:t>article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4D2AA1">
        <w:rPr>
          <w:rFonts w:cs="Arial"/>
          <w:bCs/>
          <w:szCs w:val="22"/>
        </w:rPr>
        <w:t>’</w:t>
      </w:r>
      <w:r w:rsidR="00007531" w:rsidRPr="00E8642C">
        <w:rPr>
          <w:rFonts w:cs="Arial"/>
          <w:bCs/>
          <w:szCs w:val="22"/>
        </w:rPr>
        <w:t>a</w:t>
      </w:r>
      <w:r w:rsidRPr="00E8642C">
        <w:rPr>
          <w:rFonts w:cs="Arial"/>
          <w:bCs/>
          <w:szCs w:val="22"/>
        </w:rPr>
        <w:t>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utilise le terme équivalent de “non</w:t>
      </w:r>
      <w:r w:rsidR="005A7440">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r w:rsidRPr="00E8642C">
        <w:t>Adaptation</w:t>
      </w:r>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adaptation est l</w:t>
      </w:r>
      <w:r w:rsidR="004D2AA1">
        <w:rPr>
          <w:rFonts w:cs="Arial"/>
          <w:szCs w:val="22"/>
        </w:rPr>
        <w:t>’</w:t>
      </w:r>
      <w:r w:rsidRPr="00E8642C">
        <w:rPr>
          <w:rFonts w:cs="Arial"/>
          <w:szCs w:val="22"/>
        </w:rPr>
        <w:t>action de modifier une œuvre préexistante (protégée ou tombée dans le domaine public) ou une expression culturelle traditionnelle pour qu</w:t>
      </w:r>
      <w:r w:rsidR="004D2AA1">
        <w:rPr>
          <w:rFonts w:cs="Arial"/>
          <w:szCs w:val="22"/>
        </w:rPr>
        <w:t>’</w:t>
      </w:r>
      <w:r w:rsidRPr="00E8642C">
        <w:rPr>
          <w:rFonts w:cs="Arial"/>
          <w:szCs w:val="22"/>
        </w:rPr>
        <w:t>elle serve à des fins autres que celles qu</w:t>
      </w:r>
      <w:r w:rsidR="004D2AA1">
        <w:rPr>
          <w:rFonts w:cs="Arial"/>
          <w:szCs w:val="22"/>
        </w:rPr>
        <w:t>’</w:t>
      </w:r>
      <w:r w:rsidRPr="00E8642C">
        <w:rPr>
          <w:rFonts w:cs="Arial"/>
          <w:szCs w:val="22"/>
        </w:rPr>
        <w:t>elle avait à l</w:t>
      </w:r>
      <w:r w:rsidR="004D2AA1">
        <w:rPr>
          <w:rFonts w:cs="Arial"/>
          <w:szCs w:val="22"/>
        </w:rPr>
        <w:t>’</w:t>
      </w:r>
      <w:r w:rsidRPr="00E8642C">
        <w:rPr>
          <w:rFonts w:cs="Arial"/>
          <w:szCs w:val="22"/>
        </w:rPr>
        <w:t>origine et de manière à réaliser une œuvre nouvelle fusionnant les éléments de l</w:t>
      </w:r>
      <w:r w:rsidR="004D2AA1">
        <w:rPr>
          <w:rFonts w:cs="Arial"/>
          <w:szCs w:val="22"/>
        </w:rPr>
        <w:t>’</w:t>
      </w:r>
      <w:r w:rsidRPr="00E8642C">
        <w:rPr>
          <w:rFonts w:cs="Arial"/>
          <w:szCs w:val="22"/>
        </w:rPr>
        <w:t>œuvre première et les nouveaux – ceux qui sont ajoutés du fait de la modification</w:t>
      </w:r>
      <w:bookmarkStart w:id="6" w:name="_Ref289433821"/>
      <w:r w:rsidRPr="00E8642C">
        <w:rPr>
          <w:rStyle w:val="FootnoteReference"/>
          <w:rFonts w:cs="Arial"/>
          <w:szCs w:val="22"/>
        </w:rPr>
        <w:footnoteReference w:id="12"/>
      </w:r>
      <w:bookmarkEnd w:id="6"/>
      <w:r w:rsidRPr="00E8642C">
        <w:rPr>
          <w:rFonts w:cs="Arial"/>
          <w:szCs w:val="22"/>
        </w:rPr>
        <w:t>.  L</w:t>
      </w:r>
      <w:r w:rsidR="004D2AA1">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4D2AA1">
        <w:rPr>
          <w:rFonts w:cs="Arial"/>
          <w:szCs w:val="22"/>
        </w:rPr>
        <w:t>’</w:t>
      </w:r>
      <w:r w:rsidRPr="00E8642C">
        <w:rPr>
          <w:rFonts w:cs="Arial"/>
          <w:szCs w:val="22"/>
        </w:rPr>
        <w:t>œuvres littéraires ou artistiques jouissent du droit exclusif d</w:t>
      </w:r>
      <w:r w:rsidR="004D2AA1">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Black</w:t>
      </w:r>
      <w:r w:rsidR="004D2AA1">
        <w:rPr>
          <w:rFonts w:cs="Arial"/>
          <w:szCs w:val="22"/>
        </w:rPr>
        <w:t>’</w:t>
      </w:r>
      <w:r w:rsidRPr="00E8642C">
        <w:rPr>
          <w:rFonts w:cs="Arial"/>
          <w:szCs w:val="22"/>
        </w:rPr>
        <w:t>s Law Dictionary</w:t>
      </w:r>
      <w:r w:rsidRPr="00E8642C">
        <w:rPr>
          <w:rStyle w:val="FootnoteReference"/>
          <w:rFonts w:cs="Arial"/>
          <w:szCs w:val="22"/>
        </w:rPr>
        <w:footnoteReference w:id="13"/>
      </w:r>
      <w:r w:rsidRPr="00E8642C">
        <w:rPr>
          <w:rFonts w:cs="Arial"/>
          <w:szCs w:val="22"/>
        </w:rPr>
        <w:t xml:space="preserve"> prévoit que les titulaires du droit d</w:t>
      </w:r>
      <w:r w:rsidR="004D2AA1">
        <w:rPr>
          <w:rFonts w:cs="Arial"/>
          <w:szCs w:val="22"/>
        </w:rPr>
        <w:t>’</w:t>
      </w:r>
      <w:r w:rsidRPr="00E8642C">
        <w:rPr>
          <w:rFonts w:cs="Arial"/>
          <w:szCs w:val="22"/>
        </w:rPr>
        <w:t>auteur ont des droits exclusifs sur les œuvres dérivées ou les adaptations de l</w:t>
      </w:r>
      <w:r w:rsidR="004D2AA1">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Appropriation illicite</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Dans le domaine de la propriété intellectuelle, le Black</w:t>
      </w:r>
      <w:r w:rsidR="004D2AA1">
        <w:rPr>
          <w:rFonts w:cs="Arial"/>
          <w:szCs w:val="22"/>
        </w:rPr>
        <w:t>’</w:t>
      </w:r>
      <w:r w:rsidRPr="00E8642C">
        <w:rPr>
          <w:rFonts w:cs="Arial"/>
          <w:szCs w:val="22"/>
        </w:rPr>
        <w:t>s Law Dictionary définit le terme “appropriation illicite” de la manière suivante</w:t>
      </w:r>
      <w:r w:rsidR="004D2AA1">
        <w:rPr>
          <w:rFonts w:cs="Arial"/>
          <w:szCs w:val="22"/>
        </w:rPr>
        <w:t> :</w:t>
      </w:r>
      <w:r w:rsidRPr="00E8642C">
        <w:rPr>
          <w:rFonts w:cs="Arial"/>
          <w:szCs w:val="22"/>
        </w:rPr>
        <w:t xml:space="preserve"> “un délit en </w:t>
      </w:r>
      <w:r w:rsidRPr="00007531">
        <w:rPr>
          <w:i/>
        </w:rPr>
        <w:t>common law</w:t>
      </w:r>
      <w:r w:rsidRPr="00E8642C">
        <w:rPr>
          <w:rFonts w:cs="Arial"/>
          <w:szCs w:val="22"/>
        </w:rPr>
        <w:t xml:space="preserve"> consistant à utiliser des informations ou des idées ne pouvant être couvertes par le droit d</w:t>
      </w:r>
      <w:r w:rsidR="004D2AA1">
        <w:rPr>
          <w:rFonts w:cs="Arial"/>
          <w:szCs w:val="22"/>
        </w:rPr>
        <w:t>’</w:t>
      </w:r>
      <w:r w:rsidRPr="00E8642C">
        <w:rPr>
          <w:rFonts w:cs="Arial"/>
          <w:szCs w:val="22"/>
        </w:rPr>
        <w:t>auteur, qu</w:t>
      </w:r>
      <w:r w:rsidR="004D2AA1">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4D2AA1">
        <w:rPr>
          <w:rFonts w:cs="Arial"/>
          <w:szCs w:val="22"/>
        </w:rPr>
        <w:t>’</w:t>
      </w:r>
      <w:r w:rsidRPr="00E8642C">
        <w:rPr>
          <w:rFonts w:cs="Arial"/>
          <w:szCs w:val="22"/>
        </w:rPr>
        <w:t>a pas encore revendiqué de droits ou des droits exclusifs n</w:t>
      </w:r>
      <w:r w:rsidR="004D2AA1">
        <w:rPr>
          <w:rFonts w:cs="Arial"/>
          <w:szCs w:val="22"/>
        </w:rPr>
        <w:t>’</w:t>
      </w:r>
      <w:r w:rsidRPr="00E8642C">
        <w:rPr>
          <w:rFonts w:cs="Arial"/>
          <w:szCs w:val="22"/>
        </w:rPr>
        <w:t>ont pas encore été octroyés.  […] Les éléments de l</w:t>
      </w:r>
      <w:r w:rsidR="004D2AA1">
        <w:rPr>
          <w:rFonts w:cs="Arial"/>
          <w:szCs w:val="22"/>
        </w:rPr>
        <w:t>’</w:t>
      </w:r>
      <w:r w:rsidRPr="00E8642C">
        <w:rPr>
          <w:rFonts w:cs="Arial"/>
          <w:szCs w:val="22"/>
        </w:rPr>
        <w:t>appropriation illicite sont les suivants</w:t>
      </w:r>
      <w:r w:rsidR="004D2AA1">
        <w:rPr>
          <w:rFonts w:cs="Arial"/>
          <w:szCs w:val="22"/>
        </w:rPr>
        <w:t> :</w:t>
      </w:r>
      <w:r w:rsidRPr="00E8642C">
        <w:rPr>
          <w:rFonts w:cs="Arial"/>
          <w:szCs w:val="22"/>
        </w:rPr>
        <w:t xml:space="preserve"> 1) le demandeur doit avoir investi du temps, de l</w:t>
      </w:r>
      <w:r w:rsidR="004D2AA1">
        <w:rPr>
          <w:rFonts w:cs="Arial"/>
          <w:szCs w:val="22"/>
        </w:rPr>
        <w:t>’</w:t>
      </w:r>
      <w:r w:rsidRPr="00E8642C">
        <w:rPr>
          <w:rFonts w:cs="Arial"/>
          <w:szCs w:val="22"/>
        </w:rPr>
        <w:t>argent ou des efforts pour extraire les informations, 2) le défendeur doit s</w:t>
      </w:r>
      <w:r w:rsidR="004D2AA1">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4D2AA1">
        <w:rPr>
          <w:rFonts w:cs="Arial"/>
          <w:szCs w:val="22"/>
        </w:rPr>
        <w:t>’</w:t>
      </w:r>
      <w:r w:rsidRPr="00E8642C">
        <w:rPr>
          <w:rFonts w:cs="Arial"/>
          <w:szCs w:val="22"/>
        </w:rPr>
        <w:t xml:space="preserve">appropriation illicite est inscrit dans la loi sur la concurrence déloyale dans le système de </w:t>
      </w:r>
      <w:r w:rsidRPr="00007531">
        <w:rPr>
          <w:i/>
        </w:rPr>
        <w:t>common l</w:t>
      </w:r>
      <w:r w:rsidR="00007531" w:rsidRPr="00007531">
        <w:rPr>
          <w:i/>
        </w:rPr>
        <w:t>aw</w:t>
      </w:r>
      <w:r w:rsidR="00007531">
        <w:rPr>
          <w:i/>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comprend ainsi l</w:t>
      </w:r>
      <w:r w:rsidR="004D2AA1">
        <w:rPr>
          <w:rFonts w:cs="Arial"/>
          <w:szCs w:val="22"/>
        </w:rPr>
        <w:t>’</w:t>
      </w:r>
      <w:r w:rsidRPr="00E8642C">
        <w:rPr>
          <w:rFonts w:cs="Arial"/>
          <w:szCs w:val="22"/>
        </w:rPr>
        <w:t>utilisation ou l</w:t>
      </w:r>
      <w:r w:rsidR="004D2AA1">
        <w:rPr>
          <w:rFonts w:cs="Arial"/>
          <w:szCs w:val="22"/>
        </w:rPr>
        <w:t>’</w:t>
      </w:r>
      <w:r w:rsidRPr="00E8642C">
        <w:rPr>
          <w:rFonts w:cs="Arial"/>
          <w:szCs w:val="22"/>
        </w:rPr>
        <w:t>appropriation illicite ou abusive de la propriété d</w:t>
      </w:r>
      <w:r w:rsidR="004D2AA1">
        <w:rPr>
          <w:rFonts w:cs="Arial"/>
          <w:szCs w:val="22"/>
        </w:rPr>
        <w:t>’</w:t>
      </w:r>
      <w:r w:rsidRPr="00E8642C">
        <w:rPr>
          <w:rFonts w:cs="Arial"/>
          <w:szCs w:val="22"/>
        </w:rPr>
        <w:t>une personne, et est souvent utilisée pour fonder une action dans des cas où aucune atteinte n</w:t>
      </w:r>
      <w:r w:rsidR="004D2AA1">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peut renvoyer à un emprunt illicite ou à l</w:t>
      </w:r>
      <w:r w:rsidR="004D2AA1">
        <w:rPr>
          <w:rFonts w:cs="Arial"/>
          <w:szCs w:val="22"/>
        </w:rPr>
        <w:t>’</w:t>
      </w:r>
      <w:r w:rsidRPr="00E8642C">
        <w:rPr>
          <w:rFonts w:cs="Arial"/>
          <w:szCs w:val="22"/>
        </w:rPr>
        <w:t>appropriation frauduleuse de fonds ou de propriété confiés à la garde d</w:t>
      </w:r>
      <w:r w:rsidR="004D2AA1">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acquisition, l</w:t>
      </w:r>
      <w:r w:rsidR="004D2AA1">
        <w:rPr>
          <w:rFonts w:cs="Arial"/>
          <w:szCs w:val="22"/>
        </w:rPr>
        <w:t>’</w:t>
      </w:r>
      <w:r w:rsidRPr="00E8642C">
        <w:rPr>
          <w:rFonts w:cs="Arial"/>
          <w:szCs w:val="22"/>
        </w:rPr>
        <w:t>appropriation ou l</w:t>
      </w:r>
      <w:r w:rsidR="004D2AA1">
        <w:rPr>
          <w:rFonts w:cs="Arial"/>
          <w:szCs w:val="22"/>
        </w:rPr>
        <w:t>’</w:t>
      </w:r>
      <w:r w:rsidRPr="00E8642C">
        <w:rPr>
          <w:rFonts w:cs="Arial"/>
          <w:szCs w:val="22"/>
        </w:rPr>
        <w:t>utilisation de savoirs traditionnels en violation des dispositions du présent acte, ii) le fait de tirer des avantages de l</w:t>
      </w:r>
      <w:r w:rsidR="004D2AA1">
        <w:rPr>
          <w:rFonts w:cs="Arial"/>
          <w:szCs w:val="22"/>
        </w:rPr>
        <w:t>’</w:t>
      </w:r>
      <w:r w:rsidRPr="00E8642C">
        <w:rPr>
          <w:rFonts w:cs="Arial"/>
          <w:szCs w:val="22"/>
        </w:rPr>
        <w:t>acquisition, de l</w:t>
      </w:r>
      <w:r w:rsidR="004D2AA1">
        <w:rPr>
          <w:rFonts w:cs="Arial"/>
          <w:szCs w:val="22"/>
        </w:rPr>
        <w:t>’</w:t>
      </w:r>
      <w:r w:rsidRPr="00E8642C">
        <w:rPr>
          <w:rFonts w:cs="Arial"/>
          <w:szCs w:val="22"/>
        </w:rPr>
        <w:t>appropriation ou de l</w:t>
      </w:r>
      <w:r w:rsidR="004D2AA1">
        <w:rPr>
          <w:rFonts w:cs="Arial"/>
          <w:szCs w:val="22"/>
        </w:rPr>
        <w:t>’</w:t>
      </w:r>
      <w:r w:rsidRPr="00E8642C">
        <w:rPr>
          <w:rFonts w:cs="Arial"/>
          <w:szCs w:val="22"/>
        </w:rPr>
        <w:t>utilisation de savoirs traditionnels lorsque la personne qui acquiert, qui s</w:t>
      </w:r>
      <w:r w:rsidR="004D2AA1">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Atteinte (“derogatory action” en anglais)</w:t>
      </w:r>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4D2AA1">
        <w:rPr>
          <w:szCs w:val="22"/>
        </w:rPr>
        <w:t>’</w:t>
      </w:r>
      <w:r w:rsidRPr="00E8642C">
        <w:rPr>
          <w:szCs w:val="22"/>
        </w:rPr>
        <w:t>honneur ou à la réputation conformément à l</w:t>
      </w:r>
      <w:r w:rsidR="004D2AA1">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4D2AA1">
        <w:rPr>
          <w:szCs w:val="22"/>
        </w:rPr>
        <w:t>’</w:t>
      </w:r>
      <w:r w:rsidRPr="00E8642C">
        <w:rPr>
          <w:szCs w:val="22"/>
        </w:rPr>
        <w:t>une modification effective ou d</w:t>
      </w:r>
      <w:r w:rsidR="004D2AA1">
        <w:rPr>
          <w:szCs w:val="22"/>
        </w:rPr>
        <w:t>’</w:t>
      </w:r>
      <w:r w:rsidRPr="00E8642C">
        <w:rPr>
          <w:szCs w:val="22"/>
        </w:rPr>
        <w:t>une interférence avec l</w:t>
      </w:r>
      <w:r w:rsidR="004D2AA1">
        <w:rPr>
          <w:szCs w:val="22"/>
        </w:rPr>
        <w:t>’</w:t>
      </w:r>
      <w:r w:rsidRPr="00E8642C">
        <w:rPr>
          <w:szCs w:val="22"/>
        </w:rPr>
        <w:t>œuvre elle</w:t>
      </w:r>
      <w:r w:rsidR="005A7440">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4D2AA1">
        <w:rPr>
          <w:szCs w:val="22"/>
        </w:rPr>
        <w:t>’</w:t>
      </w:r>
      <w:r w:rsidRPr="00E8642C">
        <w:rPr>
          <w:szCs w:val="22"/>
        </w:rPr>
        <w:t>agit d</w:t>
      </w:r>
      <w:r w:rsidR="004D2AA1">
        <w:rPr>
          <w:szCs w:val="22"/>
        </w:rPr>
        <w:t>’</w:t>
      </w:r>
      <w:r w:rsidRPr="00E8642C">
        <w:rPr>
          <w:szCs w:val="22"/>
        </w:rPr>
        <w:t>un acte “en rapport avec” l</w:t>
      </w:r>
      <w:r w:rsidR="004D2AA1">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4D2AA1">
        <w:rPr>
          <w:szCs w:val="22"/>
        </w:rPr>
        <w:t>’</w:t>
      </w:r>
      <w:r w:rsidRPr="00E8642C">
        <w:rPr>
          <w:szCs w:val="22"/>
        </w:rPr>
        <w:t>englober les utilisations de l</w:t>
      </w:r>
      <w:r w:rsidR="004D2AA1">
        <w:rPr>
          <w:szCs w:val="22"/>
        </w:rPr>
        <w:t>’</w:t>
      </w:r>
      <w:r w:rsidRPr="00E8642C">
        <w:rPr>
          <w:szCs w:val="22"/>
        </w:rPr>
        <w:t>œuvre préjudiciables à l</w:t>
      </w:r>
      <w:r w:rsidR="004D2AA1">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4D2AA1">
        <w:rPr>
          <w:szCs w:val="22"/>
        </w:rPr>
        <w:t>’</w:t>
      </w:r>
      <w:r w:rsidRPr="00E8642C">
        <w:rPr>
          <w:szCs w:val="22"/>
        </w:rPr>
        <w:t>une œuvre s</w:t>
      </w:r>
      <w:r w:rsidR="004D2AA1">
        <w:rPr>
          <w:szCs w:val="22"/>
        </w:rPr>
        <w:t>’</w:t>
      </w:r>
      <w:r w:rsidRPr="00E8642C">
        <w:rPr>
          <w:szCs w:val="22"/>
        </w:rPr>
        <w:t>effectue de manière à porter préjudice à l</w:t>
      </w:r>
      <w:r w:rsidR="004D2AA1">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r w:rsidRPr="00E8642C">
        <w:t>Atteinte (“infringement” en anglais)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le Black</w:t>
      </w:r>
      <w:r w:rsidR="004D2AA1">
        <w:rPr>
          <w:rFonts w:cs="Arial"/>
          <w:szCs w:val="22"/>
        </w:rPr>
        <w:t>’</w:t>
      </w:r>
      <w:r w:rsidRPr="00E8642C">
        <w:rPr>
          <w:rFonts w:cs="Arial"/>
          <w:szCs w:val="22"/>
        </w:rPr>
        <w:t xml:space="preserve">s Law Dictionary, une atteinte est 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sans l</w:t>
      </w:r>
      <w:r w:rsidR="004D2AA1">
        <w:rPr>
          <w:rFonts w:cs="Arial"/>
          <w:szCs w:val="22"/>
        </w:rPr>
        <w:t>’</w:t>
      </w:r>
      <w:r w:rsidRPr="00E8642C">
        <w:rPr>
          <w:rFonts w:cs="Arial"/>
          <w:szCs w:val="22"/>
        </w:rPr>
        <w:t>autorisation du titulaire du droit d</w:t>
      </w:r>
      <w:r w:rsidR="004D2AA1">
        <w:rPr>
          <w:rFonts w:cs="Arial"/>
          <w:szCs w:val="22"/>
        </w:rPr>
        <w:t>’</w:t>
      </w:r>
      <w:r w:rsidRPr="00E8642C">
        <w:rPr>
          <w:rFonts w:cs="Arial"/>
          <w:szCs w:val="22"/>
        </w:rPr>
        <w:t>auteur ou des droits connexes sur l</w:t>
      </w:r>
      <w:r w:rsidR="004D2AA1">
        <w:rPr>
          <w:rFonts w:cs="Arial"/>
          <w:szCs w:val="22"/>
        </w:rPr>
        <w:t>’</w:t>
      </w:r>
      <w:r w:rsidRPr="00E8642C">
        <w:rPr>
          <w:rFonts w:cs="Arial"/>
          <w:szCs w:val="22"/>
        </w:rPr>
        <w:t>œuvre ou l</w:t>
      </w:r>
      <w:r w:rsidR="004D2AA1">
        <w:rPr>
          <w:rFonts w:cs="Arial"/>
          <w:szCs w:val="22"/>
        </w:rPr>
        <w:t>’</w:t>
      </w:r>
      <w:r w:rsidRPr="00E8642C">
        <w:rPr>
          <w:rFonts w:cs="Arial"/>
          <w:szCs w:val="22"/>
        </w:rPr>
        <w:t>objet en question, lorsque cette 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de l</w:t>
      </w:r>
      <w:r w:rsidR="004D2AA1">
        <w:rPr>
          <w:rFonts w:cs="Arial"/>
          <w:szCs w:val="22"/>
        </w:rPr>
        <w:t>’</w:t>
      </w:r>
      <w:r w:rsidRPr="00E8642C">
        <w:rPr>
          <w:rFonts w:cs="Arial"/>
          <w:szCs w:val="22"/>
        </w:rPr>
        <w:t>atteinte peut voir sa responsabilité engagée non seulement de façon directe (en raison de l</w:t>
      </w:r>
      <w:r w:rsidR="004D2AA1">
        <w:rPr>
          <w:rFonts w:cs="Arial"/>
          <w:szCs w:val="22"/>
        </w:rPr>
        <w:t>’</w:t>
      </w:r>
      <w:r w:rsidRPr="00E8642C">
        <w:rPr>
          <w:rFonts w:cs="Arial"/>
          <w:szCs w:val="22"/>
        </w:rPr>
        <w:t>accomplissement de l</w:t>
      </w:r>
      <w:r w:rsidR="004D2AA1">
        <w:rPr>
          <w:rFonts w:cs="Arial"/>
          <w:szCs w:val="22"/>
        </w:rPr>
        <w:t>’</w:t>
      </w:r>
      <w:r w:rsidRPr="00E8642C">
        <w:rPr>
          <w:rFonts w:cs="Arial"/>
          <w:szCs w:val="22"/>
        </w:rPr>
        <w:t>acte illicite lui</w:t>
      </w:r>
      <w:r w:rsidR="005A7440">
        <w:rPr>
          <w:rFonts w:cs="Arial"/>
          <w:szCs w:val="22"/>
        </w:rPr>
        <w:noBreakHyphen/>
      </w:r>
      <w:r w:rsidRPr="00E8642C">
        <w:rPr>
          <w:rFonts w:cs="Arial"/>
          <w:szCs w:val="22"/>
        </w:rPr>
        <w:t>même), mais aussi au titre de la “responsabilité indirecte” ou de la “responsabilité du fait d</w:t>
      </w:r>
      <w:r w:rsidR="004D2AA1">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r w:rsidRPr="00E8642C">
        <w:t>Base de données des accords d</w:t>
      </w:r>
      <w:r w:rsidR="004D2AA1">
        <w:t>’</w:t>
      </w:r>
      <w:r w:rsidRPr="00E8642C">
        <w:t>accès et de partage des avantages en matière de biodiversité</w:t>
      </w:r>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4D2AA1">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4D2AA1">
        <w:rPr>
          <w:rFonts w:cs="Arial"/>
          <w:szCs w:val="22"/>
        </w:rPr>
        <w:t>’</w:t>
      </w:r>
      <w:r w:rsidRPr="00E8642C">
        <w:rPr>
          <w:rFonts w:cs="Arial"/>
          <w:szCs w:val="22"/>
        </w:rPr>
        <w:t>outil de renforcement des capacités, elle vise à mettre ces sources d</w:t>
      </w:r>
      <w:r w:rsidR="004D2AA1">
        <w:rPr>
          <w:rFonts w:cs="Arial"/>
          <w:szCs w:val="22"/>
        </w:rPr>
        <w:t>’</w:t>
      </w:r>
      <w:r w:rsidRPr="00E8642C">
        <w:rPr>
          <w:rFonts w:cs="Arial"/>
          <w:szCs w:val="22"/>
        </w:rPr>
        <w:t>information à la disposition de personnes qui cherchent des renseignements sur les pratiques actuelles en matière de propriété intellectuelle, d</w:t>
      </w:r>
      <w:r w:rsidR="004D2AA1">
        <w:rPr>
          <w:rFonts w:cs="Arial"/>
          <w:szCs w:val="22"/>
        </w:rPr>
        <w:t>’</w:t>
      </w:r>
      <w:r w:rsidRPr="00E8642C">
        <w:rPr>
          <w:rFonts w:cs="Arial"/>
          <w:szCs w:val="22"/>
        </w:rPr>
        <w:t>accès, de partage des avantages et de ressources génétiques et, sur une base empirique, elle vise à contribuer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sur l</w:t>
      </w:r>
      <w:r w:rsidR="004D2AA1">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r w:rsidRPr="00E8642C">
        <w:t>Bénéficiaires</w:t>
      </w:r>
    </w:p>
    <w:p w:rsidR="00DD607D" w:rsidRPr="00E8642C" w:rsidRDefault="00DD607D" w:rsidP="00EF6794">
      <w:pPr>
        <w:rPr>
          <w:rFonts w:cs="Arial"/>
          <w:b/>
          <w:szCs w:val="22"/>
        </w:rPr>
      </w:pPr>
    </w:p>
    <w:p w:rsidR="00DD607D" w:rsidRPr="00E8642C" w:rsidRDefault="00DD607D" w:rsidP="00EF6794">
      <w:r w:rsidRPr="00E8642C">
        <w:t>Il n</w:t>
      </w:r>
      <w:r w:rsidR="004D2AA1">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4D2AA1">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4D2AA1">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4D2AA1">
        <w:t>’</w:t>
      </w:r>
      <w:r w:rsidRPr="00E8642C">
        <w:t>octroi des droits d</w:t>
      </w:r>
      <w:r w:rsidR="004D2AA1">
        <w:t>’</w:t>
      </w:r>
      <w:r w:rsidRPr="00E8642C">
        <w:t>utilisation des savoirs traditionnels ou des expressions culturelles traditionnelles doivent être versés à des programmes nationaux d</w:t>
      </w:r>
      <w:r w:rsidR="004D2AA1">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r w:rsidRPr="00E8642C">
        <w:t>Bibliothèque numérique des savoirs traditionnels</w:t>
      </w:r>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4D2AA1">
        <w:rPr>
          <w:rFonts w:cs="Arial"/>
          <w:szCs w:val="22"/>
        </w:rPr>
        <w:t>’</w:t>
      </w:r>
      <w:r w:rsidRPr="00E8642C">
        <w:rPr>
          <w:rFonts w:cs="Arial"/>
          <w:szCs w:val="22"/>
        </w:rPr>
        <w:t>Inde visant à empêcher l</w:t>
      </w:r>
      <w:r w:rsidR="004D2AA1">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4D2AA1">
        <w:rPr>
          <w:rFonts w:cs="Arial"/>
          <w:szCs w:val="22"/>
        </w:rPr>
        <w:t>’</w:t>
      </w:r>
      <w:r w:rsidRPr="00E8642C">
        <w:rPr>
          <w:rFonts w:cs="Arial"/>
          <w:szCs w:val="22"/>
        </w:rPr>
        <w:t>experts en médecine traditionnelle (Ayurveda, Unani, Siddha et Yoga), d</w:t>
      </w:r>
      <w:r w:rsidR="004D2AA1">
        <w:rPr>
          <w:rFonts w:cs="Arial"/>
          <w:szCs w:val="22"/>
        </w:rPr>
        <w:t>’</w:t>
      </w:r>
      <w:r w:rsidRPr="00E8642C">
        <w:rPr>
          <w:rFonts w:cs="Arial"/>
          <w:szCs w:val="22"/>
        </w:rPr>
        <w:t>examinateurs de brevets, d</w:t>
      </w:r>
      <w:r w:rsidR="004D2AA1">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4D2AA1">
        <w:rPr>
          <w:rFonts w:cs="Arial"/>
          <w:szCs w:val="22"/>
        </w:rPr>
        <w:t>’</w:t>
      </w:r>
      <w:r w:rsidRPr="00E8642C">
        <w:rPr>
          <w:rFonts w:cs="Arial"/>
          <w:szCs w:val="22"/>
        </w:rPr>
        <w:t>Ayurveda, l</w:t>
      </w:r>
      <w:r w:rsidR="004D2AA1">
        <w:rPr>
          <w:rFonts w:cs="Arial"/>
          <w:szCs w:val="22"/>
        </w:rPr>
        <w:t>’</w:t>
      </w:r>
      <w:r w:rsidRPr="00E8642C">
        <w:rPr>
          <w:rFonts w:cs="Arial"/>
          <w:szCs w:val="22"/>
        </w:rPr>
        <w:t>Unani, le Siddha et le Yoga, au format numérique et dans cinq langues internationales qui sont l</w:t>
      </w:r>
      <w:r w:rsidR="004D2AA1">
        <w:rPr>
          <w:rFonts w:cs="Arial"/>
          <w:szCs w:val="22"/>
        </w:rPr>
        <w:t>’</w:t>
      </w:r>
      <w:r w:rsidRPr="00E8642C">
        <w:rPr>
          <w:rFonts w:cs="Arial"/>
          <w:szCs w:val="22"/>
        </w:rPr>
        <w:t>anglais, l</w:t>
      </w:r>
      <w:r w:rsidR="004D2AA1">
        <w:rPr>
          <w:rFonts w:cs="Arial"/>
          <w:szCs w:val="22"/>
        </w:rPr>
        <w:t>’</w:t>
      </w:r>
      <w:r w:rsidRPr="00E8642C">
        <w:rPr>
          <w:rFonts w:cs="Arial"/>
          <w:szCs w:val="22"/>
        </w:rPr>
        <w:t>allemand, le français, le japonais et l</w:t>
      </w:r>
      <w:r w:rsidR="004D2AA1">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4D2AA1">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numérique sur les savoirs traditionnels a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4D2AA1">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Slokas sanskrits anciens et les examinateurs de brevets à l</w:t>
      </w:r>
      <w:r w:rsidR="004D2AA1">
        <w:rPr>
          <w:rFonts w:cs="Arial"/>
          <w:szCs w:val="22"/>
        </w:rPr>
        <w:t>’</w:t>
      </w:r>
      <w:r w:rsidRPr="00E8642C">
        <w:rPr>
          <w:rFonts w:cs="Arial"/>
          <w:szCs w:val="22"/>
        </w:rPr>
        <w:t>échelle mondiale, car cette base de données fournira des informations sur des noms modernes et également locaux dans une langue et dans un format compréhensibles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4D2AA1">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rPr>
          <w:bCs w:val="0"/>
        </w:rPr>
      </w:pPr>
      <w:r w:rsidRPr="00E8642C">
        <w:rPr>
          <w:bCs w:val="0"/>
        </w:rPr>
        <w:t>Biotechnologie</w:t>
      </w:r>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5A7440">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Protocole de Nagoya sur l</w:t>
      </w:r>
      <w:r w:rsidR="004D2AA1">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4D2AA1">
        <w:rPr>
          <w:rFonts w:cs="Arial"/>
          <w:iCs/>
          <w:szCs w:val="22"/>
        </w:rPr>
        <w:t>’</w:t>
      </w:r>
      <w:r w:rsidRPr="00E8642C">
        <w:rPr>
          <w:rFonts w:cs="Arial"/>
          <w:iCs/>
          <w:szCs w:val="22"/>
        </w:rPr>
        <w:t>usage courant dans le secteur 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4D2AA1">
        <w:rPr>
          <w:rFonts w:cs="Arial"/>
          <w:iCs/>
          <w:szCs w:val="22"/>
        </w:rPr>
        <w:t>’</w:t>
      </w:r>
      <w:r w:rsidRPr="00E8642C">
        <w:rPr>
          <w:rFonts w:cs="Arial"/>
          <w:iCs/>
          <w:szCs w:val="22"/>
        </w:rPr>
        <w:t>ADN, la biologie moléculaire et les applications génétiques, la définition couvre diverses technologies telles que la manipulation et le transfert de gènes, le typage de l</w:t>
      </w:r>
      <w:r w:rsidR="004D2AA1">
        <w:rPr>
          <w:rFonts w:cs="Arial"/>
          <w:iCs/>
          <w:szCs w:val="22"/>
        </w:rPr>
        <w:t>’</w:t>
      </w:r>
      <w:r w:rsidRPr="00E8642C">
        <w:rPr>
          <w:rFonts w:cs="Arial"/>
          <w:iCs/>
          <w:szCs w:val="22"/>
        </w:rPr>
        <w:t>ADN et le clonage de végétaux et d</w:t>
      </w:r>
      <w:r w:rsidR="004D2AA1">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4D2AA1">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4D2AA1">
        <w:rPr>
          <w:rFonts w:cs="Arial"/>
          <w:snapToGrid w:val="0"/>
          <w:szCs w:val="22"/>
        </w:rPr>
        <w:t>’</w:t>
      </w:r>
      <w:r w:rsidRPr="00E8642C">
        <w:rPr>
          <w:rFonts w:cs="Arial"/>
          <w:snapToGrid w:val="0"/>
          <w:szCs w:val="22"/>
        </w:rPr>
        <w:t>entend</w:t>
      </w:r>
      <w:r w:rsidR="004D2AA1">
        <w:rPr>
          <w:rFonts w:cs="Arial"/>
          <w:snapToGrid w:val="0"/>
          <w:szCs w:val="22"/>
        </w:rPr>
        <w:t> :</w:t>
      </w:r>
      <w:r w:rsidRPr="00E8642C">
        <w:rPr>
          <w:rFonts w:cs="Arial"/>
          <w:iCs/>
          <w:snapToGrid w:val="0"/>
          <w:szCs w:val="22"/>
        </w:rPr>
        <w:t xml:space="preserve"> “a) de l</w:t>
      </w:r>
      <w:r w:rsidR="004D2AA1">
        <w:rPr>
          <w:rFonts w:cs="Arial"/>
          <w:iCs/>
          <w:snapToGrid w:val="0"/>
          <w:szCs w:val="22"/>
        </w:rPr>
        <w:t>’</w:t>
      </w:r>
      <w:r w:rsidRPr="00E8642C">
        <w:rPr>
          <w:rFonts w:cs="Arial"/>
          <w:iCs/>
          <w:snapToGrid w:val="0"/>
          <w:szCs w:val="22"/>
        </w:rPr>
        <w:t xml:space="preserve">application de techniques in vitro aux acides nucléiques, </w:t>
      </w:r>
      <w:r w:rsidR="004D2AA1">
        <w:rPr>
          <w:rFonts w:cs="Arial"/>
          <w:iCs/>
          <w:snapToGrid w:val="0"/>
          <w:szCs w:val="22"/>
        </w:rPr>
        <w:t>y compris</w:t>
      </w:r>
      <w:r w:rsidRPr="00E8642C">
        <w:rPr>
          <w:rFonts w:cs="Arial"/>
          <w:iCs/>
          <w:snapToGrid w:val="0"/>
          <w:szCs w:val="22"/>
        </w:rPr>
        <w:t xml:space="preserve"> la recombinaison de l</w:t>
      </w:r>
      <w:r w:rsidR="004D2AA1">
        <w:rPr>
          <w:rFonts w:cs="Arial"/>
          <w:iCs/>
          <w:snapToGrid w:val="0"/>
          <w:szCs w:val="22"/>
        </w:rPr>
        <w:t>’</w:t>
      </w:r>
      <w:r w:rsidRPr="00E8642C">
        <w:rPr>
          <w:rFonts w:cs="Arial"/>
          <w:iCs/>
          <w:snapToGrid w:val="0"/>
          <w:szCs w:val="22"/>
        </w:rPr>
        <w:t>acide désoxyribonucléique (ADN) et l</w:t>
      </w:r>
      <w:r w:rsidR="004D2AA1">
        <w:rPr>
          <w:rFonts w:cs="Arial"/>
          <w:iCs/>
          <w:snapToGrid w:val="0"/>
          <w:szCs w:val="22"/>
        </w:rPr>
        <w:t>’</w:t>
      </w:r>
      <w:r w:rsidRPr="00E8642C">
        <w:rPr>
          <w:rFonts w:cs="Arial"/>
          <w:iCs/>
          <w:snapToGrid w:val="0"/>
          <w:szCs w:val="22"/>
        </w:rPr>
        <w:t>introduction directe d</w:t>
      </w:r>
      <w:r w:rsidR="004D2AA1">
        <w:rPr>
          <w:rFonts w:cs="Arial"/>
          <w:iCs/>
          <w:snapToGrid w:val="0"/>
          <w:szCs w:val="22"/>
        </w:rPr>
        <w:t>’</w:t>
      </w:r>
      <w:r w:rsidRPr="00E8642C">
        <w:rPr>
          <w:rFonts w:cs="Arial"/>
          <w:iCs/>
          <w:snapToGrid w:val="0"/>
          <w:szCs w:val="22"/>
        </w:rPr>
        <w:t>acides nucléiques dans des cellules ou organites;  et b) de la fusion cellulaire d</w:t>
      </w:r>
      <w:r w:rsidR="004D2AA1">
        <w:rPr>
          <w:rFonts w:cs="Arial"/>
          <w:iCs/>
          <w:snapToGrid w:val="0"/>
          <w:szCs w:val="22"/>
        </w:rPr>
        <w:t>’</w:t>
      </w:r>
      <w:r w:rsidRPr="00E8642C">
        <w:rPr>
          <w:rFonts w:cs="Arial"/>
          <w:iCs/>
          <w:snapToGrid w:val="0"/>
          <w:szCs w:val="22"/>
        </w:rPr>
        <w:t>organismes n</w:t>
      </w:r>
      <w:r w:rsidR="004D2AA1">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4D2AA1">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4D2AA1">
        <w:rPr>
          <w:rFonts w:cs="Arial"/>
          <w:iCs/>
          <w:snapToGrid w:val="0"/>
          <w:szCs w:val="22"/>
        </w:rPr>
        <w:t>’</w:t>
      </w:r>
      <w:r w:rsidRPr="00E8642C">
        <w:rPr>
          <w:rFonts w:cs="Arial"/>
          <w:iCs/>
          <w:snapToGrid w:val="0"/>
          <w:szCs w:val="22"/>
        </w:rPr>
        <w:t>application des sciences et des techniques à des organismes vivants ainsi qu</w:t>
      </w:r>
      <w:r w:rsidR="004D2AA1">
        <w:rPr>
          <w:rFonts w:cs="Arial"/>
          <w:iCs/>
          <w:snapToGrid w:val="0"/>
          <w:szCs w:val="22"/>
        </w:rPr>
        <w:t>’</w:t>
      </w:r>
      <w:r w:rsidRPr="00E8642C">
        <w:rPr>
          <w:rFonts w:cs="Arial"/>
          <w:iCs/>
          <w:snapToGrid w:val="0"/>
          <w:szCs w:val="22"/>
        </w:rPr>
        <w:t>à des parties, à des produits ou à des types d</w:t>
      </w:r>
      <w:r w:rsidR="004D2AA1">
        <w:rPr>
          <w:rFonts w:cs="Arial"/>
          <w:iCs/>
          <w:snapToGrid w:val="0"/>
          <w:szCs w:val="22"/>
        </w:rPr>
        <w:t>’</w:t>
      </w:r>
      <w:r w:rsidRPr="00E8642C">
        <w:rPr>
          <w:rFonts w:cs="Arial"/>
          <w:iCs/>
          <w:snapToGrid w:val="0"/>
          <w:szCs w:val="22"/>
        </w:rPr>
        <w:t>organismes vivants en vue de modifier le matériel vivant ou non aux fins de la production d</w:t>
      </w:r>
      <w:r w:rsidR="004D2AA1">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5A7440">
        <w:rPr>
          <w:rFonts w:cs="Arial"/>
          <w:b/>
          <w:bCs/>
          <w:iCs/>
          <w:snapToGrid w:val="0"/>
          <w:szCs w:val="22"/>
        </w:rPr>
        <w:noBreakHyphen/>
      </w:r>
      <w:r w:rsidRPr="00C27F71">
        <w:rPr>
          <w:rFonts w:cs="Arial"/>
          <w:b/>
          <w:bCs/>
          <w:iCs/>
          <w:snapToGrid w:val="0"/>
          <w:szCs w:val="22"/>
        </w:rPr>
        <w:t>informatique” et “nanobiotechnologie”</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Bons usages</w:t>
      </w:r>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4D2AA1">
        <w:rPr>
          <w:rFonts w:cs="Arial"/>
          <w:szCs w:val="22"/>
        </w:rPr>
        <w:t>’</w:t>
      </w:r>
      <w:r w:rsidRPr="00E8642C">
        <w:rPr>
          <w:rFonts w:cs="Arial"/>
          <w:szCs w:val="22"/>
        </w:rPr>
        <w:t>expression “bons usages” dans certaines dispositions sur les exceptions à la protection du droit d</w:t>
      </w:r>
      <w:r w:rsidR="004D2AA1">
        <w:rPr>
          <w:rFonts w:cs="Arial"/>
          <w:szCs w:val="22"/>
        </w:rPr>
        <w:t>’</w:t>
      </w:r>
      <w:r w:rsidRPr="00E8642C">
        <w:rPr>
          <w:rFonts w:cs="Arial"/>
          <w:szCs w:val="22"/>
        </w:rPr>
        <w:t>auteur (voir l</w:t>
      </w:r>
      <w:r w:rsidR="004D2AA1">
        <w:rPr>
          <w:rFonts w:cs="Arial"/>
          <w:szCs w:val="22"/>
        </w:rPr>
        <w:t>’</w:t>
      </w:r>
      <w:r w:rsidRPr="00E8642C">
        <w:rPr>
          <w:rFonts w:cs="Arial"/>
          <w:szCs w:val="22"/>
        </w:rPr>
        <w:t>article 10.1) sur les citations et l</w:t>
      </w:r>
      <w:r w:rsidR="004D2AA1">
        <w:rPr>
          <w:rFonts w:cs="Arial"/>
          <w:szCs w:val="22"/>
        </w:rPr>
        <w:t>’</w:t>
      </w:r>
      <w:r w:rsidRPr="00E8642C">
        <w:rPr>
          <w:rFonts w:cs="Arial"/>
          <w:szCs w:val="22"/>
        </w:rPr>
        <w:t>article 10.2) sur la libre utilisation des œuvres – dans la mesure justifiée par le but à atteindre – à titre d</w:t>
      </w:r>
      <w:r w:rsidR="004D2AA1">
        <w:rPr>
          <w:rFonts w:cs="Arial"/>
          <w:szCs w:val="22"/>
        </w:rPr>
        <w:t>’</w:t>
      </w:r>
      <w:r w:rsidRPr="00E8642C">
        <w:rPr>
          <w:rFonts w:cs="Arial"/>
          <w:szCs w:val="22"/>
        </w:rPr>
        <w:t>illustration de l</w:t>
      </w:r>
      <w:r w:rsidR="004D2AA1">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4D2AA1">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r w:rsidRPr="00E8642C">
        <w:t>Brevet</w:t>
      </w:r>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4D2AA1">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4D2AA1">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ccord permet au titulaire du brevet d</w:t>
      </w:r>
      <w:r w:rsidR="004D2AA1">
        <w:rPr>
          <w:rFonts w:cs="Arial"/>
          <w:iCs/>
          <w:szCs w:val="22"/>
        </w:rPr>
        <w:t>’</w:t>
      </w:r>
      <w:r w:rsidRPr="00E8642C">
        <w:rPr>
          <w:rFonts w:cs="Arial"/>
          <w:iCs/>
          <w:szCs w:val="22"/>
        </w:rPr>
        <w:t>empêcher des tiers de fabriquer, d</w:t>
      </w:r>
      <w:r w:rsidR="004D2AA1">
        <w:rPr>
          <w:rFonts w:cs="Arial"/>
          <w:iCs/>
          <w:szCs w:val="22"/>
        </w:rPr>
        <w:t>’</w:t>
      </w:r>
      <w:r w:rsidRPr="00E8642C">
        <w:rPr>
          <w:rFonts w:cs="Arial"/>
          <w:iCs/>
          <w:szCs w:val="22"/>
        </w:rPr>
        <w:t>utiliser ou de vendre l</w:t>
      </w:r>
      <w:r w:rsidR="004D2AA1">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w:t>
      </w:r>
      <w:r w:rsidR="004D2AA1">
        <w:rPr>
          <w:rFonts w:cs="Arial"/>
          <w:szCs w:val="22"/>
        </w:rPr>
        <w:t>’</w:t>
      </w:r>
      <w:r w:rsidRPr="00E8642C">
        <w:rPr>
          <w:rFonts w:cs="Arial"/>
          <w:szCs w:val="22"/>
        </w:rPr>
        <w:t>article 27.1 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4D2AA1">
        <w:rPr>
          <w:rFonts w:cs="Arial"/>
          <w:szCs w:val="22"/>
        </w:rPr>
        <w:t>’</w:t>
      </w:r>
      <w:r w:rsidRPr="00E8642C">
        <w:rPr>
          <w:rFonts w:cs="Arial"/>
          <w:szCs w:val="22"/>
        </w:rPr>
        <w:t xml:space="preserve">Organisation mondiale du commerce (OMC) stipule que </w:t>
      </w:r>
      <w:r w:rsidRPr="00E8642C">
        <w:rPr>
          <w:rFonts w:cs="Arial"/>
          <w:iCs/>
          <w:szCs w:val="22"/>
        </w:rPr>
        <w:t>“[…] un brevet pourra être obtenu pour toute invention, de produit ou de procédé, dans tous les domaines technologiques, à condition qu</w:t>
      </w:r>
      <w:r w:rsidR="004D2AA1">
        <w:rPr>
          <w:rFonts w:cs="Arial"/>
          <w:iCs/>
          <w:szCs w:val="22"/>
        </w:rPr>
        <w:t>’</w:t>
      </w:r>
      <w:r w:rsidRPr="00E8642C">
        <w:rPr>
          <w:rFonts w:cs="Arial"/>
          <w:iCs/>
          <w:szCs w:val="22"/>
        </w:rPr>
        <w:t>elle soit nouvelle, qu</w:t>
      </w:r>
      <w:r w:rsidR="004D2AA1">
        <w:rPr>
          <w:rFonts w:cs="Arial"/>
          <w:iCs/>
          <w:szCs w:val="22"/>
        </w:rPr>
        <w:t>’</w:t>
      </w:r>
      <w:r w:rsidRPr="00E8642C">
        <w:rPr>
          <w:rFonts w:cs="Arial"/>
          <w:iCs/>
          <w:szCs w:val="22"/>
        </w:rPr>
        <w:t>elle implique une activité inventive et qu</w:t>
      </w:r>
      <w:r w:rsidR="004D2AA1">
        <w:rPr>
          <w:rFonts w:cs="Arial"/>
          <w:iCs/>
          <w:szCs w:val="22"/>
        </w:rPr>
        <w:t>’</w:t>
      </w:r>
      <w:r w:rsidRPr="00E8642C">
        <w:rPr>
          <w:rFonts w:cs="Arial"/>
          <w:iCs/>
          <w:szCs w:val="22"/>
        </w:rPr>
        <w:t>elle soit susceptible d</w:t>
      </w:r>
      <w:r w:rsidR="004D2AA1">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4D2AA1">
        <w:rPr>
          <w:rFonts w:cs="Arial"/>
          <w:iCs/>
          <w:szCs w:val="22"/>
        </w:rPr>
        <w:t>’</w:t>
      </w:r>
      <w:r w:rsidRPr="00E8642C">
        <w:rPr>
          <w:rFonts w:cs="Arial"/>
          <w:iCs/>
          <w:szCs w:val="22"/>
        </w:rPr>
        <w:t>origine de l</w:t>
      </w:r>
      <w:r w:rsidR="004D2AA1">
        <w:rPr>
          <w:rFonts w:cs="Arial"/>
          <w:iCs/>
          <w:szCs w:val="22"/>
        </w:rPr>
        <w:t>’</w:t>
      </w:r>
      <w:r w:rsidRPr="00E8642C">
        <w:rPr>
          <w:rFonts w:cs="Arial"/>
          <w:iCs/>
          <w:szCs w:val="22"/>
        </w:rPr>
        <w:t>invention, au domaine technologique et au fait que les produits sont importés ou sont d</w:t>
      </w:r>
      <w:r w:rsidR="004D2AA1">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Classification des ressources en 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4D2AA1">
        <w:rPr>
          <w:rFonts w:cs="Arial"/>
          <w:szCs w:val="22"/>
        </w:rPr>
        <w:t>’</w:t>
      </w:r>
      <w:r w:rsidRPr="00E8642C">
        <w:rPr>
          <w:rFonts w:cs="Arial"/>
          <w:szCs w:val="22"/>
        </w:rPr>
        <w:t>extraction des données, comprenant quelque 5000 sous</w:t>
      </w:r>
      <w:r w:rsidR="005A7440">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(Ayurveda, Unani,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4D2AA1">
        <w:rPr>
          <w:rFonts w:cs="Arial"/>
          <w:szCs w:val="22"/>
        </w:rPr>
        <w:t>’</w:t>
      </w:r>
      <w:r w:rsidRPr="00E8642C">
        <w:rPr>
          <w:rFonts w:cs="Arial"/>
          <w:szCs w:val="22"/>
        </w:rPr>
        <w:t>appuyant sur les systèmes modernes de diffusion,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moyens informatiques, en particulier l</w:t>
      </w:r>
      <w:r w:rsidR="004D2AA1">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4D2AA1">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Classification internationale des brevets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4D2AA1">
        <w:rPr>
          <w:rFonts w:cs="Arial"/>
          <w:iCs/>
          <w:szCs w:val="22"/>
        </w:rPr>
        <w:t>’</w:t>
      </w:r>
      <w:r w:rsidRPr="00E8642C">
        <w:rPr>
          <w:rFonts w:cs="Arial"/>
          <w:iCs/>
          <w:szCs w:val="22"/>
        </w:rPr>
        <w:t>ensemble de la technologie est subdivisé en une série de sections, classes, sous</w:t>
      </w:r>
      <w:r w:rsidR="005A7440">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4D2AA1">
        <w:rPr>
          <w:rFonts w:cs="Arial"/>
          <w:iCs/>
          <w:szCs w:val="22"/>
        </w:rPr>
        <w:t>‘</w:t>
      </w:r>
      <w:r w:rsidRPr="00E8642C">
        <w:rPr>
          <w:rFonts w:cs="Arial"/>
          <w:iCs/>
          <w:szCs w:val="22"/>
        </w:rPr>
        <w:t>l</w:t>
      </w:r>
      <w:r w:rsidR="004D2AA1">
        <w:rPr>
          <w:rFonts w:cs="Arial"/>
          <w:iCs/>
          <w:szCs w:val="22"/>
        </w:rPr>
        <w:t>’</w:t>
      </w:r>
      <w:r w:rsidRPr="00E8642C">
        <w:rPr>
          <w:rFonts w:cs="Arial"/>
          <w:iCs/>
          <w:szCs w:val="22"/>
        </w:rPr>
        <w:t>état de la technique</w:t>
      </w:r>
      <w:r w:rsidR="004D2AA1">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4D2AA1">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4D2AA1">
        <w:rPr>
          <w:rFonts w:cs="Arial"/>
          <w:szCs w:val="22"/>
        </w:rPr>
        <w:t>’</w:t>
      </w:r>
      <w:r w:rsidRPr="00E8642C">
        <w:rPr>
          <w:rFonts w:cs="Arial"/>
          <w:szCs w:val="22"/>
        </w:rPr>
        <w:t xml:space="preserve">article 2.1), </w:t>
      </w:r>
      <w:r w:rsidRPr="00E8642C">
        <w:rPr>
          <w:rFonts w:cs="Arial"/>
          <w:iCs/>
          <w:szCs w:val="22"/>
        </w:rPr>
        <w:t>“[l]a classification est constituée par</w:t>
      </w:r>
      <w:r w:rsidR="004D2AA1">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4D2AA1">
        <w:rPr>
          <w:rFonts w:cs="Arial"/>
          <w:iCs/>
          <w:szCs w:val="22"/>
        </w:rPr>
        <w:t>’</w:t>
      </w:r>
      <w:r w:rsidRPr="00E8642C">
        <w:rPr>
          <w:rFonts w:cs="Arial"/>
          <w:iCs/>
          <w:szCs w:val="22"/>
        </w:rPr>
        <w:t>invention, du 19 décembre 1954 (dénommée ci</w:t>
      </w:r>
      <w:r w:rsidR="005A7440">
        <w:rPr>
          <w:rFonts w:cs="Arial"/>
          <w:iCs/>
          <w:szCs w:val="22"/>
        </w:rPr>
        <w:noBreakHyphen/>
      </w:r>
      <w:r w:rsidRPr="00E8642C">
        <w:rPr>
          <w:rFonts w:cs="Arial"/>
          <w:iCs/>
          <w:szCs w:val="22"/>
        </w:rPr>
        <w:t xml:space="preserve">après </w:t>
      </w:r>
      <w:r w:rsidR="004D2AA1">
        <w:rPr>
          <w:rFonts w:cs="Arial"/>
          <w:iCs/>
          <w:szCs w:val="22"/>
        </w:rPr>
        <w:t>‘</w:t>
      </w:r>
      <w:r w:rsidRPr="00E8642C">
        <w:rPr>
          <w:rFonts w:cs="Arial"/>
          <w:iCs/>
          <w:szCs w:val="22"/>
        </w:rPr>
        <w:t>Convention européenne</w:t>
      </w:r>
      <w:r w:rsidR="004D2AA1">
        <w:rPr>
          <w:rFonts w:cs="Arial"/>
          <w:iCs/>
          <w:szCs w:val="22"/>
        </w:rPr>
        <w:t>’</w:t>
      </w:r>
      <w:r w:rsidRPr="00E8642C">
        <w:rPr>
          <w:rFonts w:cs="Arial"/>
          <w:iCs/>
          <w:szCs w:val="22"/>
        </w:rPr>
        <w:t>), et qui est entré en vigueur et a été publié par le Secrétaire général du Conseil de l</w:t>
      </w:r>
      <w:r w:rsidR="004D2AA1">
        <w:rPr>
          <w:rFonts w:cs="Arial"/>
          <w:iCs/>
          <w:szCs w:val="22"/>
        </w:rPr>
        <w:t>’</w:t>
      </w:r>
      <w:r w:rsidRPr="00E8642C">
        <w:rPr>
          <w:rFonts w:cs="Arial"/>
          <w:iCs/>
          <w:szCs w:val="22"/>
        </w:rPr>
        <w:t>Europe le</w:t>
      </w:r>
      <w:r w:rsidR="004D2AA1">
        <w:rPr>
          <w:rFonts w:cs="Arial"/>
          <w:iCs/>
          <w:szCs w:val="22"/>
        </w:rPr>
        <w:t xml:space="preserve"> 1</w:t>
      </w:r>
      <w:r w:rsidR="004D2AA1" w:rsidRPr="004D2AA1">
        <w:rPr>
          <w:rFonts w:cs="Arial"/>
          <w:iCs/>
          <w:szCs w:val="22"/>
          <w:vertAlign w:val="superscript"/>
        </w:rPr>
        <w:t>er</w:t>
      </w:r>
      <w:r w:rsidR="004D2AA1">
        <w:rPr>
          <w:rFonts w:cs="Arial"/>
          <w:iCs/>
          <w:szCs w:val="22"/>
        </w:rPr>
        <w:t> </w:t>
      </w:r>
      <w:r w:rsidRPr="00E8642C">
        <w:rPr>
          <w:rFonts w:cs="Arial"/>
          <w:iCs/>
          <w:szCs w:val="22"/>
        </w:rPr>
        <w:t>septembre 1968;  ii) les modifications qui sont entrées en vigueur en vertu de l</w:t>
      </w:r>
      <w:r w:rsidR="004D2AA1">
        <w:rPr>
          <w:rFonts w:cs="Arial"/>
          <w:iCs/>
          <w:szCs w:val="22"/>
        </w:rPr>
        <w:t>’</w:t>
      </w:r>
      <w:r w:rsidRPr="00E8642C">
        <w:rPr>
          <w:rFonts w:cs="Arial"/>
          <w:iCs/>
          <w:szCs w:val="22"/>
        </w:rPr>
        <w:t>article 2.2) de la Convention européenne avant l</w:t>
      </w:r>
      <w:r w:rsidR="004D2AA1">
        <w:rPr>
          <w:rFonts w:cs="Arial"/>
          <w:iCs/>
          <w:szCs w:val="22"/>
        </w:rPr>
        <w:t>’</w:t>
      </w:r>
      <w:r w:rsidRPr="00E8642C">
        <w:rPr>
          <w:rFonts w:cs="Arial"/>
          <w:iCs/>
          <w:szCs w:val="22"/>
        </w:rPr>
        <w:t>entrée en vigueur du présent arrangement;  iii) les modifications apportées par la suite en vertu de l</w:t>
      </w:r>
      <w:r w:rsidR="004D2AA1">
        <w:rPr>
          <w:rFonts w:cs="Arial"/>
          <w:iCs/>
          <w:szCs w:val="22"/>
        </w:rPr>
        <w:t>’</w:t>
      </w:r>
      <w:r w:rsidRPr="00E8642C">
        <w:rPr>
          <w:rFonts w:cs="Arial"/>
          <w:iCs/>
          <w:szCs w:val="22"/>
        </w:rPr>
        <w:t>article 5 et qui entrent en vigueur conformément à l</w:t>
      </w:r>
      <w:r w:rsidR="004D2AA1">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Communauté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4D2AA1">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7" w:name="_Ref289689074"/>
      <w:r w:rsidRPr="00E8642C">
        <w:rPr>
          <w:rStyle w:val="FootnoteReference"/>
          <w:rFonts w:cs="Arial"/>
          <w:szCs w:val="22"/>
        </w:rPr>
        <w:footnoteReference w:id="29"/>
      </w:r>
      <w:bookmarkEnd w:id="7"/>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Communautés autochtones et locales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expression “communautés autochtones et locales”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et il n</w:t>
      </w:r>
      <w:r w:rsidR="004D2AA1">
        <w:rPr>
          <w:rFonts w:cs="Arial"/>
          <w:szCs w:val="22"/>
        </w:rPr>
        <w:t>’</w:t>
      </w:r>
      <w:r w:rsidRPr="00E8642C">
        <w:rPr>
          <w:rFonts w:cs="Arial"/>
          <w:szCs w:val="22"/>
        </w:rPr>
        <w:t>existe pour l</w:t>
      </w:r>
      <w:r w:rsidR="004D2AA1">
        <w:rPr>
          <w:rFonts w:cs="Arial"/>
          <w:szCs w:val="22"/>
        </w:rPr>
        <w:t>’</w:t>
      </w:r>
      <w:r w:rsidRPr="00E8642C">
        <w:rPr>
          <w:rFonts w:cs="Arial"/>
          <w:szCs w:val="22"/>
        </w:rPr>
        <w:t>heure aucune définition universelle standard pour celle</w:t>
      </w:r>
      <w:r w:rsidR="005A7440">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4D2AA1">
        <w:rPr>
          <w:rFonts w:cs="Arial"/>
          <w:szCs w:val="22"/>
        </w:rPr>
        <w:t>’</w:t>
      </w:r>
      <w:r w:rsidRPr="00E8642C">
        <w:rPr>
          <w:rFonts w:cs="Arial"/>
          <w:szCs w:val="22"/>
        </w:rPr>
        <w:t>article 8.j) indique que “[c]haque Partie contractante, dans la mesure du possible et selon qu</w:t>
      </w:r>
      <w:r w:rsidR="004D2AA1">
        <w:rPr>
          <w:rFonts w:cs="Arial"/>
          <w:szCs w:val="22"/>
        </w:rPr>
        <w:t>’</w:t>
      </w:r>
      <w:r w:rsidRPr="00E8642C">
        <w:rPr>
          <w:rFonts w:cs="Arial"/>
          <w:szCs w:val="22"/>
        </w:rPr>
        <w:t>il conviendra</w:t>
      </w:r>
      <w:r w:rsidR="004D2AA1">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4D2AA1">
        <w:rPr>
          <w:rFonts w:cs="Arial"/>
          <w:szCs w:val="22"/>
        </w:rPr>
        <w:t>’</w:t>
      </w:r>
      <w:r w:rsidRPr="00E8642C">
        <w:rPr>
          <w:rFonts w:cs="Arial"/>
          <w:szCs w:val="22"/>
        </w:rPr>
        <w:t>utilisation durable de la diversité biologique et en favorise l</w:t>
      </w:r>
      <w:r w:rsidR="004D2AA1">
        <w:rPr>
          <w:rFonts w:cs="Arial"/>
          <w:szCs w:val="22"/>
        </w:rPr>
        <w:t>’</w:t>
      </w:r>
      <w:r w:rsidRPr="00E8642C">
        <w:rPr>
          <w:rFonts w:cs="Arial"/>
          <w:szCs w:val="22"/>
        </w:rPr>
        <w:t>application sur une plus grande échelle, avec l</w:t>
      </w:r>
      <w:r w:rsidR="004D2AA1">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4D2AA1">
        <w:rPr>
          <w:rFonts w:cs="Arial"/>
          <w:i/>
          <w:szCs w:val="22"/>
        </w:rPr>
        <w:t>’</w:t>
      </w:r>
      <w:r w:rsidRPr="00E8642C">
        <w:rPr>
          <w:rFonts w:cs="Arial"/>
          <w:i/>
          <w:szCs w:val="22"/>
        </w:rPr>
        <w:t>accès aux ressources génétiques et le partage juste et équitable des avantages résultant de leur utilisation relatif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4D2AA1">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4D2AA1">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4D2AA1">
        <w:rPr>
          <w:rFonts w:cs="Arial"/>
          <w:szCs w:val="22"/>
        </w:rPr>
        <w:t>’</w:t>
      </w:r>
      <w:r w:rsidRPr="00E8642C">
        <w:rPr>
          <w:rFonts w:cs="Arial"/>
          <w:szCs w:val="22"/>
        </w:rPr>
        <w:t>une zone écologique distincte qui dépend directement de sa biodiversité et de ses produits et services de l</w:t>
      </w:r>
      <w:r w:rsidR="004D2AA1">
        <w:rPr>
          <w:rFonts w:cs="Arial"/>
          <w:szCs w:val="22"/>
        </w:rPr>
        <w:t>’</w:t>
      </w:r>
      <w:r w:rsidRPr="00E8642C">
        <w:rPr>
          <w:rFonts w:cs="Arial"/>
          <w:szCs w:val="22"/>
        </w:rPr>
        <w:t>écosystème pour l</w:t>
      </w:r>
      <w:r w:rsidR="004D2AA1">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4D2AA1">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L</w:t>
      </w:r>
      <w:r w:rsidR="004D2AA1">
        <w:rPr>
          <w:rFonts w:cs="Arial"/>
          <w:szCs w:val="22"/>
        </w:rPr>
        <w:t>’</w:t>
      </w:r>
      <w:r w:rsidRPr="00E8642C">
        <w:rPr>
          <w:rFonts w:cs="Arial"/>
          <w:szCs w:val="22"/>
        </w:rPr>
        <w:t>article 5.1) indique que “[c]haque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4D2AA1">
        <w:rPr>
          <w:rFonts w:cs="Arial"/>
          <w:szCs w:val="22"/>
        </w:rPr>
        <w:t>y compris</w:t>
      </w:r>
      <w:r w:rsidRPr="00E8642C">
        <w:rPr>
          <w:rFonts w:cs="Arial"/>
          <w:szCs w:val="22"/>
        </w:rPr>
        <w:t xml:space="preserve"> dans les zones protégées, en appuyant, notamment, les efforts des communautés locales et autochtones …”.  L</w:t>
      </w:r>
      <w:r w:rsidR="004D2AA1">
        <w:rPr>
          <w:rFonts w:cs="Arial"/>
          <w:szCs w:val="22"/>
        </w:rPr>
        <w:t>’</w:t>
      </w:r>
      <w:r w:rsidRPr="00E8642C">
        <w:rPr>
          <w:rFonts w:cs="Arial"/>
          <w:szCs w:val="22"/>
        </w:rPr>
        <w:t>expression “communautés locales et autochtones” est utilisée à l</w:t>
      </w:r>
      <w:r w:rsidR="004D2AA1">
        <w:rPr>
          <w:rFonts w:cs="Arial"/>
          <w:szCs w:val="22"/>
        </w:rPr>
        <w:t>’</w:t>
      </w:r>
      <w:r w:rsidRPr="00E8642C">
        <w:rPr>
          <w:rFonts w:cs="Arial"/>
          <w:szCs w:val="22"/>
        </w:rPr>
        <w:t>article 9.1</w:t>
      </w:r>
      <w:r w:rsidR="004D2AA1">
        <w:rPr>
          <w:rFonts w:cs="Arial"/>
          <w:szCs w:val="22"/>
        </w:rPr>
        <w:t> :</w:t>
      </w:r>
      <w:r w:rsidRPr="00E8642C">
        <w:rPr>
          <w:rFonts w:cs="Arial"/>
          <w:szCs w:val="22"/>
        </w:rPr>
        <w:t xml:space="preserve"> “[l]es Parties contractantes reconnaissent l</w:t>
      </w:r>
      <w:r w:rsidR="004D2AA1">
        <w:rPr>
          <w:rFonts w:cs="Arial"/>
          <w:szCs w:val="22"/>
        </w:rPr>
        <w:t>’</w:t>
      </w:r>
      <w:r w:rsidRPr="00E8642C">
        <w:rPr>
          <w:rFonts w:cs="Arial"/>
          <w:szCs w:val="22"/>
        </w:rPr>
        <w:t>énorme contribution que les communautés locales et autochtones, ainsi que les agriculteurs de toutes les régions du monde …”.  L</w:t>
      </w:r>
      <w:r w:rsidR="004D2AA1">
        <w:rPr>
          <w:rFonts w:cs="Arial"/>
          <w:szCs w:val="22"/>
        </w:rPr>
        <w:t>’</w:t>
      </w:r>
      <w:r w:rsidRPr="00E8642C">
        <w:rPr>
          <w:rFonts w:cs="Arial"/>
          <w:szCs w:val="22"/>
        </w:rPr>
        <w:t>expression “communautés locales” est utilisée à l</w:t>
      </w:r>
      <w:r w:rsidR="004D2AA1">
        <w:rPr>
          <w:rFonts w:cs="Arial"/>
          <w:szCs w:val="22"/>
        </w:rPr>
        <w:t>’</w:t>
      </w:r>
      <w:r w:rsidRPr="00E8642C">
        <w:rPr>
          <w:rFonts w:cs="Arial"/>
          <w:szCs w:val="22"/>
        </w:rPr>
        <w:t>article 5.1</w:t>
      </w:r>
      <w:r w:rsidR="004D2AA1">
        <w:rPr>
          <w:rFonts w:cs="Arial"/>
          <w:szCs w:val="22"/>
        </w:rPr>
        <w:t> :</w:t>
      </w:r>
      <w:r w:rsidRPr="00E8642C">
        <w:rPr>
          <w:rFonts w:cs="Arial"/>
          <w:szCs w:val="22"/>
        </w:rPr>
        <w:t xml:space="preserve"> “[c]haque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 c) [e]ncourager ou soutenir, selon qu</w:t>
      </w:r>
      <w:r w:rsidR="004D2AA1">
        <w:rPr>
          <w:rFonts w:cs="Arial"/>
          <w:szCs w:val="22"/>
        </w:rPr>
        <w:t>’</w:t>
      </w:r>
      <w:r w:rsidRPr="00E8642C">
        <w:rPr>
          <w:rFonts w:cs="Arial"/>
          <w:szCs w:val="22"/>
        </w:rPr>
        <w:t>il convient, les efforts des agriculteurs et des communautés locales pour gérer et conserver à la ferme leurs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instruments juridiques utilisent des expressions différentes</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4D2AA1">
        <w:rPr>
          <w:rFonts w:cs="Arial"/>
          <w:szCs w:val="22"/>
        </w:rPr>
        <w:t>’</w:t>
      </w:r>
      <w:r w:rsidRPr="00E8642C">
        <w:rPr>
          <w:rFonts w:cs="Arial"/>
          <w:szCs w:val="22"/>
        </w:rPr>
        <w:t>Organisation régionale africaine de la propriété intellectuelle (ARIPO).  L</w:t>
      </w:r>
      <w:r w:rsidR="004D2AA1">
        <w:rPr>
          <w:rFonts w:cs="Arial"/>
          <w:szCs w:val="22"/>
        </w:rPr>
        <w:t>’</w:t>
      </w:r>
      <w:r w:rsidRPr="00E8642C">
        <w:rPr>
          <w:rFonts w:cs="Arial"/>
          <w:szCs w:val="22"/>
        </w:rPr>
        <w:t>article 2.1) indique que “</w:t>
      </w:r>
      <w:r w:rsidRPr="00E8642C">
        <w:rPr>
          <w:rFonts w:cs="Arial"/>
          <w:iCs/>
          <w:szCs w:val="22"/>
        </w:rPr>
        <w:t xml:space="preserve">le terme </w:t>
      </w:r>
      <w:r w:rsidR="004D2AA1">
        <w:rPr>
          <w:rFonts w:cs="Arial"/>
          <w:iCs/>
          <w:szCs w:val="22"/>
        </w:rPr>
        <w:t>‘</w:t>
      </w:r>
      <w:r w:rsidRPr="00E8642C">
        <w:rPr>
          <w:rFonts w:cs="Arial"/>
          <w:iCs/>
          <w:szCs w:val="22"/>
        </w:rPr>
        <w:t>communauté</w:t>
      </w:r>
      <w:r w:rsidR="004D2AA1">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expression “communauté autochtone, afro</w:t>
      </w:r>
      <w:r w:rsidR="005A7440">
        <w:rPr>
          <w:rFonts w:cs="Arial"/>
          <w:szCs w:val="22"/>
        </w:rPr>
        <w:noBreakHyphen/>
      </w:r>
      <w:r w:rsidRPr="00E8642C">
        <w:rPr>
          <w:rFonts w:cs="Arial"/>
          <w:szCs w:val="22"/>
        </w:rPr>
        <w:t>américaine ou locale” de la manière suivante</w:t>
      </w:r>
      <w:r w:rsidR="004D2AA1">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5A7440">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7.III de la loi brésilienne provisoire n° 2,186</w:t>
      </w:r>
      <w:r w:rsidR="005A7440">
        <w:rPr>
          <w:rFonts w:cs="Arial"/>
          <w:szCs w:val="22"/>
        </w:rPr>
        <w:noBreakHyphen/>
      </w:r>
      <w:r w:rsidRPr="00E8642C">
        <w:rPr>
          <w:rFonts w:cs="Arial"/>
          <w:szCs w:val="22"/>
        </w:rPr>
        <w:t>16, du 23 août 2001, définit l</w:t>
      </w:r>
      <w:r w:rsidR="004D2AA1">
        <w:rPr>
          <w:rFonts w:cs="Arial"/>
          <w:szCs w:val="22"/>
        </w:rPr>
        <w:t>’</w:t>
      </w:r>
      <w:r w:rsidRPr="00E8642C">
        <w:rPr>
          <w:rFonts w:cs="Arial"/>
          <w:szCs w:val="22"/>
        </w:rPr>
        <w:t>expression “communauté locale” de la manière suivante</w:t>
      </w:r>
      <w:r w:rsidR="004D2AA1">
        <w:rPr>
          <w:rFonts w:cs="Arial"/>
          <w:szCs w:val="22"/>
        </w:rPr>
        <w:t> :</w:t>
      </w:r>
      <w:r w:rsidRPr="00E8642C">
        <w:rPr>
          <w:rFonts w:cs="Arial"/>
          <w:szCs w:val="22"/>
        </w:rPr>
        <w:t xml:space="preserve"> “</w:t>
      </w:r>
      <w:r w:rsidRPr="00E8642C">
        <w:rPr>
          <w:rFonts w:cs="Arial"/>
          <w:iCs/>
          <w:szCs w:val="22"/>
        </w:rPr>
        <w:t>groupe humain, comprenant les descendants des communautés Quilombo, différent de par sa culture, qui s</w:t>
      </w:r>
      <w:r w:rsidR="004D2AA1">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Concurrence déloyale</w:t>
      </w:r>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la “concurrence déloyale” comme “tout acte de concurrence déloyale ou illicite en matière de commerce;  spécialement toute pratique visant à faire passer ses biens ou produits pour ceux d</w:t>
      </w:r>
      <w:r w:rsidR="004D2AA1">
        <w:rPr>
          <w:rFonts w:cs="Arial"/>
          <w:szCs w:val="22"/>
        </w:rPr>
        <w:t>’</w:t>
      </w:r>
      <w:r w:rsidRPr="00E8642C">
        <w:rPr>
          <w:rFonts w:cs="Arial"/>
          <w:szCs w:val="22"/>
        </w:rPr>
        <w:t>un autre sur le marché en imitant ou en contrefaisant le nom, la marque, la taille, la forme ou d</w:t>
      </w:r>
      <w:r w:rsidR="004D2AA1">
        <w:rPr>
          <w:rFonts w:cs="Arial"/>
          <w:szCs w:val="22"/>
        </w:rPr>
        <w:t>’</w:t>
      </w:r>
      <w:r w:rsidRPr="00E8642C">
        <w:rPr>
          <w:rFonts w:cs="Arial"/>
          <w:szCs w:val="22"/>
        </w:rPr>
        <w:t>autres éléments distinctifs de l</w:t>
      </w:r>
      <w:r w:rsidR="004D2AA1">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alinéa 2 de l</w:t>
      </w:r>
      <w:r w:rsidR="004D2AA1">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4D2AA1">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4D2AA1">
        <w:rPr>
          <w:rFonts w:cs="Arial"/>
          <w:szCs w:val="22"/>
        </w:rPr>
        <w:t>’</w:t>
      </w:r>
      <w:r w:rsidRPr="00E8642C">
        <w:rPr>
          <w:rFonts w:cs="Arial"/>
          <w:szCs w:val="22"/>
        </w:rPr>
        <w:t>alinéa 3 de l</w:t>
      </w:r>
      <w:r w:rsidR="004D2AA1">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“[n]otamment devront être interdits</w:t>
      </w:r>
      <w:r w:rsidR="004D2AA1">
        <w:rPr>
          <w:rFonts w:cs="Arial"/>
          <w:szCs w:val="22"/>
        </w:rPr>
        <w:t> :</w:t>
      </w:r>
      <w:r w:rsidRPr="00E8642C">
        <w:rPr>
          <w:rFonts w:cs="Arial"/>
          <w:szCs w:val="22"/>
        </w:rPr>
        <w:t xml:space="preserve"> i) tous faits quelconques de nature à créer une confusion par n</w:t>
      </w:r>
      <w:r w:rsidR="004D2AA1">
        <w:rPr>
          <w:rFonts w:cs="Arial"/>
          <w:szCs w:val="22"/>
        </w:rPr>
        <w:t>’</w:t>
      </w:r>
      <w:r w:rsidRPr="00E8642C">
        <w:rPr>
          <w:rFonts w:cs="Arial"/>
          <w:szCs w:val="22"/>
        </w:rPr>
        <w:t>importe quel moyen avec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 les allégations fausses, dans l</w:t>
      </w:r>
      <w:r w:rsidR="004D2AA1">
        <w:rPr>
          <w:rFonts w:cs="Arial"/>
          <w:szCs w:val="22"/>
        </w:rPr>
        <w:t>’</w:t>
      </w:r>
      <w:r w:rsidRPr="00E8642C">
        <w:rPr>
          <w:rFonts w:cs="Arial"/>
          <w:szCs w:val="22"/>
        </w:rPr>
        <w:t>exercice du commerce, de nature à discréditer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iii) les indications ou allégations dont l</w:t>
      </w:r>
      <w:r w:rsidR="004D2AA1">
        <w:rPr>
          <w:rFonts w:cs="Arial"/>
          <w:szCs w:val="22"/>
        </w:rPr>
        <w:t>’</w:t>
      </w:r>
      <w:r w:rsidRPr="00E8642C">
        <w:rPr>
          <w:rFonts w:cs="Arial"/>
          <w:szCs w:val="22"/>
        </w:rPr>
        <w:t>usage, dans l</w:t>
      </w:r>
      <w:r w:rsidR="004D2AA1">
        <w:rPr>
          <w:rFonts w:cs="Arial"/>
          <w:szCs w:val="22"/>
        </w:rPr>
        <w:t>’</w:t>
      </w:r>
      <w:r w:rsidRPr="00E8642C">
        <w:rPr>
          <w:rFonts w:cs="Arial"/>
          <w:szCs w:val="22"/>
        </w:rPr>
        <w:t>exercice du commerce, est susceptible d</w:t>
      </w:r>
      <w:r w:rsidR="004D2AA1">
        <w:rPr>
          <w:rFonts w:cs="Arial"/>
          <w:szCs w:val="22"/>
        </w:rPr>
        <w:t>’</w:t>
      </w:r>
      <w:r w:rsidRPr="00E8642C">
        <w:rPr>
          <w:rFonts w:cs="Arial"/>
          <w:szCs w:val="22"/>
        </w:rPr>
        <w:t>induire le public en erreur sur la nature, le mode de fabrication, les caractéristiques, l</w:t>
      </w:r>
      <w:r w:rsidR="004D2AA1">
        <w:rPr>
          <w:rFonts w:cs="Arial"/>
          <w:szCs w:val="22"/>
        </w:rPr>
        <w:t>’</w:t>
      </w:r>
      <w:r w:rsidRPr="00E8642C">
        <w:rPr>
          <w:rFonts w:cs="Arial"/>
          <w:szCs w:val="22"/>
        </w:rPr>
        <w:t>aptitude à l</w:t>
      </w:r>
      <w:r w:rsidR="004D2AA1">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Conditions convenues d</w:t>
      </w:r>
      <w:r w:rsidR="004D2AA1">
        <w:t>’</w:t>
      </w:r>
      <w:r w:rsidRPr="00E8642C">
        <w:t>un commun accord</w:t>
      </w:r>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4D2AA1">
        <w:rPr>
          <w:rFonts w:cs="Arial"/>
          <w:szCs w:val="22"/>
        </w:rPr>
        <w:t>’</w:t>
      </w:r>
      <w:r w:rsidRPr="00E8642C">
        <w:rPr>
          <w:rFonts w:cs="Arial"/>
          <w:szCs w:val="22"/>
        </w:rPr>
        <w:t>accès aux ressources génétiques, l</w:t>
      </w:r>
      <w:r w:rsidR="004D2AA1">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4D2AA1">
        <w:rPr>
          <w:rFonts w:cs="Arial"/>
          <w:iCs/>
          <w:szCs w:val="22"/>
        </w:rPr>
        <w:t>’</w:t>
      </w:r>
      <w:r w:rsidRPr="00E8642C">
        <w:rPr>
          <w:rFonts w:cs="Arial"/>
          <w:iCs/>
          <w:szCs w:val="22"/>
        </w:rPr>
        <w:t>accès, lorsqu</w:t>
      </w:r>
      <w:r w:rsidR="004D2AA1">
        <w:rPr>
          <w:rFonts w:cs="Arial"/>
          <w:iCs/>
          <w:szCs w:val="22"/>
        </w:rPr>
        <w:t>’</w:t>
      </w:r>
      <w:r w:rsidRPr="00E8642C">
        <w:rPr>
          <w:rFonts w:cs="Arial"/>
          <w:iCs/>
          <w:szCs w:val="22"/>
        </w:rPr>
        <w:t>il est accordé, est régi par des conditions convenues d</w:t>
      </w:r>
      <w:r w:rsidR="004D2AA1">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4D2AA1">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4D2AA1" w:rsidRPr="00F26BC9">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4D2AA1">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4D2AA1">
        <w:t>’</w:t>
      </w:r>
      <w:r w:rsidRPr="00E8642C">
        <w:t>article 18 du Protocole de Nagoya sur l</w:t>
      </w:r>
      <w:r w:rsidR="004D2AA1">
        <w:t>’</w:t>
      </w:r>
      <w:r w:rsidRPr="00E8642C">
        <w:t>accès aux ressources génétiques et le partage juste et équitable des avantages découlant de leur utilisation relatif à la Convention sur la diversité biologique (2010) traite spécifiquement de la conformité aux conditions convenues d</w:t>
      </w:r>
      <w:r w:rsidR="004D2AA1">
        <w:t>’</w:t>
      </w:r>
      <w:r w:rsidRPr="00E8642C">
        <w:t>un commun accord et indique à cet égard</w:t>
      </w:r>
      <w:r w:rsidR="004D2AA1">
        <w:t> :</w:t>
      </w:r>
      <w:r w:rsidRPr="00E8642C">
        <w:t xml:space="preserve"> </w:t>
      </w:r>
      <w:r w:rsidRPr="00E8642C">
        <w:rPr>
          <w:iCs/>
        </w:rPr>
        <w:t>“1.  En appliquant le paragraphe 3.g)i) de l</w:t>
      </w:r>
      <w:r w:rsidR="004D2AA1">
        <w:rPr>
          <w:iCs/>
        </w:rPr>
        <w:t>’</w:t>
      </w:r>
      <w:r w:rsidRPr="00E8642C">
        <w:rPr>
          <w:iCs/>
        </w:rPr>
        <w:t>article 6 et l</w:t>
      </w:r>
      <w:r w:rsidR="004D2AA1">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4D2AA1">
        <w:rPr>
          <w:iCs/>
        </w:rPr>
        <w:t>’</w:t>
      </w:r>
      <w:r w:rsidRPr="00E8642C">
        <w:rPr>
          <w:iCs/>
        </w:rPr>
        <w:t>un commun accord des dispositions pour couvrir, le cas échéant, le règlement des différends, notamment</w:t>
      </w:r>
      <w:r w:rsidR="004D2AA1">
        <w:rPr>
          <w:iCs/>
        </w:rPr>
        <w:t> :</w:t>
      </w:r>
      <w:r w:rsidRPr="00E8642C">
        <w:rPr>
          <w:iCs/>
        </w:rPr>
        <w:t xml:space="preserve"> a) la juridiction à laquelle elles soumettront les procédures de règlement des différends;  b) la loi applicable;  et/ou c) les possibilités de règlement extrajudiciaire des différends, telles que la médiation et l</w:t>
      </w:r>
      <w:r w:rsidR="004D2AA1">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4D2AA1">
        <w:rPr>
          <w:iCs/>
        </w:rPr>
        <w:t>’</w:t>
      </w:r>
      <w:r w:rsidRPr="00E8642C">
        <w:rPr>
          <w:iCs/>
        </w:rPr>
        <w:t>un commun accord.  3.  Chaque Partie prend les mesures efficaces nécessaires concernant</w:t>
      </w:r>
      <w:r w:rsidR="004D2AA1">
        <w:rPr>
          <w:iCs/>
        </w:rPr>
        <w:t> :</w:t>
      </w:r>
      <w:r w:rsidRPr="00E8642C">
        <w:rPr>
          <w:iCs/>
        </w:rPr>
        <w:t xml:space="preserve"> a) l</w:t>
      </w:r>
      <w:r w:rsidR="004D2AA1">
        <w:rPr>
          <w:iCs/>
        </w:rPr>
        <w:t>’</w:t>
      </w:r>
      <w:r w:rsidRPr="00E8642C">
        <w:rPr>
          <w:iCs/>
        </w:rPr>
        <w:t>accès à la justice;  et b) l</w:t>
      </w:r>
      <w:r w:rsidR="004D2AA1">
        <w:rPr>
          <w:iCs/>
        </w:rPr>
        <w:t>’</w:t>
      </w:r>
      <w:r w:rsidRPr="00E8642C">
        <w:rPr>
          <w:iCs/>
        </w:rPr>
        <w:t>utilisation de mécanismes de reconnaissance mutuelle et d</w:t>
      </w:r>
      <w:r w:rsidR="004D2AA1">
        <w:rPr>
          <w:iCs/>
        </w:rPr>
        <w:t>’</w:t>
      </w:r>
      <w:r w:rsidRPr="00E8642C">
        <w:rPr>
          <w:iCs/>
        </w:rPr>
        <w:t>application des décisions arbitrales et des jugements étrangers.  4.  La Conférence des Parties siégeant en tant que réunion des Parties au Protocole évalue l</w:t>
      </w:r>
      <w:r w:rsidR="004D2AA1">
        <w:rPr>
          <w:iCs/>
        </w:rPr>
        <w:t>’</w:t>
      </w:r>
      <w:r w:rsidRPr="00E8642C">
        <w:rPr>
          <w:iCs/>
        </w:rPr>
        <w:t>efficacité de cet article, conformément à l</w:t>
      </w:r>
      <w:r w:rsidR="004D2AA1">
        <w:rPr>
          <w:iCs/>
        </w:rPr>
        <w:t>’</w:t>
      </w:r>
      <w:r w:rsidRPr="00E8642C">
        <w:rPr>
          <w:iCs/>
        </w:rPr>
        <w:t>article 31 du présent Protocole</w:t>
      </w:r>
      <w:r w:rsidRPr="00E8642C">
        <w:t>”.</w:t>
      </w:r>
    </w:p>
    <w:p w:rsidR="00DD607D" w:rsidRPr="00E8642C" w:rsidRDefault="00DD607D" w:rsidP="00C21AB4"/>
    <w:p w:rsidR="00DD607D" w:rsidRPr="00E8642C" w:rsidRDefault="00DD607D" w:rsidP="00F14F6F">
      <w:pPr>
        <w:pStyle w:val="Heading2"/>
        <w:keepLines/>
        <w:spacing w:line="240" w:lineRule="auto"/>
        <w:rPr>
          <w:i/>
        </w:rPr>
      </w:pPr>
      <w:r w:rsidRPr="00E8642C">
        <w:t>Conditions</w:t>
      </w:r>
      <w:r w:rsidRPr="00E8642C">
        <w:rPr>
          <w:i/>
        </w:rPr>
        <w:t xml:space="preserve"> in situ</w:t>
      </w:r>
    </w:p>
    <w:p w:rsidR="00DD607D" w:rsidRPr="00E8642C" w:rsidRDefault="00DD607D" w:rsidP="00F14F6F">
      <w:pPr>
        <w:keepNext/>
        <w:keepLines/>
        <w:rPr>
          <w:rFonts w:cs="Arial"/>
          <w:b/>
          <w:snapToGrid w:val="0"/>
          <w:szCs w:val="22"/>
        </w:rPr>
      </w:pPr>
    </w:p>
    <w:p w:rsidR="00DD607D" w:rsidRPr="00E8642C" w:rsidRDefault="00DD607D" w:rsidP="00F14F6F">
      <w:pPr>
        <w:keepNext/>
        <w:keepLines/>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4D2AA1">
        <w:rPr>
          <w:rFonts w:cs="Arial"/>
          <w:bCs/>
          <w:iCs/>
          <w:snapToGrid w:val="0"/>
          <w:szCs w:val="22"/>
        </w:rPr>
        <w:t>’</w:t>
      </w:r>
      <w:r w:rsidRPr="00E8642C">
        <w:rPr>
          <w:rFonts w:cs="Arial"/>
          <w:bCs/>
          <w:iCs/>
          <w:snapToGrid w:val="0"/>
          <w:szCs w:val="22"/>
        </w:rPr>
        <w:t>existence de ressources génétiques au sein d</w:t>
      </w:r>
      <w:r w:rsidR="004D2AA1">
        <w:rPr>
          <w:rFonts w:cs="Arial"/>
          <w:bCs/>
          <w:iCs/>
          <w:snapToGrid w:val="0"/>
          <w:szCs w:val="22"/>
        </w:rPr>
        <w:t>’</w:t>
      </w:r>
      <w:r w:rsidRPr="00E8642C">
        <w:rPr>
          <w:rFonts w:cs="Arial"/>
          <w:bCs/>
          <w:iCs/>
          <w:snapToGrid w:val="0"/>
          <w:szCs w:val="22"/>
        </w:rPr>
        <w:t>écosystèmes et d</w:t>
      </w:r>
      <w:r w:rsidR="004D2AA1">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Connaissances écologiques traditionnelles/connaissances environnementales traditionnelles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Dene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4D2AA1">
        <w:rPr>
          <w:rFonts w:cs="Arial"/>
          <w:iCs/>
          <w:szCs w:val="22"/>
        </w:rPr>
        <w:t>’</w:t>
      </w:r>
      <w:r w:rsidRPr="00E8642C">
        <w:rPr>
          <w:rFonts w:cs="Arial"/>
          <w:iCs/>
          <w:szCs w:val="22"/>
        </w:rPr>
        <w:t>observations empiriques sur l</w:t>
      </w:r>
      <w:r w:rsidR="004D2AA1">
        <w:rPr>
          <w:rFonts w:cs="Arial"/>
          <w:iCs/>
          <w:szCs w:val="22"/>
        </w:rPr>
        <w:t>’</w:t>
      </w:r>
      <w:r w:rsidRPr="00E8642C">
        <w:rPr>
          <w:rFonts w:cs="Arial"/>
          <w:iCs/>
          <w:szCs w:val="22"/>
        </w:rPr>
        <w:t>environnement local et un système d</w:t>
      </w:r>
      <w:r w:rsidR="004D2AA1">
        <w:rPr>
          <w:rFonts w:cs="Arial"/>
          <w:iCs/>
          <w:szCs w:val="22"/>
        </w:rPr>
        <w:t>’</w:t>
      </w:r>
      <w:r w:rsidRPr="00E8642C">
        <w:rPr>
          <w:rFonts w:cs="Arial"/>
          <w:iCs/>
          <w:szCs w:val="22"/>
        </w:rPr>
        <w:t>autogestion qui régit l</w:t>
      </w:r>
      <w:r w:rsidR="004D2AA1">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4D2AA1">
        <w:rPr>
          <w:rFonts w:cs="Arial"/>
          <w:iCs/>
          <w:szCs w:val="22"/>
        </w:rPr>
        <w:t>’</w:t>
      </w:r>
      <w:r w:rsidRPr="00E8642C">
        <w:rPr>
          <w:rFonts w:cs="Arial"/>
          <w:iCs/>
          <w:szCs w:val="22"/>
        </w:rPr>
        <w:t>un membre de la communauté à l</w:t>
      </w:r>
      <w:r w:rsidR="004D2AA1">
        <w:rPr>
          <w:rFonts w:cs="Arial"/>
          <w:iCs/>
          <w:szCs w:val="22"/>
        </w:rPr>
        <w:t>’</w:t>
      </w:r>
      <w:r w:rsidRPr="00E8642C">
        <w:rPr>
          <w:rFonts w:cs="Arial"/>
          <w:iCs/>
          <w:szCs w:val="22"/>
        </w:rPr>
        <w:t>autre, en fonction du sexe, de l</w:t>
      </w:r>
      <w:r w:rsidR="004D2AA1">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4D2AA1">
        <w:rPr>
          <w:rFonts w:cs="Arial"/>
          <w:iCs/>
          <w:szCs w:val="22"/>
        </w:rPr>
        <w:t>’</w:t>
      </w:r>
      <w:r w:rsidRPr="00E8642C">
        <w:rPr>
          <w:rFonts w:cs="Arial"/>
          <w:iCs/>
          <w:szCs w:val="22"/>
        </w:rPr>
        <w:t>elles s</w:t>
      </w:r>
      <w:r w:rsidR="004D2AA1">
        <w:rPr>
          <w:rFonts w:cs="Arial"/>
          <w:iCs/>
          <w:szCs w:val="22"/>
        </w:rPr>
        <w:t>’</w:t>
      </w:r>
      <w:r w:rsidRPr="00E8642C">
        <w:rPr>
          <w:rFonts w:cs="Arial"/>
          <w:iCs/>
          <w:szCs w:val="22"/>
        </w:rPr>
        <w:t>appuient sur l</w:t>
      </w:r>
      <w:r w:rsidR="004D2AA1">
        <w:rPr>
          <w:rFonts w:cs="Arial"/>
          <w:iCs/>
          <w:szCs w:val="22"/>
        </w:rPr>
        <w:t>’</w:t>
      </w:r>
      <w:r w:rsidRPr="00E8642C">
        <w:rPr>
          <w:rFonts w:cs="Arial"/>
          <w:iCs/>
          <w:szCs w:val="22"/>
        </w:rPr>
        <w:t>expérience des générations précédentes et s</w:t>
      </w:r>
      <w:r w:rsidR="004D2AA1">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4D2AA1">
        <w:rPr>
          <w:rFonts w:cs="Arial"/>
          <w:iCs/>
          <w:szCs w:val="22"/>
        </w:rPr>
        <w:t>’</w:t>
      </w:r>
      <w:r w:rsidRPr="00E8642C">
        <w:rPr>
          <w:rFonts w:cs="Arial"/>
          <w:iCs/>
          <w:szCs w:val="22"/>
        </w:rPr>
        <w:t>une génération à l</w:t>
      </w:r>
      <w:r w:rsidR="004D2AA1">
        <w:rPr>
          <w:rFonts w:cs="Arial"/>
          <w:iCs/>
          <w:szCs w:val="22"/>
        </w:rPr>
        <w:t>’</w:t>
      </w:r>
      <w:r w:rsidRPr="00E8642C">
        <w:rPr>
          <w:rFonts w:cs="Arial"/>
          <w:iCs/>
          <w:szCs w:val="22"/>
        </w:rPr>
        <w:t>autre par transmission culturelle, concernant la relation entre les êtres vivants (</w:t>
      </w:r>
      <w:r w:rsidR="004D2AA1">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4D2AA1">
        <w:rPr>
          <w:rFonts w:cs="Arial"/>
          <w:iCs/>
          <w:szCs w:val="22"/>
        </w:rPr>
        <w:t>’</w:t>
      </w:r>
      <w:r w:rsidRPr="00E8642C">
        <w:rPr>
          <w:rFonts w:cs="Arial"/>
          <w:iCs/>
          <w:szCs w:val="22"/>
        </w:rPr>
        <w:t>une continuité historique en ce qui concerne les pratiques d</w:t>
      </w:r>
      <w:r w:rsidR="004D2AA1">
        <w:rPr>
          <w:rFonts w:cs="Arial"/>
          <w:iCs/>
          <w:szCs w:val="22"/>
        </w:rPr>
        <w:t>’</w:t>
      </w:r>
      <w:r w:rsidRPr="00E8642C">
        <w:rPr>
          <w:rFonts w:cs="Arial"/>
          <w:iCs/>
          <w:szCs w:val="22"/>
        </w:rPr>
        <w:t>utilisation des ressources;  dans l</w:t>
      </w:r>
      <w:r w:rsidR="004D2AA1">
        <w:rPr>
          <w:rFonts w:cs="Arial"/>
          <w:iCs/>
          <w:szCs w:val="22"/>
        </w:rPr>
        <w:t>’</w:t>
      </w:r>
      <w:r w:rsidRPr="00E8642C">
        <w:rPr>
          <w:rFonts w:cs="Arial"/>
          <w:iCs/>
          <w:szCs w:val="22"/>
        </w:rPr>
        <w:t>ensemble, ces sociétés ne sont pas industrialisées ou sont moins avancées sur le plan technique, la plupart d</w:t>
      </w:r>
      <w:r w:rsidR="004D2AA1">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Consentement préalable en connaissance de cause</w:t>
      </w:r>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5A7440">
        <w:rPr>
          <w:rFonts w:cs="Arial"/>
          <w:szCs w:val="22"/>
        </w:rPr>
        <w:noBreakHyphen/>
      </w:r>
      <w:r w:rsidRPr="00E8642C">
        <w:rPr>
          <w:rFonts w:cs="Arial"/>
          <w:szCs w:val="22"/>
        </w:rPr>
        <w:t>entendu dans plusieurs instruments internationaux, notamment dans le domaine environnemental, par exemple à l</w:t>
      </w:r>
      <w:r w:rsidR="004D2AA1">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t>En ce qui concerne l</w:t>
      </w:r>
      <w:r w:rsidR="004D2AA1">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4D2AA1">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4D2AA1">
        <w:t>’</w:t>
      </w:r>
      <w:r w:rsidRPr="00E8642C">
        <w:t>article 16.1) du Protocole de Nagoya sur l</w:t>
      </w:r>
      <w:r w:rsidR="004D2AA1">
        <w:t>’</w:t>
      </w:r>
      <w:r w:rsidRPr="00E8642C">
        <w:t>accès aux ressources génétiques et le partage juste et équitable des avantages découlant de leur utilisation relatif à la Convention sur la diversité biologique (2010) prévoit que “</w:t>
      </w:r>
      <w:r w:rsidRPr="00E8642C">
        <w:rPr>
          <w:iCs/>
        </w:rPr>
        <w:t>[c]haque Partie prend les mesures législatives, administratives ou de politique nécessaires pour assurer que l</w:t>
      </w:r>
      <w:r w:rsidR="004D2AA1">
        <w:rPr>
          <w:iCs/>
        </w:rPr>
        <w:t>’</w:t>
      </w:r>
      <w:r w:rsidRPr="00E8642C">
        <w:rPr>
          <w:iCs/>
        </w:rPr>
        <w:t>accès aux connaissances traditionnelles associées aux ressources génétiques exploitées dans leur juridiction a été soumis au consentement préalable donné en connaissance de cause ou à l</w:t>
      </w:r>
      <w:r w:rsidR="004D2AA1">
        <w:rPr>
          <w:iCs/>
        </w:rPr>
        <w:t>’</w:t>
      </w:r>
      <w:r w:rsidRPr="00E8642C">
        <w:rPr>
          <w:iCs/>
        </w:rPr>
        <w:t>accord et à la participation des communautés autochtones et locales et que des conditions convenues d</w:t>
      </w:r>
      <w:r w:rsidR="004D2AA1">
        <w:rPr>
          <w:iCs/>
        </w:rPr>
        <w:t>’</w:t>
      </w:r>
      <w:r w:rsidRPr="00E8642C">
        <w:rPr>
          <w:iCs/>
        </w:rPr>
        <w:t>un commun accord ont été établies, conformément à la législation ou aux exigences internes relatives à l</w:t>
      </w:r>
      <w:r w:rsidR="004D2AA1">
        <w:rPr>
          <w:iCs/>
        </w:rPr>
        <w:t>’</w:t>
      </w:r>
      <w:r w:rsidRPr="00E8642C">
        <w:rPr>
          <w:iCs/>
        </w:rPr>
        <w:t>accès et au partage des avantages de l</w:t>
      </w:r>
      <w:r w:rsidR="004D2AA1">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4D2AA1">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4D2AA1">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4D2AA1">
        <w:rPr>
          <w:rFonts w:cs="Arial"/>
          <w:szCs w:val="22"/>
        </w:rPr>
        <w:t>’</w:t>
      </w:r>
      <w:r w:rsidRPr="00E8642C">
        <w:rPr>
          <w:rFonts w:cs="Arial"/>
          <w:szCs w:val="22"/>
        </w:rPr>
        <w:t>un individu ne peut être effectué qu</w:t>
      </w:r>
      <w:r w:rsidR="004D2AA1">
        <w:rPr>
          <w:rFonts w:cs="Arial"/>
          <w:szCs w:val="22"/>
        </w:rPr>
        <w:t>’</w:t>
      </w:r>
      <w:r w:rsidRPr="00E8642C">
        <w:rPr>
          <w:rFonts w:cs="Arial"/>
          <w:szCs w:val="22"/>
        </w:rPr>
        <w:t>après une évaluation des risques et avantages potentiels fondée sur “le consentement préalable, libre et éclairé de l</w:t>
      </w:r>
      <w:r w:rsidR="004D2AA1">
        <w:rPr>
          <w:rFonts w:cs="Arial"/>
          <w:szCs w:val="22"/>
        </w:rPr>
        <w:t>’</w:t>
      </w:r>
      <w:r w:rsidRPr="00E8642C">
        <w:rPr>
          <w:rFonts w:cs="Arial"/>
          <w:szCs w:val="22"/>
        </w:rPr>
        <w:t>intéressé”.  L</w:t>
      </w:r>
      <w:r w:rsidR="004D2AA1">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4D2AA1">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4D2AA1">
        <w:rPr>
          <w:rFonts w:cs="Arial"/>
          <w:szCs w:val="22"/>
        </w:rPr>
        <w:t>’</w:t>
      </w:r>
      <w:r w:rsidRPr="00E8642C">
        <w:rPr>
          <w:rFonts w:cs="Arial"/>
          <w:szCs w:val="22"/>
        </w:rPr>
        <w:t>application du principe général de la participation des peuples autochtones à la prise de décision, à l</w:t>
      </w:r>
      <w:r w:rsidR="004D2AA1">
        <w:rPr>
          <w:rFonts w:cs="Arial"/>
          <w:szCs w:val="22"/>
        </w:rPr>
        <w:t>’</w:t>
      </w:r>
      <w:r w:rsidRPr="00E8642C">
        <w:rPr>
          <w:rFonts w:cs="Arial"/>
          <w:szCs w:val="22"/>
        </w:rPr>
        <w:t>élaboration, à la mise en œuvre et à l</w:t>
      </w:r>
      <w:r w:rsidR="004D2AA1">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utilisation de l</w:t>
      </w:r>
      <w:r w:rsidR="004D2AA1">
        <w:rPr>
          <w:rFonts w:cs="Arial"/>
          <w:szCs w:val="22"/>
        </w:rPr>
        <w:t>’</w:t>
      </w:r>
      <w:r w:rsidRPr="00E8642C">
        <w:rPr>
          <w:rFonts w:cs="Arial"/>
          <w:szCs w:val="22"/>
        </w:rPr>
        <w:t>adjectif “libre” vise à garantir qu</w:t>
      </w:r>
      <w:r w:rsidR="004D2AA1">
        <w:rPr>
          <w:rFonts w:cs="Arial"/>
          <w:szCs w:val="22"/>
        </w:rPr>
        <w:t>’</w:t>
      </w:r>
      <w:r w:rsidRPr="00E8642C">
        <w:rPr>
          <w:rFonts w:cs="Arial"/>
          <w:szCs w:val="22"/>
        </w:rPr>
        <w:t>aucune contrainte ni aucune manipulation n</w:t>
      </w:r>
      <w:r w:rsidR="004D2AA1">
        <w:rPr>
          <w:rFonts w:cs="Arial"/>
          <w:szCs w:val="22"/>
        </w:rPr>
        <w:t>’</w:t>
      </w:r>
      <w:r w:rsidRPr="00E8642C">
        <w:rPr>
          <w:rFonts w:cs="Arial"/>
          <w:szCs w:val="22"/>
        </w:rPr>
        <w:t>est exercée dans le cadre des négociations, tandis que le terme “préalable” marque la prise en considération de l</w:t>
      </w:r>
      <w:r w:rsidR="004D2AA1">
        <w:rPr>
          <w:rFonts w:cs="Arial"/>
          <w:szCs w:val="22"/>
        </w:rPr>
        <w:t>’</w:t>
      </w:r>
      <w:r w:rsidRPr="00E8642C">
        <w:rPr>
          <w:rFonts w:cs="Arial"/>
          <w:szCs w:val="22"/>
        </w:rPr>
        <w:t>importance qu</w:t>
      </w:r>
      <w:r w:rsidR="004D2AA1">
        <w:rPr>
          <w:rFonts w:cs="Arial"/>
          <w:szCs w:val="22"/>
        </w:rPr>
        <w:t>’</w:t>
      </w:r>
      <w:r w:rsidRPr="00E8642C">
        <w:rPr>
          <w:rFonts w:cs="Arial"/>
          <w:szCs w:val="22"/>
        </w:rPr>
        <w:t>il y a à accorder du temps aux peuples autochtones pour leur permettre d</w:t>
      </w:r>
      <w:r w:rsidR="004D2AA1">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4D2AA1">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4D2AA1">
        <w:rPr>
          <w:rFonts w:cs="Arial"/>
          <w:szCs w:val="22"/>
        </w:rPr>
        <w:t>’</w:t>
      </w:r>
      <w:r w:rsidRPr="00E8642C">
        <w:rPr>
          <w:rFonts w:cs="Arial"/>
          <w:szCs w:val="22"/>
        </w:rPr>
        <w:t>il est de plus en plus largement admis que l</w:t>
      </w:r>
      <w:r w:rsidR="004D2AA1">
        <w:rPr>
          <w:rFonts w:cs="Arial"/>
          <w:szCs w:val="22"/>
        </w:rPr>
        <w:t>’</w:t>
      </w:r>
      <w:r w:rsidRPr="00E8642C">
        <w:rPr>
          <w:rFonts w:cs="Arial"/>
          <w:szCs w:val="22"/>
        </w:rPr>
        <w:t>évaluation de l</w:t>
      </w:r>
      <w:r w:rsidR="004D2AA1">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4D2AA1">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4D2AA1">
        <w:rPr>
          <w:rFonts w:cs="Arial"/>
          <w:szCs w:val="22"/>
        </w:rPr>
        <w:t>’</w:t>
      </w:r>
      <w:r w:rsidRPr="00E8642C">
        <w:rPr>
          <w:rFonts w:cs="Arial"/>
          <w:szCs w:val="22"/>
        </w:rPr>
        <w:t>informations détaillées sur le contrat, les avantages éventuels, les incidences 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r w:rsidRPr="00E8642C">
        <w:t>Conservation</w:t>
      </w:r>
      <w:r w:rsidRPr="00E8642C">
        <w:rPr>
          <w:i/>
        </w:rPr>
        <w:t xml:space="preserve"> ex situ</w:t>
      </w:r>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4D2AA1">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Consultation</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Selon le Black</w:t>
      </w:r>
      <w:r w:rsidR="004D2AA1">
        <w:rPr>
          <w:rFonts w:cs="Arial"/>
          <w:szCs w:val="22"/>
        </w:rPr>
        <w:t>’</w:t>
      </w:r>
      <w:r w:rsidRPr="00E8642C">
        <w:rPr>
          <w:rFonts w:cs="Arial"/>
          <w:szCs w:val="22"/>
        </w:rPr>
        <w:t>s Law Dictionary, la consultation est l</w:t>
      </w:r>
      <w:r w:rsidR="004D2AA1">
        <w:rPr>
          <w:rFonts w:cs="Arial"/>
          <w:szCs w:val="22"/>
        </w:rPr>
        <w:t>’</w:t>
      </w:r>
      <w:r w:rsidRPr="00E8642C">
        <w:rPr>
          <w:rFonts w:cs="Arial"/>
          <w:szCs w:val="22"/>
        </w:rPr>
        <w:t>acte consistant à demander l</w:t>
      </w:r>
      <w:r w:rsidR="004D2AA1">
        <w:rPr>
          <w:rFonts w:cs="Arial"/>
          <w:szCs w:val="22"/>
        </w:rPr>
        <w:t>’</w:t>
      </w:r>
      <w:r w:rsidRPr="00E8642C">
        <w:rPr>
          <w:rFonts w:cs="Arial"/>
          <w:szCs w:val="22"/>
        </w:rPr>
        <w:t>avis ou l</w:t>
      </w:r>
      <w:r w:rsidR="004D2AA1">
        <w:rPr>
          <w:rFonts w:cs="Arial"/>
          <w:szCs w:val="22"/>
        </w:rPr>
        <w:t>’</w:t>
      </w:r>
      <w:r w:rsidRPr="00E8642C">
        <w:rPr>
          <w:rFonts w:cs="Arial"/>
          <w:szCs w:val="22"/>
        </w:rPr>
        <w:t>opinion de quelqu</w:t>
      </w:r>
      <w:r w:rsidR="004D2AA1">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4D2AA1">
        <w:rPr>
          <w:rFonts w:cs="Arial"/>
          <w:szCs w:val="22"/>
        </w:rPr>
        <w:t>’</w:t>
      </w:r>
      <w:r w:rsidRPr="00E8642C">
        <w:rPr>
          <w:rFonts w:cs="Arial"/>
          <w:szCs w:val="22"/>
        </w:rPr>
        <w:t>agit pas d</w:t>
      </w:r>
      <w:r w:rsidR="004D2AA1">
        <w:rPr>
          <w:rFonts w:cs="Arial"/>
          <w:szCs w:val="22"/>
        </w:rPr>
        <w:t>’</w:t>
      </w:r>
      <w:r w:rsidRPr="00E8642C">
        <w:rPr>
          <w:rFonts w:cs="Arial"/>
          <w:szCs w:val="22"/>
        </w:rPr>
        <w:t>un processus à sens unique mais d</w:t>
      </w:r>
      <w:r w:rsidR="004D2AA1">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4D2AA1">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8"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8"/>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4D2AA1">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2A7EBB">
      <w:pPr>
        <w:pStyle w:val="Heading2"/>
        <w:spacing w:line="240" w:lineRule="auto"/>
      </w:pPr>
      <w:r w:rsidRPr="00E8642C">
        <w:t>Contexte coutumier</w:t>
      </w:r>
    </w:p>
    <w:p w:rsidR="00DD607D" w:rsidRPr="00E8642C" w:rsidRDefault="00DD607D" w:rsidP="002A7EBB">
      <w:pPr>
        <w:pStyle w:val="FootnoteText"/>
        <w:keepNext/>
        <w:ind w:left="0" w:firstLine="0"/>
        <w:rPr>
          <w:rFonts w:cs="Arial"/>
          <w:b/>
          <w:szCs w:val="22"/>
        </w:rPr>
      </w:pPr>
    </w:p>
    <w:p w:rsidR="00DD607D" w:rsidRPr="00E8642C" w:rsidRDefault="00DD607D" w:rsidP="002A7EBB">
      <w:pPr>
        <w:pStyle w:val="FootnoteText"/>
        <w:keepNext/>
        <w:ind w:left="0" w:firstLine="0"/>
        <w:rPr>
          <w:rFonts w:cs="Arial"/>
          <w:szCs w:val="22"/>
        </w:rPr>
      </w:pPr>
      <w:r w:rsidRPr="00E8642C">
        <w:rPr>
          <w:rFonts w:cs="Arial"/>
          <w:szCs w:val="22"/>
        </w:rPr>
        <w:t>Par “contexte coutumier”, il faut entendre la façon d</w:t>
      </w:r>
      <w:r w:rsidR="004D2AA1">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4D2AA1">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2A7EBB">
      <w:pPr>
        <w:keepNext/>
        <w:autoSpaceDE w:val="0"/>
        <w:autoSpaceDN w:val="0"/>
        <w:adjustRightInd w:val="0"/>
        <w:rPr>
          <w:rFonts w:cs="Arial"/>
          <w:szCs w:val="22"/>
        </w:rPr>
      </w:pPr>
    </w:p>
    <w:p w:rsidR="00DD607D" w:rsidRPr="00E8642C" w:rsidRDefault="00DD607D" w:rsidP="00C21AB4">
      <w:pPr>
        <w:pStyle w:val="Heading2"/>
        <w:spacing w:line="240" w:lineRule="auto"/>
      </w:pPr>
      <w:r w:rsidRPr="00E8642C">
        <w:t>Contexte traditionnel</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4D2AA1">
        <w:rPr>
          <w:rFonts w:cs="Arial"/>
          <w:szCs w:val="22"/>
        </w:rPr>
        <w:t>’</w:t>
      </w:r>
      <w:r w:rsidRPr="00E8642C">
        <w:rPr>
          <w:rFonts w:cs="Arial"/>
          <w:szCs w:val="22"/>
        </w:rPr>
        <w:t>une certaine communauté, et non pas qu</w:t>
      </w:r>
      <w:r w:rsidR="004D2AA1">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4D2AA1">
        <w:rPr>
          <w:rFonts w:cs="Arial"/>
          <w:szCs w:val="22"/>
        </w:rPr>
        <w:t>’</w:t>
      </w:r>
      <w:r w:rsidRPr="00E8642C">
        <w:rPr>
          <w:rFonts w:cs="Arial"/>
          <w:szCs w:val="22"/>
        </w:rPr>
        <w:t>utiliser des savoirs traditionnels ou expressions culturelles traditionnelles dans leur cadre artistique normal, conformément à l</w:t>
      </w:r>
      <w:r w:rsidR="004D2AA1">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4D2AA1">
        <w:rPr>
          <w:rFonts w:cs="Arial"/>
          <w:szCs w:val="22"/>
        </w:rPr>
        <w:t>’</w:t>
      </w:r>
      <w:r w:rsidRPr="00E8642C">
        <w:rPr>
          <w:rFonts w:cs="Arial"/>
          <w:szCs w:val="22"/>
        </w:rPr>
        <w:t>exécution d</w:t>
      </w:r>
      <w:r w:rsidR="004D2AA1">
        <w:rPr>
          <w:rFonts w:cs="Arial"/>
          <w:szCs w:val="22"/>
        </w:rPr>
        <w:t>’</w:t>
      </w:r>
      <w:r w:rsidRPr="00E8642C">
        <w:rPr>
          <w:rFonts w:cs="Arial"/>
          <w:szCs w:val="22"/>
        </w:rPr>
        <w:t>une danse rituelle dans son contexte traditionnel,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son exécution dans le cadre réel de l</w:t>
      </w:r>
      <w:r w:rsidR="004D2AA1">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4D2AA1">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4D2AA1">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Contrats de licence</w:t>
      </w:r>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4D2AA1">
        <w:rPr>
          <w:rFonts w:cs="Arial"/>
          <w:iCs/>
          <w:szCs w:val="22"/>
        </w:rPr>
        <w:t>’</w:t>
      </w:r>
      <w:r w:rsidRPr="00E8642C">
        <w:rPr>
          <w:rFonts w:cs="Arial"/>
          <w:iCs/>
          <w:szCs w:val="22"/>
        </w:rPr>
        <w:t>utilisation qui peut être faite du matériel ou les droits que le fournisseur peut concéder concernant par exemple l</w:t>
      </w:r>
      <w:r w:rsidR="004D2AA1">
        <w:rPr>
          <w:rFonts w:cs="Arial"/>
          <w:iCs/>
          <w:szCs w:val="22"/>
        </w:rPr>
        <w:t>’</w:t>
      </w:r>
      <w:r w:rsidRPr="00E8642C">
        <w:rPr>
          <w:rFonts w:cs="Arial"/>
          <w:iCs/>
          <w:szCs w:val="22"/>
        </w:rPr>
        <w:t>utilisation des ressources génétiques en tant qu</w:t>
      </w:r>
      <w:r w:rsidR="004D2AA1">
        <w:rPr>
          <w:rFonts w:cs="Arial"/>
          <w:iCs/>
          <w:szCs w:val="22"/>
        </w:rPr>
        <w:t>’</w:t>
      </w:r>
      <w:r w:rsidRPr="00E8642C">
        <w:rPr>
          <w:rFonts w:cs="Arial"/>
          <w:iCs/>
          <w:szCs w:val="22"/>
        </w:rPr>
        <w:t>outils de recherche, l</w:t>
      </w:r>
      <w:r w:rsidR="004D2AA1">
        <w:rPr>
          <w:rFonts w:cs="Arial"/>
          <w:iCs/>
          <w:szCs w:val="22"/>
        </w:rPr>
        <w:t>’</w:t>
      </w:r>
      <w:r w:rsidRPr="00E8642C">
        <w:rPr>
          <w:rFonts w:cs="Arial"/>
          <w:iCs/>
          <w:szCs w:val="22"/>
        </w:rPr>
        <w:t>utilisation des savoirs traditionnels associés ou d</w:t>
      </w:r>
      <w:r w:rsidR="004D2AA1">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Convention de l</w:t>
      </w:r>
      <w:r w:rsidR="004D2AA1">
        <w:t>’</w:t>
      </w:r>
      <w:r w:rsidRPr="00E8642C">
        <w:t>UNESCO concernant les mesures à prendre pour interdire et empêcher l</w:t>
      </w:r>
      <w:r w:rsidR="004D2AA1">
        <w:t>’</w:t>
      </w:r>
      <w:r w:rsidRPr="00E8642C">
        <w:t>importation, l</w:t>
      </w:r>
      <w:r w:rsidR="004D2AA1">
        <w:t>’</w:t>
      </w:r>
      <w:r w:rsidRPr="00E8642C">
        <w:t>exportation et le transfert de propriété illicites des biens culturels</w:t>
      </w:r>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4D2AA1">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4D2AA1">
        <w:rPr>
          <w:rFonts w:cs="Arial"/>
          <w:szCs w:val="22"/>
        </w:rPr>
        <w:t>’</w:t>
      </w:r>
      <w:r w:rsidRPr="00E8642C">
        <w:rPr>
          <w:rFonts w:cs="Arial"/>
          <w:szCs w:val="22"/>
        </w:rPr>
        <w:t>ils prennent des mesures dans les trois principaux domaines d</w:t>
      </w:r>
      <w:r w:rsidR="004D2AA1">
        <w:rPr>
          <w:rFonts w:cs="Arial"/>
          <w:szCs w:val="22"/>
        </w:rPr>
        <w:t>’</w:t>
      </w:r>
      <w:r w:rsidRPr="00E8642C">
        <w:rPr>
          <w:rFonts w:cs="Arial"/>
          <w:szCs w:val="22"/>
        </w:rPr>
        <w:t>action ci</w:t>
      </w:r>
      <w:r w:rsidR="005A7440">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4D2AA1">
        <w:rPr>
          <w:rFonts w:cs="Arial"/>
          <w:szCs w:val="22"/>
        </w:rPr>
        <w:t> :</w:t>
      </w:r>
      <w:r w:rsidRPr="00E8642C">
        <w:rPr>
          <w:rFonts w:cs="Arial"/>
          <w:szCs w:val="22"/>
        </w:rPr>
        <w:t xml:space="preserve"> inventaires, certificats d</w:t>
      </w:r>
      <w:r w:rsidR="004D2AA1">
        <w:rPr>
          <w:rFonts w:cs="Arial"/>
          <w:szCs w:val="22"/>
        </w:rPr>
        <w:t>’</w:t>
      </w:r>
      <w:r w:rsidRPr="00E8642C">
        <w:rPr>
          <w:rFonts w:cs="Arial"/>
          <w:szCs w:val="22"/>
        </w:rPr>
        <w:t>exportation, contrôle des échanges commerciaux, application de sanctions pénales ou administratives, campagnes d</w:t>
      </w:r>
      <w:r w:rsidR="004D2AA1">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4D2AA1">
        <w:rPr>
          <w:rFonts w:cs="Arial"/>
          <w:szCs w:val="22"/>
        </w:rPr>
        <w:t> :</w:t>
      </w:r>
      <w:r w:rsidRPr="00E8642C">
        <w:rPr>
          <w:rFonts w:cs="Arial"/>
          <w:szCs w:val="22"/>
        </w:rPr>
        <w:t xml:space="preserve"> en vertu de l</w:t>
      </w:r>
      <w:r w:rsidR="004D2AA1">
        <w:rPr>
          <w:rFonts w:cs="Arial"/>
          <w:szCs w:val="22"/>
        </w:rPr>
        <w:t>’</w:t>
      </w:r>
      <w:r w:rsidRPr="00E8642C">
        <w:rPr>
          <w:rFonts w:cs="Arial"/>
          <w:szCs w:val="22"/>
        </w:rPr>
        <w:t>article 7.b).ii) de la convention, les États parties s</w:t>
      </w:r>
      <w:r w:rsidR="004D2AA1">
        <w:rPr>
          <w:rFonts w:cs="Arial"/>
          <w:szCs w:val="22"/>
        </w:rPr>
        <w:t>’</w:t>
      </w:r>
      <w:r w:rsidRPr="00E8642C">
        <w:rPr>
          <w:rFonts w:cs="Arial"/>
          <w:szCs w:val="22"/>
        </w:rPr>
        <w:t>engagent à prendre des mesures appropriées pour saisir et restituer à la requête de l</w:t>
      </w:r>
      <w:r w:rsidR="004D2AA1">
        <w:rPr>
          <w:rFonts w:cs="Arial"/>
          <w:szCs w:val="22"/>
        </w:rPr>
        <w:t>’</w:t>
      </w:r>
      <w:r w:rsidRPr="00E8642C">
        <w:rPr>
          <w:rFonts w:cs="Arial"/>
          <w:szCs w:val="22"/>
        </w:rPr>
        <w:t>État d</w:t>
      </w:r>
      <w:r w:rsidR="004D2AA1">
        <w:rPr>
          <w:rFonts w:cs="Arial"/>
          <w:szCs w:val="22"/>
        </w:rPr>
        <w:t>’</w:t>
      </w:r>
      <w:r w:rsidRPr="00E8642C">
        <w:rPr>
          <w:rFonts w:cs="Arial"/>
          <w:szCs w:val="22"/>
        </w:rPr>
        <w:t>origine partie à la convention tout bien culturel ainsi volé et importé après l</w:t>
      </w:r>
      <w:r w:rsidR="004D2AA1">
        <w:rPr>
          <w:rFonts w:cs="Arial"/>
          <w:szCs w:val="22"/>
        </w:rPr>
        <w:t>’</w:t>
      </w:r>
      <w:r w:rsidRPr="00E8642C">
        <w:rPr>
          <w:rFonts w:cs="Arial"/>
          <w:szCs w:val="22"/>
        </w:rPr>
        <w:t xml:space="preserve">entrée en vigueur de la convention </w:t>
      </w:r>
      <w:r w:rsidR="004D2AA1">
        <w:rPr>
          <w:rFonts w:cs="Arial"/>
          <w:szCs w:val="22"/>
        </w:rPr>
        <w:t>à l’égard</w:t>
      </w:r>
      <w:r w:rsidRPr="00E8642C">
        <w:rPr>
          <w:rFonts w:cs="Arial"/>
          <w:szCs w:val="22"/>
        </w:rPr>
        <w:t xml:space="preserve"> des deux États concernés, à condition que l</w:t>
      </w:r>
      <w:r w:rsidR="004D2AA1">
        <w:rPr>
          <w:rFonts w:cs="Arial"/>
          <w:szCs w:val="22"/>
        </w:rPr>
        <w:t>’</w:t>
      </w:r>
      <w:r w:rsidRPr="00E8642C">
        <w:rPr>
          <w:rFonts w:cs="Arial"/>
          <w:szCs w:val="22"/>
        </w:rPr>
        <w:t>État le requérant verse une indemnité équitable à la personne qui est acquéreur de 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3</w:t>
      </w:r>
      <w:r w:rsidR="00D050A0">
        <w:rPr>
          <w:rFonts w:cs="Arial"/>
          <w:szCs w:val="22"/>
        </w:rPr>
        <w:t>–</w:t>
      </w:r>
      <w:r w:rsidRPr="00E8642C">
        <w:rPr>
          <w:rFonts w:cs="Arial"/>
          <w:szCs w:val="22"/>
        </w:rPr>
        <w:t xml:space="preserve"> Cadre de coopération international</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4D2AA1">
        <w:rPr>
          <w:rFonts w:cs="Arial"/>
          <w:szCs w:val="22"/>
        </w:rPr>
        <w:t>’</w:t>
      </w:r>
      <w:r w:rsidRPr="00E8642C">
        <w:rPr>
          <w:rFonts w:cs="Arial"/>
          <w:szCs w:val="22"/>
        </w:rPr>
        <w:t>article 9 ouvre la voie à des mesures plus spécifiques telles que l</w:t>
      </w:r>
      <w:r w:rsidR="004D2AA1">
        <w:rPr>
          <w:rFonts w:cs="Arial"/>
          <w:szCs w:val="22"/>
        </w:rPr>
        <w:t>’</w:t>
      </w:r>
      <w:r w:rsidRPr="00E8642C">
        <w:rPr>
          <w:rFonts w:cs="Arial"/>
          <w:szCs w:val="22"/>
        </w:rPr>
        <w:t>appel au contrôle de l</w:t>
      </w:r>
      <w:r w:rsidR="004D2AA1">
        <w:rPr>
          <w:rFonts w:cs="Arial"/>
          <w:szCs w:val="22"/>
        </w:rPr>
        <w:t>’</w:t>
      </w:r>
      <w:r w:rsidRPr="00E8642C">
        <w:rPr>
          <w:rFonts w:cs="Arial"/>
          <w:szCs w:val="22"/>
        </w:rPr>
        <w:t>importation et de l</w:t>
      </w:r>
      <w:r w:rsidR="004D2AA1">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Convention de l</w:t>
      </w:r>
      <w:r w:rsidR="004D2AA1">
        <w:t>’</w:t>
      </w:r>
      <w:r w:rsidRPr="00E8642C">
        <w:t>UNESCO pour la sauvegarde du patrimoine culturel immatériel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4D2AA1">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Convention de l</w:t>
      </w:r>
      <w:r w:rsidR="004D2AA1">
        <w:t>’</w:t>
      </w:r>
      <w:r w:rsidRPr="00E8642C">
        <w:t>UNESCO sur la protection et la promotion de la diversité des expressions culturelles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est une convention internationale qui a été adoptée par l</w:t>
      </w:r>
      <w:r w:rsidR="004D2AA1">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4D2AA1">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4D2AA1">
        <w:rPr>
          <w:rFonts w:cs="Arial"/>
          <w:szCs w:val="22"/>
        </w:rPr>
        <w:t>’</w:t>
      </w:r>
      <w:r w:rsidRPr="00E8642C">
        <w:rPr>
          <w:rFonts w:cs="Arial"/>
          <w:szCs w:val="22"/>
        </w:rPr>
        <w:t>épanouir et interagir librement de manière à s</w:t>
      </w:r>
      <w:r w:rsidR="004D2AA1">
        <w:rPr>
          <w:rFonts w:cs="Arial"/>
          <w:szCs w:val="22"/>
        </w:rPr>
        <w:t>’</w:t>
      </w:r>
      <w:r w:rsidRPr="00E8642C">
        <w:rPr>
          <w:rFonts w:cs="Arial"/>
          <w:szCs w:val="22"/>
        </w:rPr>
        <w:t>enrichir mutuellement;  c) d</w:t>
      </w:r>
      <w:r w:rsidR="004D2AA1">
        <w:rPr>
          <w:rFonts w:cs="Arial"/>
          <w:szCs w:val="22"/>
        </w:rPr>
        <w:t>’</w:t>
      </w:r>
      <w:r w:rsidRPr="00E8642C">
        <w:rPr>
          <w:rFonts w:cs="Arial"/>
          <w:szCs w:val="22"/>
        </w:rPr>
        <w:t>encourager le dialogue entre les cultures afin d</w:t>
      </w:r>
      <w:r w:rsidR="004D2AA1">
        <w:rPr>
          <w:rFonts w:cs="Arial"/>
          <w:szCs w:val="22"/>
        </w:rPr>
        <w:t>’</w:t>
      </w:r>
      <w:r w:rsidRPr="00E8642C">
        <w:rPr>
          <w:rFonts w:cs="Arial"/>
          <w:szCs w:val="22"/>
        </w:rPr>
        <w:t>assurer des échanges culturels plus intenses et équilibrés dans le monde en faveur du respect interculturel et d</w:t>
      </w:r>
      <w:r w:rsidR="004D2AA1">
        <w:rPr>
          <w:rFonts w:cs="Arial"/>
          <w:szCs w:val="22"/>
        </w:rPr>
        <w:t>’</w:t>
      </w:r>
      <w:r w:rsidRPr="00E8642C">
        <w:rPr>
          <w:rFonts w:cs="Arial"/>
          <w:szCs w:val="22"/>
        </w:rPr>
        <w:t>une culture de la paix;  d) de stimuler l</w:t>
      </w:r>
      <w:r w:rsidR="004D2AA1">
        <w:rPr>
          <w:rFonts w:cs="Arial"/>
          <w:szCs w:val="22"/>
        </w:rPr>
        <w:t>’</w:t>
      </w:r>
      <w:r w:rsidRPr="00E8642C">
        <w:rPr>
          <w:rFonts w:cs="Arial"/>
          <w:szCs w:val="22"/>
        </w:rPr>
        <w:t>interculturalité afin de développer l</w:t>
      </w:r>
      <w:r w:rsidR="004D2AA1">
        <w:rPr>
          <w:rFonts w:cs="Arial"/>
          <w:szCs w:val="22"/>
        </w:rPr>
        <w:t>’</w:t>
      </w:r>
      <w:r w:rsidRPr="00E8642C">
        <w:rPr>
          <w:rFonts w:cs="Arial"/>
          <w:szCs w:val="22"/>
        </w:rPr>
        <w:t>interaction culturelle dans l</w:t>
      </w:r>
      <w:r w:rsidR="004D2AA1">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4D2AA1">
        <w:rPr>
          <w:rFonts w:cs="Arial"/>
          <w:szCs w:val="22"/>
        </w:rPr>
        <w:t>’</w:t>
      </w:r>
      <w:r w:rsidRPr="00E8642C">
        <w:rPr>
          <w:rFonts w:cs="Arial"/>
          <w:szCs w:val="22"/>
        </w:rPr>
        <w:t>importance du lien entre culture et développement pour tous les pays, en particulier les pays en développement, et d</w:t>
      </w:r>
      <w:r w:rsidR="004D2AA1">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4D2AA1">
        <w:rPr>
          <w:rFonts w:cs="Arial"/>
          <w:szCs w:val="22"/>
        </w:rPr>
        <w:t>’</w:t>
      </w:r>
      <w:r w:rsidRPr="00E8642C">
        <w:rPr>
          <w:rFonts w:cs="Arial"/>
          <w:szCs w:val="22"/>
        </w:rPr>
        <w:t>identité, de valeurs et de sens;  h) de réaffirmer le droit souverain des États de conserver, d</w:t>
      </w:r>
      <w:r w:rsidR="004D2AA1">
        <w:rPr>
          <w:rFonts w:cs="Arial"/>
          <w:szCs w:val="22"/>
        </w:rPr>
        <w:t>’</w:t>
      </w:r>
      <w:r w:rsidRPr="00E8642C">
        <w:rPr>
          <w:rFonts w:cs="Arial"/>
          <w:szCs w:val="22"/>
        </w:rPr>
        <w:t>adopter et de mettre en œuvre les politiques et mesures qu</w:t>
      </w:r>
      <w:r w:rsidR="004D2AA1">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4D2AA1">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Convention sur la diversité biologique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4D2AA1">
        <w:rPr>
          <w:rFonts w:cs="Arial"/>
          <w:szCs w:val="22"/>
        </w:rPr>
        <w:t>Nations Unies</w:t>
      </w:r>
      <w:r w:rsidRPr="00E8642C">
        <w:rPr>
          <w:rFonts w:cs="Arial"/>
          <w:szCs w:val="22"/>
        </w:rPr>
        <w:t xml:space="preserve"> sur l</w:t>
      </w:r>
      <w:r w:rsidR="004D2AA1">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4D2AA1">
        <w:rPr>
          <w:rFonts w:cs="Arial"/>
          <w:iCs/>
          <w:szCs w:val="22"/>
        </w:rPr>
        <w:t>’</w:t>
      </w:r>
      <w:r w:rsidRPr="00E8642C">
        <w:rPr>
          <w:rFonts w:cs="Arial"/>
          <w:iCs/>
          <w:szCs w:val="22"/>
        </w:rPr>
        <w:t>utilisation durable de ses éléments et le partage juste et équitable des avantages découlant de l</w:t>
      </w:r>
      <w:r w:rsidR="004D2AA1">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r w:rsidRPr="00E8642C">
        <w:t>Créations et innovations fondées sur les traditions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traditions sont constituées d</w:t>
      </w:r>
      <w:r w:rsidR="004D2AA1">
        <w:rPr>
          <w:rFonts w:cs="Arial"/>
          <w:szCs w:val="22"/>
        </w:rPr>
        <w:t>’</w:t>
      </w:r>
      <w:r w:rsidRPr="00E8642C">
        <w:rPr>
          <w:rFonts w:cs="Arial"/>
          <w:szCs w:val="22"/>
        </w:rPr>
        <w:t>une série de pratiques culturelles et d</w:t>
      </w:r>
      <w:r w:rsidR="004D2AA1">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4D2AA1">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4D2AA1">
        <w:rPr>
          <w:rFonts w:cs="Arial"/>
          <w:szCs w:val="22"/>
        </w:rPr>
        <w:t>’</w:t>
      </w:r>
      <w:r w:rsidRPr="00E8642C">
        <w:rPr>
          <w:rFonts w:cs="Arial"/>
          <w:szCs w:val="22"/>
        </w:rPr>
        <w:t>innovation fondée sur les traditions vise le cas où les traditions constituent une source d</w:t>
      </w:r>
      <w:r w:rsidR="004D2AA1">
        <w:rPr>
          <w:rFonts w:cs="Arial"/>
          <w:szCs w:val="22"/>
        </w:rPr>
        <w:t>’</w:t>
      </w:r>
      <w:r w:rsidRPr="00E8642C">
        <w:rPr>
          <w:rFonts w:cs="Arial"/>
          <w:szCs w:val="22"/>
        </w:rPr>
        <w:t>innovation pour les membres d</w:t>
      </w:r>
      <w:r w:rsidR="004D2AA1">
        <w:rPr>
          <w:rFonts w:cs="Arial"/>
          <w:szCs w:val="22"/>
        </w:rPr>
        <w:t>’</w:t>
      </w:r>
      <w:r w:rsidRPr="00E8642C">
        <w:rPr>
          <w:rFonts w:cs="Arial"/>
          <w:szCs w:val="22"/>
        </w:rPr>
        <w:t>une communauté culturelle donnée ou pour des personnes étrangères à cette communauté, et peut également mettre en évidence d</w:t>
      </w:r>
      <w:r w:rsidR="004D2AA1">
        <w:rPr>
          <w:rFonts w:cs="Arial"/>
          <w:szCs w:val="22"/>
        </w:rPr>
        <w:t>’</w:t>
      </w:r>
      <w:r w:rsidRPr="00E8642C">
        <w:rPr>
          <w:rFonts w:cs="Arial"/>
          <w:szCs w:val="22"/>
        </w:rPr>
        <w:t>autres utilisations des traditions qui sont pertinentes dans le cadre d</w:t>
      </w:r>
      <w:r w:rsidR="004D2AA1">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Cultures traditionnelles</w:t>
      </w:r>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Selon le Black</w:t>
      </w:r>
      <w:r w:rsidR="004D2AA1">
        <w:rPr>
          <w:rFonts w:cs="Arial"/>
          <w:szCs w:val="22"/>
        </w:rPr>
        <w:t>’</w:t>
      </w:r>
      <w:r w:rsidRPr="00E8642C">
        <w:rPr>
          <w:rFonts w:cs="Arial"/>
          <w:szCs w:val="22"/>
        </w:rPr>
        <w:t>s Law Dictionary,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4D2AA1">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 xml:space="preserve">Déclaration des </w:t>
      </w:r>
      <w:r w:rsidR="004D2AA1">
        <w:t>Nations Unies</w:t>
      </w:r>
      <w:r w:rsidRPr="00E8642C">
        <w:t xml:space="preserve"> sur les droits des peuples autochtones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Assemblée générale des </w:t>
      </w:r>
      <w:r w:rsidR="004D2AA1">
        <w:rPr>
          <w:rFonts w:cs="Arial"/>
          <w:szCs w:val="22"/>
        </w:rPr>
        <w:t>Nations Unies</w:t>
      </w:r>
      <w:r w:rsidRPr="00E8642C">
        <w:rPr>
          <w:rFonts w:cs="Arial"/>
          <w:szCs w:val="22"/>
        </w:rPr>
        <w:t xml:space="preserve"> a adopté la Déclaration </w:t>
      </w:r>
      <w:r w:rsidRPr="00E8642C">
        <w:rPr>
          <w:rFonts w:cs="Arial"/>
          <w:i/>
          <w:szCs w:val="22"/>
        </w:rPr>
        <w:t xml:space="preserve">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4D2AA1">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4D2AA1">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4D2AA1">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4D2AA1">
        <w:rPr>
          <w:rFonts w:cs="Arial"/>
          <w:iCs/>
          <w:szCs w:val="22"/>
        </w:rPr>
        <w:t>’</w:t>
      </w:r>
      <w:r w:rsidRPr="00E8642C">
        <w:rPr>
          <w:rFonts w:cs="Arial"/>
          <w:iCs/>
          <w:szCs w:val="22"/>
        </w:rPr>
        <w:t>exercice</w:t>
      </w:r>
      <w:r w:rsidRPr="00E8642C">
        <w:rPr>
          <w:rFonts w:cs="Arial"/>
          <w:szCs w:val="22"/>
        </w:rPr>
        <w:t>”.  En ce qui concerne la médecine traditionnelle, l</w:t>
      </w:r>
      <w:r w:rsidR="004D2AA1">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4D2AA1">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r w:rsidRPr="00E8642C">
        <w:t>Déclaration universelle des droits de l</w:t>
      </w:r>
      <w:r w:rsidR="004D2AA1">
        <w:t>’</w:t>
      </w:r>
      <w:r w:rsidRPr="00E8642C">
        <w:t>homme</w:t>
      </w:r>
    </w:p>
    <w:p w:rsidR="00DD607D" w:rsidRPr="00E8642C" w:rsidRDefault="00DD607D" w:rsidP="00C21AB4">
      <w:pPr>
        <w:rPr>
          <w:b/>
          <w:szCs w:val="22"/>
        </w:rPr>
      </w:pPr>
    </w:p>
    <w:p w:rsidR="00DD607D" w:rsidRPr="00E8642C" w:rsidRDefault="00DD607D" w:rsidP="00C21AB4">
      <w:r w:rsidRPr="00E8642C">
        <w:t>La Déclaration universelle des droits de l</w:t>
      </w:r>
      <w:r w:rsidR="004D2AA1">
        <w:t>’</w:t>
      </w:r>
      <w:r w:rsidRPr="00E8642C">
        <w:t>homme est un document majeur dans l</w:t>
      </w:r>
      <w:r w:rsidR="004D2AA1">
        <w:t>’</w:t>
      </w:r>
      <w:r w:rsidRPr="00E8642C">
        <w:t>histoire des droits de l</w:t>
      </w:r>
      <w:r w:rsidR="004D2AA1">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4D2AA1">
        <w:t>’</w:t>
      </w:r>
      <w:r w:rsidRPr="00E8642C">
        <w:t xml:space="preserve">Assemblée générale des </w:t>
      </w:r>
      <w:r w:rsidR="004D2AA1">
        <w:t>Nations Unies</w:t>
      </w:r>
      <w:r w:rsidRPr="00E8642C">
        <w:t xml:space="preserve"> à Paris le 10 décembre 1948 comme l</w:t>
      </w:r>
      <w:r w:rsidR="004D2AA1">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4D2AA1">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Dépositaire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“dépositaire” de la manière suivante</w:t>
      </w:r>
      <w:r w:rsidR="004D2AA1">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à des fins d</w:t>
      </w:r>
      <w:r w:rsidR="004D2AA1">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Oxford English Dictionary définit le terme “dépositaire” de la manière suivante</w:t>
      </w:r>
      <w:r w:rsidR="004D2AA1">
        <w:rPr>
          <w:rFonts w:cs="Arial"/>
          <w:szCs w:val="22"/>
        </w:rPr>
        <w:t> :</w:t>
      </w:r>
      <w:r w:rsidRPr="00E8642C">
        <w:rPr>
          <w:rFonts w:cs="Arial"/>
          <w:szCs w:val="22"/>
        </w:rPr>
        <w:t xml:space="preserve"> “toute personne ou organisation ayant la garde ou la responsabilité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un gardien”.  Le Merriam</w:t>
      </w:r>
      <w:r w:rsidR="005A7440">
        <w:rPr>
          <w:rFonts w:cs="Arial"/>
          <w:szCs w:val="22"/>
        </w:rPr>
        <w:noBreakHyphen/>
      </w:r>
      <w:r w:rsidRPr="00E8642C">
        <w:rPr>
          <w:rFonts w:cs="Arial"/>
          <w:szCs w:val="22"/>
        </w:rPr>
        <w:t>Webster</w:t>
      </w:r>
      <w:r w:rsidR="00D050A0">
        <w:rPr>
          <w:rFonts w:cs="Arial"/>
          <w:szCs w:val="22"/>
        </w:rPr>
        <w:t> </w:t>
      </w:r>
      <w:r w:rsidRPr="00E8642C">
        <w:rPr>
          <w:rFonts w:cs="Arial"/>
          <w:szCs w:val="22"/>
        </w:rPr>
        <w:t>Dictionary indique ce qui suit</w:t>
      </w:r>
      <w:r w:rsidR="004D2AA1">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r w:rsidRPr="00E8642C">
        <w:t>Dérivé</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4D2AA1">
        <w:rPr>
          <w:rFonts w:cs="Arial"/>
          <w:szCs w:val="22"/>
          <w:lang w:eastAsia="zh-CN"/>
        </w:rPr>
        <w:t> :</w:t>
      </w:r>
      <w:r w:rsidRPr="00E8642C">
        <w:rPr>
          <w:rFonts w:cs="Arial"/>
          <w:szCs w:val="22"/>
        </w:rPr>
        <w:t xml:space="preserve"> “tout composé biochimique qui existe à l</w:t>
      </w:r>
      <w:r w:rsidR="004D2AA1">
        <w:rPr>
          <w:rFonts w:cs="Arial"/>
          <w:szCs w:val="22"/>
        </w:rPr>
        <w:t>’</w:t>
      </w:r>
      <w:r w:rsidRPr="00E8642C">
        <w:rPr>
          <w:rFonts w:cs="Arial"/>
          <w:szCs w:val="22"/>
        </w:rPr>
        <w:t>état naturel résultant de l</w:t>
      </w:r>
      <w:r w:rsidR="004D2AA1">
        <w:rPr>
          <w:rFonts w:cs="Arial"/>
          <w:szCs w:val="22"/>
        </w:rPr>
        <w:t>’</w:t>
      </w:r>
      <w:r w:rsidRPr="00E8642C">
        <w:rPr>
          <w:rFonts w:cs="Arial"/>
          <w:szCs w:val="22"/>
        </w:rPr>
        <w:t>expression génétique ou du métabolisme de ressources biologiques ou génétiques, même s</w:t>
      </w:r>
      <w:r w:rsidR="004D2AA1">
        <w:rPr>
          <w:rFonts w:cs="Arial"/>
          <w:szCs w:val="22"/>
        </w:rPr>
        <w:t>’</w:t>
      </w:r>
      <w:r w:rsidRPr="00E8642C">
        <w:rPr>
          <w:rFonts w:cs="Arial"/>
          <w:szCs w:val="22"/>
        </w:rPr>
        <w:t>il ne contient pas d</w:t>
      </w:r>
      <w:r w:rsidR="004D2AA1">
        <w:rPr>
          <w:rFonts w:cs="Arial"/>
          <w:szCs w:val="22"/>
        </w:rPr>
        <w:t>’</w:t>
      </w:r>
      <w:r w:rsidRPr="00E8642C">
        <w:rPr>
          <w:rFonts w:cs="Arial"/>
          <w:szCs w:val="22"/>
        </w:rPr>
        <w:t>unités fonctionnelles d</w:t>
      </w:r>
      <w:r w:rsidR="004D2AA1">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r w:rsidRPr="00E8642C">
        <w:t>Détenteur</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“détenteur” de la manière suivante</w:t>
      </w:r>
      <w:r w:rsidR="004D2AA1">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4D2AA1">
        <w:rPr>
          <w:rFonts w:cs="Arial"/>
          <w:iCs/>
          <w:szCs w:val="22"/>
        </w:rPr>
        <w:t>’</w:t>
      </w:r>
      <w:r w:rsidRPr="00E8642C">
        <w:rPr>
          <w:rFonts w:cs="Arial"/>
          <w:iCs/>
          <w:szCs w:val="22"/>
        </w:rPr>
        <w:t>être rémunérée en échange de son utilisation</w:t>
      </w:r>
      <w:r w:rsidRPr="00E8642C">
        <w:rPr>
          <w:rFonts w:cs="Arial"/>
          <w:szCs w:val="22"/>
        </w:rPr>
        <w:t>”.  L</w:t>
      </w:r>
      <w:r w:rsidR="004D2AA1">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4D2AA1">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4D2AA1">
        <w:rPr>
          <w:rFonts w:cs="Arial"/>
          <w:szCs w:val="22"/>
        </w:rPr>
        <w:t>’</w:t>
      </w:r>
      <w:r w:rsidRPr="00E8642C">
        <w:rPr>
          <w:rFonts w:cs="Arial"/>
          <w:szCs w:val="22"/>
        </w:rPr>
        <w:t>une communauté, tel qu</w:t>
      </w:r>
      <w:r w:rsidR="004D2AA1">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Diligence requise</w:t>
      </w:r>
    </w:p>
    <w:p w:rsidR="00DD607D" w:rsidRPr="00E8642C" w:rsidRDefault="00DD607D" w:rsidP="00EF6794"/>
    <w:p w:rsidR="00DD607D" w:rsidRPr="00E8642C" w:rsidRDefault="00DD607D" w:rsidP="00EF6794">
      <w:r w:rsidRPr="00E8642C">
        <w:rPr>
          <w:color w:val="000000"/>
        </w:rPr>
        <w:t>Le Black</w:t>
      </w:r>
      <w:r w:rsidR="004D2AA1">
        <w:rPr>
          <w:color w:val="000000"/>
        </w:rPr>
        <w:t>’</w:t>
      </w:r>
      <w:r w:rsidRPr="00E8642C">
        <w:rPr>
          <w:color w:val="000000"/>
        </w:rPr>
        <w:t xml:space="preserve">s Law Dictionary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4D2AA1">
        <w:rPr>
          <w:color w:val="000000"/>
        </w:rPr>
        <w:t>’</w:t>
      </w:r>
      <w:r w:rsidRPr="00E8642C">
        <w:rPr>
          <w:color w:val="000000"/>
        </w:rPr>
        <w:t>une personne souhaitant respecter une exigence légale ou s</w:t>
      </w:r>
      <w:r w:rsidR="004D2AA1">
        <w:rPr>
          <w:color w:val="000000"/>
        </w:rPr>
        <w:t>’</w:t>
      </w:r>
      <w:r w:rsidRPr="00E8642C">
        <w:rPr>
          <w:color w:val="000000"/>
        </w:rPr>
        <w:t>acquitter d</w:t>
      </w:r>
      <w:r w:rsidR="004D2AA1">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Dispositions types OMPI</w:t>
      </w:r>
      <w:r w:rsidR="005A7440">
        <w:noBreakHyphen/>
      </w:r>
      <w:r w:rsidRPr="00E8642C">
        <w:t>UNESCO de législation nationale sur la protection des expressions du folklore contre leur exploitation illicite et autres actions dommageables</w:t>
      </w:r>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4D2AA1">
        <w:rPr>
          <w:rFonts w:cs="Arial"/>
          <w:snapToGrid w:val="0"/>
          <w:szCs w:val="22"/>
        </w:rPr>
        <w:t>’</w:t>
      </w:r>
      <w:r w:rsidRPr="00E8642C">
        <w:rPr>
          <w:rFonts w:cs="Arial"/>
          <w:snapToGrid w:val="0"/>
          <w:szCs w:val="22"/>
        </w:rPr>
        <w:t>experts gouvernementaux, réuni à l</w:t>
      </w:r>
      <w:r w:rsidR="004D2AA1">
        <w:rPr>
          <w:rFonts w:cs="Arial"/>
          <w:snapToGrid w:val="0"/>
          <w:szCs w:val="22"/>
        </w:rPr>
        <w:t>’</w:t>
      </w:r>
      <w:r w:rsidRPr="00E8642C">
        <w:rPr>
          <w:rFonts w:cs="Arial"/>
          <w:snapToGrid w:val="0"/>
          <w:szCs w:val="22"/>
        </w:rPr>
        <w:t>initiative commune de l</w:t>
      </w:r>
      <w:r w:rsidR="004D2AA1">
        <w:rPr>
          <w:rFonts w:cs="Arial"/>
          <w:snapToGrid w:val="0"/>
          <w:szCs w:val="22"/>
        </w:rPr>
        <w:t>’</w:t>
      </w:r>
      <w:r w:rsidRPr="00E8642C">
        <w:rPr>
          <w:rFonts w:cs="Arial"/>
          <w:snapToGrid w:val="0"/>
          <w:szCs w:val="22"/>
        </w:rPr>
        <w:t>OMPI et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4D2AA1">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4D2AA1">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4D2AA1">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4D2AA1">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4D2AA1">
        <w:rPr>
          <w:rFonts w:cs="Arial"/>
          <w:snapToGrid w:val="0"/>
          <w:szCs w:val="22"/>
        </w:rPr>
        <w:t>’</w:t>
      </w:r>
      <w:r w:rsidRPr="00E8642C">
        <w:rPr>
          <w:rFonts w:cs="Arial"/>
          <w:snapToGrid w:val="0"/>
          <w:szCs w:val="22"/>
        </w:rPr>
        <w:t>exploitation illicite et autres actions dommageables”.  En 2000 et 2001, l</w:t>
      </w:r>
      <w:r w:rsidR="004D2AA1">
        <w:rPr>
          <w:rFonts w:cs="Arial"/>
          <w:snapToGrid w:val="0"/>
          <w:szCs w:val="22"/>
        </w:rPr>
        <w:t>’</w:t>
      </w:r>
      <w:r w:rsidRPr="00E8642C">
        <w:rPr>
          <w:rFonts w:cs="Arial"/>
          <w:snapToGrid w:val="0"/>
          <w:szCs w:val="22"/>
        </w:rPr>
        <w:t>OMPI a mené une enquête sur l</w:t>
      </w:r>
      <w:r w:rsidR="004D2AA1">
        <w:rPr>
          <w:rFonts w:cs="Arial"/>
          <w:snapToGrid w:val="0"/>
          <w:szCs w:val="22"/>
        </w:rPr>
        <w:t>’</w:t>
      </w:r>
      <w:r w:rsidRPr="00E8642C">
        <w:rPr>
          <w:rFonts w:cs="Arial"/>
          <w:snapToGrid w:val="0"/>
          <w:szCs w:val="22"/>
        </w:rPr>
        <w:t>expérience acquise par les États concernant l</w:t>
      </w:r>
      <w:r w:rsidR="004D2AA1">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Diversité biologique</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4D2AA1">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4D2AA1">
        <w:rPr>
          <w:rFonts w:cs="Arial"/>
          <w:iCs/>
          <w:szCs w:val="22"/>
        </w:rPr>
        <w:t>y compris</w:t>
      </w:r>
      <w:r w:rsidRPr="00E8642C">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r w:rsidRPr="00E8642C">
        <w:t>Diversité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4D2AA1">
        <w:rPr>
          <w:rFonts w:cs="Arial"/>
          <w:szCs w:val="22"/>
        </w:rPr>
        <w:t>’</w:t>
      </w:r>
      <w:r w:rsidRPr="00E8642C">
        <w:rPr>
          <w:rFonts w:cs="Arial"/>
          <w:szCs w:val="22"/>
        </w:rPr>
        <w:t>un groupe ou d</w:t>
      </w:r>
      <w:r w:rsidR="004D2AA1">
        <w:rPr>
          <w:rFonts w:cs="Arial"/>
          <w:szCs w:val="22"/>
        </w:rPr>
        <w:t>’</w:t>
      </w:r>
      <w:r w:rsidRPr="00E8642C">
        <w:rPr>
          <w:rFonts w:cs="Arial"/>
          <w:szCs w:val="22"/>
        </w:rPr>
        <w:t>une société à l</w:t>
      </w:r>
      <w:r w:rsidR="004D2AA1">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Divulgation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Selon le Black</w:t>
      </w:r>
      <w:r w:rsidR="004D2AA1">
        <w:rPr>
          <w:rFonts w:cs="Arial"/>
          <w:szCs w:val="22"/>
        </w:rPr>
        <w:t>’</w:t>
      </w:r>
      <w:r w:rsidRPr="00E8642C">
        <w:rPr>
          <w:rFonts w:cs="Arial"/>
          <w:szCs w:val="22"/>
        </w:rPr>
        <w:t>s Law Dictionary,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4D2AA1">
        <w:rPr>
          <w:rFonts w:cs="Arial"/>
          <w:szCs w:val="22"/>
        </w:rPr>
        <w:t>’</w:t>
      </w:r>
      <w:r w:rsidRPr="00E8642C">
        <w:rPr>
          <w:rFonts w:cs="Arial"/>
          <w:szCs w:val="22"/>
        </w:rPr>
        <w:t>auteur, la “divulgation” peut s</w:t>
      </w:r>
      <w:r w:rsidR="004D2AA1">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4D2AA1">
        <w:rPr>
          <w:rFonts w:cs="Arial"/>
          <w:szCs w:val="22"/>
        </w:rPr>
        <w:t>’</w:t>
      </w:r>
      <w:r w:rsidRPr="00E8642C">
        <w:rPr>
          <w:rFonts w:cs="Arial"/>
          <w:szCs w:val="22"/>
        </w:rPr>
        <w:t>une œuvre est l</w:t>
      </w:r>
      <w:r w:rsidR="004D2AA1">
        <w:rPr>
          <w:rFonts w:cs="Arial"/>
          <w:szCs w:val="22"/>
        </w:rPr>
        <w:t>’</w:t>
      </w:r>
      <w:r w:rsidRPr="00E8642C">
        <w:rPr>
          <w:rFonts w:cs="Arial"/>
          <w:szCs w:val="22"/>
        </w:rPr>
        <w:t>une – mais pas la seule – forme possible de divulgation puisque les œuvres peuvent aussi être divulguées par l</w:t>
      </w:r>
      <w:r w:rsidR="004D2AA1">
        <w:rPr>
          <w:rFonts w:cs="Arial"/>
          <w:szCs w:val="22"/>
        </w:rPr>
        <w:t>’</w:t>
      </w:r>
      <w:r w:rsidRPr="00E8642C">
        <w:rPr>
          <w:rFonts w:cs="Arial"/>
          <w:szCs w:val="22"/>
        </w:rPr>
        <w:t>intermédiaire d</w:t>
      </w:r>
      <w:r w:rsidR="004D2AA1">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4D2AA1">
        <w:rPr>
          <w:rFonts w:cs="Arial"/>
          <w:szCs w:val="22"/>
        </w:rPr>
        <w:t>’</w:t>
      </w:r>
      <w:r w:rsidRPr="00E8642C">
        <w:rPr>
          <w:rFonts w:cs="Arial"/>
          <w:szCs w:val="22"/>
        </w:rPr>
        <w:t>un tel droit ne constitue pas une obligation en vertu des normes internationales sur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œuvres publiquement divulguées dans le cadre d</w:t>
      </w:r>
      <w:r w:rsidR="004D2AA1">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Documentation minimale du PCT</w:t>
      </w:r>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4D2AA1">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[d]ocuments dans lesquels l</w:t>
      </w:r>
      <w:r w:rsidR="004D2AA1">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4D2AA1">
        <w:rPr>
          <w:rFonts w:cs="Arial"/>
          <w:iCs/>
          <w:szCs w:val="22"/>
          <w:lang w:eastAsia="en-US" w:bidi="th-TH"/>
        </w:rPr>
        <w:t>’</w:t>
      </w:r>
      <w:r w:rsidRPr="00E8642C">
        <w:rPr>
          <w:rFonts w:cs="Arial"/>
          <w:iCs/>
          <w:szCs w:val="22"/>
          <w:lang w:eastAsia="en-US" w:bidi="th-TH"/>
        </w:rPr>
        <w:t>état de la technique pertinent”.  Cette documentation s</w:t>
      </w:r>
      <w:r w:rsidR="004D2AA1">
        <w:rPr>
          <w:rFonts w:cs="Arial"/>
          <w:iCs/>
          <w:szCs w:val="22"/>
          <w:lang w:eastAsia="en-US" w:bidi="th-TH"/>
        </w:rPr>
        <w:t>’</w:t>
      </w:r>
      <w:r w:rsidRPr="00E8642C">
        <w:rPr>
          <w:rFonts w:cs="Arial"/>
          <w:iCs/>
          <w:szCs w:val="22"/>
          <w:lang w:eastAsia="en-US" w:bidi="th-TH"/>
        </w:rPr>
        <w:t>applique également aux administrations chargées de l</w:t>
      </w:r>
      <w:r w:rsidR="004D2AA1">
        <w:rPr>
          <w:rFonts w:cs="Arial"/>
          <w:iCs/>
          <w:szCs w:val="22"/>
          <w:lang w:eastAsia="en-US" w:bidi="th-TH"/>
        </w:rPr>
        <w:t>’</w:t>
      </w:r>
      <w:r w:rsidRPr="00E8642C">
        <w:rPr>
          <w:rFonts w:cs="Arial"/>
          <w:iCs/>
          <w:szCs w:val="22"/>
          <w:lang w:eastAsia="en-US" w:bidi="th-TH"/>
        </w:rPr>
        <w:t>examen préliminaire international aux fins de l</w:t>
      </w:r>
      <w:r w:rsidR="004D2AA1">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4D2AA1">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4D2AA1">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4D2AA1">
        <w:rPr>
          <w:rFonts w:cs="Arial"/>
          <w:iCs/>
          <w:szCs w:val="22"/>
        </w:rPr>
        <w:t>’</w:t>
      </w:r>
      <w:r w:rsidRPr="00E8642C">
        <w:rPr>
          <w:rFonts w:cs="Arial"/>
          <w:iCs/>
          <w:szCs w:val="22"/>
        </w:rPr>
        <w:t>essentiel, des documents de brevet de différents pays, complétés par des articles extraits de revues et d</w:t>
      </w:r>
      <w:r w:rsidR="004D2AA1">
        <w:rPr>
          <w:rFonts w:cs="Arial"/>
          <w:iCs/>
          <w:szCs w:val="22"/>
        </w:rPr>
        <w:t>’</w:t>
      </w:r>
      <w:r w:rsidRPr="00E8642C">
        <w:rPr>
          <w:rFonts w:cs="Arial"/>
          <w:iCs/>
          <w:szCs w:val="22"/>
        </w:rPr>
        <w:t>autres éléments de la littérature non</w:t>
      </w:r>
      <w:r w:rsidR="005A7440">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5A7440">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r w:rsidR="004D2AA1">
        <w:rPr>
          <w:rFonts w:cs="Arial"/>
          <w:szCs w:val="22"/>
          <w:lang w:eastAsia="zh-CN"/>
        </w:rPr>
        <w:t>’</w:t>
      </w:r>
      <w:r w:rsidRPr="00E8642C">
        <w:rPr>
          <w:rFonts w:cs="Arial"/>
          <w:i/>
          <w:iCs/>
          <w:szCs w:val="22"/>
          <w:lang w:eastAsia="zh-CN"/>
        </w:rPr>
        <w:t xml:space="preserve">Indian Journal of Traditional Knowledge </w:t>
      </w:r>
      <w:r w:rsidRPr="00E8642C">
        <w:rPr>
          <w:rFonts w:cs="Arial"/>
          <w:szCs w:val="22"/>
          <w:lang w:eastAsia="zh-CN"/>
        </w:rPr>
        <w:t>et le</w:t>
      </w:r>
      <w:r w:rsidRPr="00E8642C">
        <w:rPr>
          <w:rFonts w:cs="Arial"/>
          <w:i/>
          <w:iCs/>
          <w:szCs w:val="22"/>
          <w:lang w:eastAsia="zh-CN"/>
        </w:rPr>
        <w:t xml:space="preserve"> Korean Journal of Traditional Knowledge</w:t>
      </w:r>
      <w:r w:rsidRPr="00E8642C">
        <w:rPr>
          <w:rFonts w:cs="Arial"/>
          <w:szCs w:val="22"/>
          <w:lang w:eastAsia="zh-CN"/>
        </w:rPr>
        <w:t xml:space="preserve"> sont indiqués comme de la littérature non</w:t>
      </w:r>
      <w:r w:rsidR="005A7440">
        <w:rPr>
          <w:rFonts w:cs="Arial"/>
          <w:szCs w:val="22"/>
          <w:lang w:eastAsia="zh-CN"/>
        </w:rPr>
        <w:noBreakHyphen/>
      </w:r>
      <w:r w:rsidRPr="00E8642C">
        <w:rPr>
          <w:rFonts w:cs="Arial"/>
          <w:szCs w:val="22"/>
          <w:lang w:eastAsia="zh-CN"/>
        </w:rPr>
        <w:t>brevet dans la liste de périodiques à utiliser pour la recherche et l</w:t>
      </w:r>
      <w:r w:rsidR="004D2AA1">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Domaine public</w:t>
      </w:r>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4D2AA1">
        <w:rPr>
          <w:rFonts w:cs="Arial"/>
          <w:szCs w:val="22"/>
        </w:rPr>
        <w:t>’</w:t>
      </w:r>
      <w:r w:rsidRPr="00E8642C">
        <w:rPr>
          <w:rFonts w:cs="Arial"/>
          <w:szCs w:val="22"/>
        </w:rPr>
        <w:t>il n</w:t>
      </w:r>
      <w:r w:rsidR="004D2AA1">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Black</w:t>
      </w:r>
      <w:r w:rsidR="004D2AA1">
        <w:rPr>
          <w:rFonts w:cs="Arial"/>
          <w:szCs w:val="22"/>
        </w:rPr>
        <w:t>’</w:t>
      </w:r>
      <w:r w:rsidRPr="00E8642C">
        <w:rPr>
          <w:rFonts w:cs="Arial"/>
          <w:szCs w:val="22"/>
        </w:rPr>
        <w:t>s Law Dictionary définit le domaine public comme “</w:t>
      </w:r>
      <w:r w:rsidRPr="00E8642C">
        <w:rPr>
          <w:rFonts w:cs="Arial"/>
          <w:iCs/>
          <w:szCs w:val="22"/>
        </w:rPr>
        <w:t>[l]</w:t>
      </w:r>
      <w:r w:rsidR="004D2AA1">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4D2AA1">
        <w:rPr>
          <w:rFonts w:cs="Arial"/>
          <w:iCs/>
          <w:szCs w:val="22"/>
        </w:rPr>
        <w:t>’</w:t>
      </w:r>
      <w:r w:rsidRPr="00E8642C">
        <w:rPr>
          <w:rFonts w:cs="Arial"/>
          <w:iCs/>
          <w:szCs w:val="22"/>
        </w:rPr>
        <w:t>expiration ou à la déchéance du droit d</w:t>
      </w:r>
      <w:r w:rsidR="004D2AA1">
        <w:rPr>
          <w:rFonts w:cs="Arial"/>
          <w:iCs/>
          <w:szCs w:val="22"/>
        </w:rPr>
        <w:t>’</w:t>
      </w:r>
      <w:r w:rsidRPr="00E8642C">
        <w:rPr>
          <w:rFonts w:cs="Arial"/>
          <w:iCs/>
          <w:szCs w:val="22"/>
        </w:rPr>
        <w:t>auteur, du droit sur les marques, du droit de brevet ou du secret commercial, les objets de propriété intellectuelle qu</w:t>
      </w:r>
      <w:r w:rsidR="004D2AA1">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4D2AA1">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4D2AA1">
        <w:rPr>
          <w:rFonts w:cs="Arial"/>
          <w:iCs/>
          <w:szCs w:val="22"/>
        </w:rPr>
        <w:t>’</w:t>
      </w:r>
      <w:r w:rsidRPr="00E8642C">
        <w:rPr>
          <w:rFonts w:cs="Arial"/>
          <w:iCs/>
          <w:szCs w:val="22"/>
        </w:rPr>
        <w:t>agit n</w:t>
      </w:r>
      <w:r w:rsidR="004D2AA1">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4D2AA1">
        <w:rPr>
          <w:rFonts w:cs="Arial"/>
          <w:iCs/>
          <w:szCs w:val="22"/>
        </w:rPr>
        <w:t>’</w:t>
      </w:r>
      <w:r w:rsidRPr="00E8642C">
        <w:rPr>
          <w:rFonts w:cs="Arial"/>
          <w:iCs/>
          <w:szCs w:val="22"/>
        </w:rPr>
        <w:t>auteur et des droits connexes concernés et sans qu</w:t>
      </w:r>
      <w:r w:rsidR="004D2AA1">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4D2AA1">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4D2AA1">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4D2AA1">
        <w:rPr>
          <w:rFonts w:cs="Arial"/>
          <w:szCs w:val="22"/>
        </w:rPr>
        <w:t>’</w:t>
      </w:r>
      <w:r w:rsidRPr="00E8642C">
        <w:rPr>
          <w:rFonts w:cs="Arial"/>
          <w:szCs w:val="22"/>
        </w:rPr>
        <w:t>elles ne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aucune restriction d</w:t>
      </w:r>
      <w:r w:rsidR="004D2AA1">
        <w:rPr>
          <w:rFonts w:cs="Arial"/>
          <w:szCs w:val="22"/>
        </w:rPr>
        <w:t>’</w:t>
      </w:r>
      <w:r w:rsidRPr="00E8642C">
        <w:rPr>
          <w:rFonts w:cs="Arial"/>
          <w:szCs w:val="22"/>
        </w:rPr>
        <w:t>utilisation légale (à cet égard, les législations varient, donnant naissance à des domaines publics différents), à l</w:t>
      </w:r>
      <w:r w:rsidR="004D2AA1">
        <w:rPr>
          <w:rFonts w:cs="Arial"/>
          <w:szCs w:val="22"/>
        </w:rPr>
        <w:t>’</w:t>
      </w:r>
      <w:r w:rsidRPr="00E8642C">
        <w:rPr>
          <w:rFonts w:cs="Arial"/>
          <w:szCs w:val="22"/>
        </w:rPr>
        <w:t>expiration des brevets (généralement, après une période de 20 ans), par suite d</w:t>
      </w:r>
      <w:r w:rsidR="004D2AA1">
        <w:rPr>
          <w:rFonts w:cs="Arial"/>
          <w:szCs w:val="22"/>
        </w:rPr>
        <w:t>’</w:t>
      </w:r>
      <w:r w:rsidRPr="00E8642C">
        <w:rPr>
          <w:rFonts w:cs="Arial"/>
          <w:szCs w:val="22"/>
        </w:rPr>
        <w:t>un non</w:t>
      </w:r>
      <w:r w:rsidR="005A7440">
        <w:rPr>
          <w:rFonts w:cs="Arial"/>
          <w:szCs w:val="22"/>
        </w:rPr>
        <w:noBreakHyphen/>
      </w:r>
      <w:r w:rsidRPr="00E8642C">
        <w:rPr>
          <w:rFonts w:cs="Arial"/>
          <w:szCs w:val="22"/>
        </w:rPr>
        <w:t>renouvellement, d</w:t>
      </w:r>
      <w:r w:rsidR="004D2AA1">
        <w:rPr>
          <w:rFonts w:cs="Arial"/>
          <w:szCs w:val="22"/>
        </w:rPr>
        <w:t>’</w:t>
      </w:r>
      <w:r w:rsidRPr="00E8642C">
        <w:rPr>
          <w:rFonts w:cs="Arial"/>
          <w:szCs w:val="22"/>
        </w:rPr>
        <w:t>une révocation ou d</w:t>
      </w:r>
      <w:r w:rsidR="004D2AA1">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4D2AA1">
        <w:rPr>
          <w:rFonts w:cs="Arial"/>
          <w:szCs w:val="22"/>
        </w:rPr>
        <w:t>’</w:t>
      </w:r>
      <w:r w:rsidRPr="00E8642C">
        <w:rPr>
          <w:rFonts w:cs="Arial"/>
          <w:szCs w:val="22"/>
        </w:rPr>
        <w:t>objet de discussions intensives au sein de plusieurs instances, en particulier à l</w:t>
      </w:r>
      <w:r w:rsidR="004D2AA1">
        <w:rPr>
          <w:rFonts w:cs="Arial"/>
          <w:szCs w:val="22"/>
        </w:rPr>
        <w:t>’</w:t>
      </w:r>
      <w:r w:rsidRPr="00E8642C">
        <w:rPr>
          <w:rFonts w:cs="Arial"/>
          <w:szCs w:val="22"/>
        </w:rPr>
        <w:t>OMPI dans le cadre de l</w:t>
      </w:r>
      <w:r w:rsidR="004D2AA1">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4D2AA1">
        <w:rPr>
          <w:rFonts w:cs="Arial"/>
          <w:szCs w:val="22"/>
        </w:rPr>
        <w:t>‘</w:t>
      </w:r>
      <w:r w:rsidRPr="00E8642C">
        <w:rPr>
          <w:rFonts w:cs="Arial"/>
          <w:szCs w:val="22"/>
        </w:rPr>
        <w:t>domaine public</w:t>
      </w:r>
      <w:r w:rsidR="004D2AA1">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Droit et protocoles coutumiers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Le Black</w:t>
      </w:r>
      <w:r w:rsidR="004D2AA1">
        <w:rPr>
          <w:rFonts w:cs="Arial"/>
        </w:rPr>
        <w:t>’</w:t>
      </w:r>
      <w:r w:rsidRPr="00E8642C">
        <w:rPr>
          <w:rFonts w:cs="Arial"/>
        </w:rPr>
        <w:t>s Law Dictionary définit le “droit coutumier” de la manière suivante</w:t>
      </w:r>
      <w:r w:rsidR="004D2AA1">
        <w:rPr>
          <w:rFonts w:cs="Arial"/>
        </w:rPr>
        <w:t> :</w:t>
      </w:r>
      <w:r w:rsidRPr="00E8642C">
        <w:rPr>
          <w:rFonts w:cs="Arial"/>
        </w:rPr>
        <w:t xml:space="preserve"> “[e]nsemble d</w:t>
      </w:r>
      <w:r w:rsidR="004D2AA1">
        <w:rPr>
          <w:rFonts w:cs="Arial"/>
        </w:rPr>
        <w:t>’</w:t>
      </w:r>
      <w:r w:rsidRPr="00E8642C">
        <w:rPr>
          <w:rFonts w:cs="Arial"/>
        </w:rPr>
        <w:t>usages acceptés comme des obligations légales ou des règles de conduite obligatoires;  pratiques et croyances qui sont vitales et font partie intégrante du système social et économique à tel point qu</w:t>
      </w:r>
      <w:r w:rsidR="004D2AA1">
        <w:rPr>
          <w:rFonts w:cs="Arial"/>
        </w:rPr>
        <w:t>’</w:t>
      </w:r>
      <w:r w:rsidRPr="00E8642C">
        <w:rPr>
          <w:rFonts w:cs="Arial"/>
        </w:rPr>
        <w:t xml:space="preserve">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4D2AA1">
        <w:rPr>
          <w:rFonts w:cs="Arial"/>
          <w:szCs w:val="22"/>
        </w:rPr>
        <w:t>’</w:t>
      </w:r>
      <w:r w:rsidRPr="00E8642C">
        <w:rPr>
          <w:rFonts w:cs="Arial"/>
          <w:szCs w:val="22"/>
        </w:rPr>
        <w:t>ils sont considérés par la communauté comme ayant un effet contraignant, ou s</w:t>
      </w:r>
      <w:r w:rsidR="004D2AA1">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4D2AA1">
        <w:rPr>
          <w:rFonts w:cs="Arial"/>
          <w:szCs w:val="22"/>
        </w:rPr>
        <w:t> :</w:t>
      </w:r>
      <w:r w:rsidRPr="00E8642C">
        <w:rPr>
          <w:rFonts w:cs="Arial"/>
          <w:szCs w:val="22"/>
        </w:rPr>
        <w:t xml:space="preserve"> utilisation des ressources naturelles et accès à celles</w:t>
      </w:r>
      <w:r w:rsidR="005A7440">
        <w:rPr>
          <w:rFonts w:cs="Arial"/>
          <w:szCs w:val="22"/>
        </w:rPr>
        <w:noBreakHyphen/>
      </w:r>
      <w:r w:rsidRPr="00E8642C">
        <w:rPr>
          <w:rFonts w:cs="Arial"/>
          <w:szCs w:val="22"/>
        </w:rPr>
        <w:t>ci;  droits et obligations en matière foncière, d</w:t>
      </w:r>
      <w:r w:rsidR="004D2AA1">
        <w:rPr>
          <w:rFonts w:cs="Arial"/>
          <w:szCs w:val="22"/>
        </w:rPr>
        <w:t>’</w:t>
      </w:r>
      <w:r w:rsidRPr="00E8642C">
        <w:rPr>
          <w:rFonts w:cs="Arial"/>
          <w:szCs w:val="22"/>
        </w:rPr>
        <w:t>héritage et de propriété;  conduite de la vie spirituelle;  entretien du patrimoine culturel et des systèmes de connaissances;  et bien d</w:t>
      </w:r>
      <w:r w:rsidR="004D2AA1">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4D2AA1">
        <w:rPr>
          <w:rFonts w:cs="Arial"/>
          <w:szCs w:val="22"/>
        </w:rPr>
        <w:t>’</w:t>
      </w:r>
      <w:r w:rsidRPr="00E8642C">
        <w:rPr>
          <w:rFonts w:cs="Arial"/>
          <w:szCs w:val="22"/>
        </w:rPr>
        <w:t>un groupe ethnique à l</w:t>
      </w:r>
      <w:r w:rsidR="004D2AA1">
        <w:rPr>
          <w:rFonts w:cs="Arial"/>
          <w:szCs w:val="22"/>
        </w:rPr>
        <w:t>’</w:t>
      </w:r>
      <w:r w:rsidRPr="00E8642C">
        <w:rPr>
          <w:rFonts w:cs="Arial"/>
          <w:szCs w:val="22"/>
        </w:rPr>
        <w:t>autre s</w:t>
      </w:r>
      <w:r w:rsidR="004D2AA1">
        <w:rPr>
          <w:rFonts w:cs="Arial"/>
          <w:szCs w:val="22"/>
        </w:rPr>
        <w:t>’</w:t>
      </w:r>
      <w:r w:rsidRPr="00E8642C">
        <w:rPr>
          <w:rFonts w:cs="Arial"/>
          <w:szCs w:val="22"/>
        </w:rPr>
        <w:t>expliquent par différents facteurs tels que la langue, la proximité, l</w:t>
      </w:r>
      <w:r w:rsidR="004D2AA1">
        <w:rPr>
          <w:rFonts w:cs="Arial"/>
          <w:szCs w:val="22"/>
        </w:rPr>
        <w:t>’</w:t>
      </w:r>
      <w:r w:rsidRPr="00E8642C">
        <w:rPr>
          <w:rFonts w:cs="Arial"/>
          <w:szCs w:val="22"/>
        </w:rPr>
        <w:t>origine, l</w:t>
      </w:r>
      <w:r w:rsidR="004D2AA1">
        <w:rPr>
          <w:rFonts w:cs="Arial"/>
          <w:szCs w:val="22"/>
        </w:rPr>
        <w:t>’</w:t>
      </w:r>
      <w:r w:rsidRPr="00E8642C">
        <w:rPr>
          <w:rFonts w:cs="Arial"/>
          <w:szCs w:val="22"/>
        </w:rPr>
        <w:t>histoire, la structure sociale et l</w:t>
      </w:r>
      <w:r w:rsidR="004D2AA1">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4D2AA1">
        <w:rPr>
          <w:rFonts w:cs="Arial"/>
          <w:szCs w:val="22"/>
        </w:rPr>
        <w:t>’</w:t>
      </w:r>
      <w:r w:rsidRPr="00E8642C">
        <w:rPr>
          <w:rFonts w:cs="Arial"/>
          <w:szCs w:val="22"/>
        </w:rPr>
        <w:t>est pas statique mais dynamique;  ses règles changent de temps à autre pour tenir compte de l</w:t>
      </w:r>
      <w:r w:rsidR="004D2AA1">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4D2AA1">
        <w:rPr>
          <w:rFonts w:cs="Arial"/>
          <w:szCs w:val="22"/>
        </w:rPr>
        <w:t>’</w:t>
      </w:r>
      <w:r w:rsidRPr="00E8642C">
        <w:rPr>
          <w:rFonts w:cs="Arial"/>
          <w:szCs w:val="22"/>
        </w:rPr>
        <w:t>IGC renvoient au droit et aux protocoles coutumiers et certains indiquent que ceux</w:t>
      </w:r>
      <w:r w:rsidR="005A7440">
        <w:rPr>
          <w:rFonts w:cs="Arial"/>
          <w:szCs w:val="22"/>
        </w:rPr>
        <w:noBreakHyphen/>
      </w:r>
      <w:r w:rsidRPr="00E8642C">
        <w:rPr>
          <w:rFonts w:cs="Arial"/>
          <w:szCs w:val="22"/>
        </w:rPr>
        <w:t>ci devraient être pris en considération dans l</w:t>
      </w:r>
      <w:r w:rsidR="004D2AA1">
        <w:rPr>
          <w:rFonts w:cs="Arial"/>
          <w:szCs w:val="22"/>
        </w:rPr>
        <w:t>’</w:t>
      </w:r>
      <w:r w:rsidRPr="00E8642C">
        <w:rPr>
          <w:rFonts w:cs="Arial"/>
          <w:szCs w:val="22"/>
        </w:rPr>
        <w:t>élaboration d</w:t>
      </w:r>
      <w:r w:rsidR="004D2AA1">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r w:rsidRPr="00E8642C">
        <w:t>Droits des agriculteurs</w:t>
      </w:r>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9.1 du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4D2AA1">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4D2AA1">
        <w:rPr>
          <w:rFonts w:cs="Arial"/>
          <w:iCs/>
          <w:szCs w:val="22"/>
        </w:rPr>
        <w:t>’</w:t>
      </w:r>
      <w:r w:rsidRPr="00E8642C">
        <w:rPr>
          <w:rFonts w:cs="Arial"/>
          <w:iCs/>
          <w:szCs w:val="22"/>
        </w:rPr>
        <w:t>origine et de diversité des plantes cultivées, ont apportée et continueront d</w:t>
      </w:r>
      <w:r w:rsidR="004D2AA1">
        <w:rPr>
          <w:rFonts w:cs="Arial"/>
          <w:iCs/>
          <w:szCs w:val="22"/>
        </w:rPr>
        <w:t>’</w:t>
      </w:r>
      <w:r w:rsidRPr="00E8642C">
        <w:rPr>
          <w:rFonts w:cs="Arial"/>
          <w:iCs/>
          <w:szCs w:val="22"/>
        </w:rPr>
        <w:t>apporter à la conservation et à la mise en valeur des ressources phytogénétiques qui constituent la base de la production alimentaire et agricole dans le monde entier</w:t>
      </w:r>
      <w:r w:rsidRPr="00E8642C">
        <w:rPr>
          <w:rFonts w:cs="Arial"/>
          <w:szCs w:val="22"/>
        </w:rPr>
        <w:t>”.  L</w:t>
      </w:r>
      <w:r w:rsidR="004D2AA1">
        <w:rPr>
          <w:rFonts w:cs="Arial"/>
          <w:szCs w:val="22"/>
        </w:rPr>
        <w:t>’</w:t>
      </w:r>
      <w:r w:rsidRPr="00E8642C">
        <w:rPr>
          <w:rFonts w:cs="Arial"/>
          <w:szCs w:val="22"/>
        </w:rPr>
        <w:t>article 9.2 définit les “droits des agriculteurs” de la manière suivante</w:t>
      </w:r>
      <w:r w:rsidR="004D2AA1">
        <w:rPr>
          <w:rFonts w:cs="Arial"/>
          <w:szCs w:val="22"/>
        </w:rPr>
        <w:t> :</w:t>
      </w:r>
      <w:r w:rsidRPr="00E8642C">
        <w:rPr>
          <w:rFonts w:cs="Arial"/>
          <w:szCs w:val="22"/>
        </w:rPr>
        <w:t xml:space="preserve"> “</w:t>
      </w:r>
      <w:r w:rsidRPr="00E8642C">
        <w:rPr>
          <w:rFonts w:cs="Arial"/>
          <w:iCs/>
          <w:szCs w:val="22"/>
        </w:rPr>
        <w:t>a) la protection des connaissances traditionnelles présentant un intérêt pour les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b) le droit de participer équitablement au partage des avantages découlant de l</w:t>
      </w:r>
      <w:r w:rsidR="004D2AA1">
        <w:rPr>
          <w:rFonts w:cs="Arial"/>
          <w:iCs/>
          <w:szCs w:val="22"/>
        </w:rPr>
        <w:t>’</w:t>
      </w:r>
      <w:r w:rsidRPr="00E8642C">
        <w:rPr>
          <w:rFonts w:cs="Arial"/>
          <w:iCs/>
          <w:szCs w:val="22"/>
        </w:rPr>
        <w:t>utilisation des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c) le droit de participer à la prise de décisions, au niveau national, sur les questions relatives à la conservation et à l</w:t>
      </w:r>
      <w:r w:rsidR="004D2AA1">
        <w:rPr>
          <w:rFonts w:cs="Arial"/>
          <w:iCs/>
          <w:szCs w:val="22"/>
        </w:rPr>
        <w:t>’</w:t>
      </w:r>
      <w:r w:rsidRPr="00E8642C">
        <w:rPr>
          <w:rFonts w:cs="Arial"/>
          <w:iCs/>
          <w:szCs w:val="22"/>
        </w:rPr>
        <w:t>utilisation durable des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w:t>
      </w:r>
      <w:r w:rsidRPr="00E8642C">
        <w:rPr>
          <w:rFonts w:cs="Arial"/>
          <w:szCs w:val="22"/>
        </w:rPr>
        <w:t>”.  L</w:t>
      </w:r>
      <w:r w:rsidR="004D2AA1">
        <w:rPr>
          <w:rFonts w:cs="Arial"/>
          <w:szCs w:val="22"/>
        </w:rPr>
        <w:t>’</w:t>
      </w:r>
      <w:r w:rsidRPr="00E8642C">
        <w:rPr>
          <w:rFonts w:cs="Arial"/>
          <w:szCs w:val="22"/>
        </w:rPr>
        <w:t xml:space="preserve">article 2 du </w:t>
      </w:r>
      <w:r w:rsidRPr="00E8642C">
        <w:rPr>
          <w:rFonts w:cs="Arial"/>
          <w:i/>
          <w:szCs w:val="22"/>
        </w:rPr>
        <w:t>Code international de conduite pour la collecte et le transfert de matériel phytogénétique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de la manière suivante</w:t>
      </w:r>
      <w:r w:rsidR="004D2AA1">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4D2AA1">
        <w:rPr>
          <w:rFonts w:cs="Arial"/>
          <w:iCs/>
          <w:szCs w:val="22"/>
        </w:rPr>
        <w:t>’</w:t>
      </w:r>
      <w:r w:rsidRPr="00E8642C">
        <w:rPr>
          <w:rFonts w:cs="Arial"/>
          <w:iCs/>
          <w:szCs w:val="22"/>
        </w:rPr>
        <w:t>origine et de diversité des ressources génétiques, leurs contributions passées, présentes et futures à la conservation, à l</w:t>
      </w:r>
      <w:r w:rsidR="004D2AA1">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4D2AA1">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4D2AA1">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r w:rsidRPr="00E8642C">
        <w:t>État de la technique</w:t>
      </w:r>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état de la technique désigne, en général, toutes les connaissances qui existaient avant la date de dépôt ou de priorité pertinente d</w:t>
      </w:r>
      <w:r w:rsidR="004D2AA1">
        <w:rPr>
          <w:rFonts w:cs="Arial"/>
          <w:szCs w:val="22"/>
        </w:rPr>
        <w:t>’</w:t>
      </w:r>
      <w:r w:rsidRPr="00E8642C">
        <w:rPr>
          <w:rFonts w:cs="Arial"/>
          <w:szCs w:val="22"/>
        </w:rPr>
        <w:t>une demande de brevet, qu</w:t>
      </w:r>
      <w:r w:rsidR="004D2AA1">
        <w:rPr>
          <w:rFonts w:cs="Arial"/>
          <w:szCs w:val="22"/>
        </w:rPr>
        <w:t>’</w:t>
      </w:r>
      <w:r w:rsidRPr="00E8642C">
        <w:rPr>
          <w:rFonts w:cs="Arial"/>
          <w:szCs w:val="22"/>
        </w:rPr>
        <w:t>elles aient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4D2AA1">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4D2AA1">
        <w:rPr>
          <w:rFonts w:cs="Arial"/>
          <w:szCs w:val="22"/>
        </w:rPr>
        <w:t>’</w:t>
      </w:r>
      <w:r w:rsidRPr="00E8642C">
        <w:rPr>
          <w:rFonts w:cs="Arial"/>
          <w:szCs w:val="22"/>
        </w:rPr>
        <w:t>exécution du PCT définit l</w:t>
      </w:r>
      <w:r w:rsidR="004D2AA1">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4D2AA1">
        <w:rPr>
          <w:rFonts w:cs="Arial"/>
          <w:iCs/>
          <w:szCs w:val="22"/>
        </w:rPr>
        <w:t>y compris</w:t>
      </w:r>
      <w:r w:rsidRPr="00E8642C">
        <w:rPr>
          <w:rFonts w:cs="Arial"/>
          <w:iCs/>
          <w:szCs w:val="22"/>
        </w:rPr>
        <w:t xml:space="preserve"> des dessins et autres illustrations) et qui est susceptible d</w:t>
      </w:r>
      <w:r w:rsidR="004D2AA1">
        <w:rPr>
          <w:rFonts w:cs="Arial"/>
          <w:iCs/>
          <w:szCs w:val="22"/>
        </w:rPr>
        <w:t>’</w:t>
      </w:r>
      <w:r w:rsidRPr="00E8642C">
        <w:rPr>
          <w:rFonts w:cs="Arial"/>
          <w:iCs/>
          <w:szCs w:val="22"/>
        </w:rPr>
        <w:t>aider à déterminer si l</w:t>
      </w:r>
      <w:r w:rsidR="004D2AA1">
        <w:rPr>
          <w:rFonts w:cs="Arial"/>
          <w:iCs/>
          <w:szCs w:val="22"/>
        </w:rPr>
        <w:t>’</w:t>
      </w:r>
      <w:r w:rsidRPr="00E8642C">
        <w:rPr>
          <w:rFonts w:cs="Arial"/>
          <w:iCs/>
          <w:szCs w:val="22"/>
        </w:rPr>
        <w:t>invention dont la protection est demandée est nouvelle ou non et si elle implique ou non une activité inventive (c</w:t>
      </w:r>
      <w:r w:rsidR="004D2AA1">
        <w:rPr>
          <w:rFonts w:cs="Arial"/>
          <w:iCs/>
          <w:szCs w:val="22"/>
        </w:rPr>
        <w:t>’</w:t>
      </w:r>
      <w:r w:rsidRPr="00E8642C">
        <w:rPr>
          <w:rFonts w:cs="Arial"/>
          <w:iCs/>
          <w:szCs w:val="22"/>
        </w:rPr>
        <w:t>est</w:t>
      </w:r>
      <w:r w:rsidR="005A7440">
        <w:rPr>
          <w:rFonts w:cs="Arial"/>
          <w:iCs/>
          <w:szCs w:val="22"/>
        </w:rPr>
        <w:noBreakHyphen/>
      </w:r>
      <w:r w:rsidRPr="00E8642C">
        <w:rPr>
          <w:rFonts w:cs="Arial"/>
          <w:iCs/>
          <w:szCs w:val="22"/>
        </w:rPr>
        <w:t>à</w:t>
      </w:r>
      <w:r w:rsidR="005A7440">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4D2AA1">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4D2AA1">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4D2AA1">
        <w:rPr>
          <w:rFonts w:cs="Arial"/>
          <w:i/>
          <w:szCs w:val="22"/>
          <w:lang w:eastAsia="en-US" w:bidi="th-TH"/>
        </w:rPr>
        <w:t>’</w:t>
      </w:r>
      <w:r w:rsidRPr="00E8642C">
        <w:rPr>
          <w:rFonts w:cs="Arial"/>
          <w:i/>
          <w:szCs w:val="22"/>
          <w:lang w:eastAsia="en-US" w:bidi="th-TH"/>
        </w:rPr>
        <w:t>examen à l</w:t>
      </w:r>
      <w:r w:rsidR="004D2AA1">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4D2AA1">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4D2AA1">
        <w:rPr>
          <w:rFonts w:cs="Arial"/>
          <w:iCs/>
          <w:szCs w:val="22"/>
          <w:lang w:eastAsia="en-US" w:bidi="th-TH"/>
        </w:rPr>
        <w:t>’</w:t>
      </w:r>
      <w:r w:rsidRPr="00E8642C">
        <w:rPr>
          <w:rFonts w:cs="Arial"/>
          <w:iCs/>
          <w:szCs w:val="22"/>
          <w:lang w:eastAsia="en-US" w:bidi="th-TH"/>
        </w:rPr>
        <w:t>aucune restriction n</w:t>
      </w:r>
      <w:r w:rsidR="004D2AA1">
        <w:rPr>
          <w:rFonts w:cs="Arial"/>
          <w:iCs/>
          <w:szCs w:val="22"/>
          <w:lang w:eastAsia="en-US" w:bidi="th-TH"/>
        </w:rPr>
        <w:t>’</w:t>
      </w:r>
      <w:r w:rsidRPr="00E8642C">
        <w:rPr>
          <w:rFonts w:cs="Arial"/>
          <w:iCs/>
          <w:szCs w:val="22"/>
          <w:lang w:eastAsia="en-US" w:bidi="th-TH"/>
        </w:rPr>
        <w:t>a été prévue en ce qui concerne le lieu géographique où l</w:t>
      </w:r>
      <w:r w:rsidR="004D2AA1">
        <w:rPr>
          <w:rFonts w:cs="Arial"/>
          <w:iCs/>
          <w:szCs w:val="22"/>
          <w:lang w:eastAsia="en-US" w:bidi="th-TH"/>
        </w:rPr>
        <w:t>’</w:t>
      </w:r>
      <w:r w:rsidRPr="00E8642C">
        <w:rPr>
          <w:rFonts w:cs="Arial"/>
          <w:iCs/>
          <w:szCs w:val="22"/>
          <w:lang w:eastAsia="en-US" w:bidi="th-TH"/>
        </w:rPr>
        <w:t>état de la technique a été rendu accessible au public, la façon dont il l</w:t>
      </w:r>
      <w:r w:rsidR="004D2AA1">
        <w:rPr>
          <w:rFonts w:cs="Arial"/>
          <w:iCs/>
          <w:szCs w:val="22"/>
          <w:lang w:eastAsia="en-US" w:bidi="th-TH"/>
        </w:rPr>
        <w:t>’</w:t>
      </w:r>
      <w:r w:rsidRPr="00E8642C">
        <w:rPr>
          <w:rFonts w:cs="Arial"/>
          <w:iCs/>
          <w:szCs w:val="22"/>
          <w:lang w:eastAsia="en-US" w:bidi="th-TH"/>
        </w:rPr>
        <w:t>a été et la langue dans laquelle il l</w:t>
      </w:r>
      <w:r w:rsidR="004D2AA1">
        <w:rPr>
          <w:rFonts w:cs="Arial"/>
          <w:iCs/>
          <w:szCs w:val="22"/>
          <w:lang w:eastAsia="en-US" w:bidi="th-TH"/>
        </w:rPr>
        <w:t>’</w:t>
      </w:r>
      <w:r w:rsidRPr="00E8642C">
        <w:rPr>
          <w:rFonts w:cs="Arial"/>
          <w:iCs/>
          <w:szCs w:val="22"/>
          <w:lang w:eastAsia="en-US" w:bidi="th-TH"/>
        </w:rPr>
        <w:t>a été;  par ailleurs, aucune limite d</w:t>
      </w:r>
      <w:r w:rsidR="004D2AA1">
        <w:rPr>
          <w:rFonts w:cs="Arial"/>
          <w:iCs/>
          <w:szCs w:val="22"/>
          <w:lang w:eastAsia="en-US" w:bidi="th-TH"/>
        </w:rPr>
        <w:t>’</w:t>
      </w:r>
      <w:r w:rsidRPr="00E8642C">
        <w:rPr>
          <w:rFonts w:cs="Arial"/>
          <w:iCs/>
          <w:szCs w:val="22"/>
          <w:lang w:eastAsia="en-US" w:bidi="th-TH"/>
        </w:rPr>
        <w:t>ancienneté n</w:t>
      </w:r>
      <w:r w:rsidR="004D2AA1">
        <w:rPr>
          <w:rFonts w:cs="Arial"/>
          <w:iCs/>
          <w:szCs w:val="22"/>
          <w:lang w:eastAsia="en-US" w:bidi="th-TH"/>
        </w:rPr>
        <w:t>’</w:t>
      </w:r>
      <w:r w:rsidRPr="00E8642C">
        <w:rPr>
          <w:rFonts w:cs="Arial"/>
          <w:iCs/>
          <w:szCs w:val="22"/>
          <w:lang w:eastAsia="en-US" w:bidi="th-TH"/>
        </w:rPr>
        <w:t>a été fixée en ce qui concerne les documents constituant l</w:t>
      </w:r>
      <w:r w:rsidR="004D2AA1">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définit l</w:t>
      </w:r>
      <w:r w:rsidR="004D2AA1">
        <w:rPr>
          <w:rFonts w:cs="Arial"/>
          <w:szCs w:val="22"/>
          <w:lang w:eastAsia="en-US" w:bidi="th-TH"/>
        </w:rPr>
        <w:t>’</w:t>
      </w:r>
      <w:r w:rsidRPr="00E8642C">
        <w:rPr>
          <w:rFonts w:cs="Arial"/>
          <w:szCs w:val="22"/>
          <w:lang w:eastAsia="en-US" w:bidi="th-TH"/>
        </w:rPr>
        <w:t>état de la technique indirectement par l</w:t>
      </w:r>
      <w:r w:rsidR="004D2AA1">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4D2AA1">
        <w:t>’</w:t>
      </w:r>
      <w:r w:rsidRPr="00E8642C">
        <w:t>objet d</w:t>
      </w:r>
      <w:r w:rsidR="004D2AA1">
        <w:t>’</w:t>
      </w:r>
      <w:r w:rsidRPr="00E8642C">
        <w:t xml:space="preserve">un usage </w:t>
      </w:r>
      <w:r w:rsidRPr="00E8642C">
        <w:rPr>
          <w:rFonts w:cs="Arial"/>
          <w:iCs/>
          <w:szCs w:val="22"/>
          <w:lang w:eastAsia="en-US" w:bidi="th-TH"/>
        </w:rPr>
        <w:t>public,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comme 2) l</w:t>
      </w:r>
      <w:r w:rsidR="004D2AA1">
        <w:rPr>
          <w:rFonts w:cs="Arial"/>
          <w:iCs/>
          <w:szCs w:val="22"/>
          <w:lang w:eastAsia="en-US" w:bidi="th-TH"/>
        </w:rPr>
        <w:t>’</w:t>
      </w:r>
      <w:r w:rsidRPr="00E8642C">
        <w:rPr>
          <w:rFonts w:cs="Arial"/>
          <w:iCs/>
          <w:szCs w:val="22"/>
          <w:lang w:eastAsia="en-US" w:bidi="th-TH"/>
        </w:rPr>
        <w:t>invention revendiquée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t>L</w:t>
      </w:r>
      <w:r w:rsidR="004D2AA1">
        <w:rPr>
          <w:rFonts w:cs="Arial"/>
          <w:szCs w:val="22"/>
          <w:lang w:eastAsia="en-US"/>
        </w:rPr>
        <w:t>’</w:t>
      </w:r>
      <w:r w:rsidRPr="00E8642C">
        <w:rPr>
          <w:rFonts w:cs="Arial"/>
          <w:szCs w:val="22"/>
          <w:lang w:eastAsia="en-US"/>
        </w:rPr>
        <w:t>article 29 de la loi japonaise sur les brevets définit indirectement l</w:t>
      </w:r>
      <w:r w:rsidR="004D2AA1">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4D2AA1">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4D2AA1">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4D2AA1">
        <w:rPr>
          <w:rFonts w:cs="Arial"/>
          <w:iCs/>
          <w:szCs w:val="22"/>
          <w:lang w:eastAsia="en-US"/>
        </w:rPr>
        <w:t>’</w:t>
      </w:r>
      <w:r w:rsidRPr="00E8642C">
        <w:rPr>
          <w:rFonts w:cs="Arial"/>
          <w:iCs/>
          <w:szCs w:val="22"/>
          <w:lang w:eastAsia="en-US"/>
        </w:rPr>
        <w:t>une ligne de télécommunication électrique au Japon ou à l</w:t>
      </w:r>
      <w:r w:rsidR="004D2AA1">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r w:rsidRPr="00E8642C">
        <w:t>Exception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4D2AA1">
        <w:rPr>
          <w:rFonts w:cs="Arial"/>
          <w:szCs w:val="22"/>
        </w:rPr>
        <w:t>’</w:t>
      </w:r>
      <w:r w:rsidRPr="00E8642C">
        <w:rPr>
          <w:rFonts w:cs="Arial"/>
          <w:szCs w:val="22"/>
        </w:rPr>
        <w:t>ensemble, il s</w:t>
      </w:r>
      <w:r w:rsidR="004D2AA1">
        <w:rPr>
          <w:rFonts w:cs="Arial"/>
          <w:szCs w:val="22"/>
        </w:rPr>
        <w:t>’</w:t>
      </w:r>
      <w:r w:rsidRPr="00E8642C">
        <w:rPr>
          <w:rFonts w:cs="Arial"/>
          <w:szCs w:val="22"/>
        </w:rPr>
        <w:t>agit de déterminer quelles utilisations d</w:t>
      </w:r>
      <w:r w:rsidR="004D2AA1">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4D2AA1">
        <w:rPr>
          <w:rFonts w:cs="Arial"/>
          <w:szCs w:val="22"/>
        </w:rPr>
        <w:t>’</w:t>
      </w:r>
      <w:r w:rsidRPr="00E8642C">
        <w:rPr>
          <w:rFonts w:cs="Arial"/>
          <w:szCs w:val="22"/>
        </w:rPr>
        <w:t>application d</w:t>
      </w:r>
      <w:r w:rsidR="004D2AA1">
        <w:rPr>
          <w:rFonts w:cs="Arial"/>
          <w:szCs w:val="22"/>
        </w:rPr>
        <w:t>’</w:t>
      </w:r>
      <w:r w:rsidRPr="00E8642C">
        <w:rPr>
          <w:rFonts w:cs="Arial"/>
          <w:szCs w:val="22"/>
        </w:rPr>
        <w:t>un triple critère pour déterminer la possibilité d</w:t>
      </w:r>
      <w:r w:rsidR="004D2AA1">
        <w:rPr>
          <w:rFonts w:cs="Arial"/>
          <w:szCs w:val="22"/>
        </w:rPr>
        <w:t>’</w:t>
      </w:r>
      <w:r w:rsidRPr="00E8642C">
        <w:rPr>
          <w:rFonts w:cs="Arial"/>
          <w:szCs w:val="22"/>
        </w:rPr>
        <w:t>exception</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exception peut s</w:t>
      </w:r>
      <w:r w:rsidR="004D2AA1">
        <w:rPr>
          <w:rFonts w:cs="Arial"/>
          <w:szCs w:val="22"/>
        </w:rPr>
        <w:t>’</w:t>
      </w:r>
      <w:r w:rsidRPr="00E8642C">
        <w:rPr>
          <w:rFonts w:cs="Arial"/>
          <w:szCs w:val="22"/>
        </w:rPr>
        <w:t>appliquer uniquement à certains cas spéciaux;  ii) l</w:t>
      </w:r>
      <w:r w:rsidR="004D2AA1">
        <w:rPr>
          <w:rFonts w:cs="Arial"/>
          <w:szCs w:val="22"/>
        </w:rPr>
        <w:t>’</w:t>
      </w:r>
      <w:r w:rsidRPr="00E8642C">
        <w:rPr>
          <w:rFonts w:cs="Arial"/>
          <w:szCs w:val="22"/>
        </w:rPr>
        <w:t>exception ne doit pas porter atteinte à l</w:t>
      </w:r>
      <w:r w:rsidR="004D2AA1">
        <w:rPr>
          <w:rFonts w:cs="Arial"/>
          <w:szCs w:val="22"/>
        </w:rPr>
        <w:t>’</w:t>
      </w:r>
      <w:r w:rsidRPr="00E8642C">
        <w:rPr>
          <w:rFonts w:cs="Arial"/>
          <w:szCs w:val="22"/>
        </w:rPr>
        <w:t>exploitation normale de l</w:t>
      </w:r>
      <w:r w:rsidR="004D2AA1">
        <w:rPr>
          <w:rFonts w:cs="Arial"/>
          <w:szCs w:val="22"/>
        </w:rPr>
        <w:t>’</w:t>
      </w:r>
      <w:r w:rsidRPr="00E8642C">
        <w:rPr>
          <w:rFonts w:cs="Arial"/>
          <w:szCs w:val="22"/>
        </w:rPr>
        <w:t>œuvre ni iii) causer un préjudice injustifié aux intérêts légitimes de l</w:t>
      </w:r>
      <w:r w:rsidR="004D2AA1">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Exigences de divulgation</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4D2AA1">
        <w:rPr>
          <w:rFonts w:cs="Arial"/>
          <w:szCs w:val="22"/>
        </w:rPr>
        <w:t>’</w:t>
      </w:r>
      <w:r w:rsidRPr="00E8642C">
        <w:rPr>
          <w:rFonts w:cs="Arial"/>
          <w:szCs w:val="22"/>
        </w:rPr>
        <w:t>indique l</w:t>
      </w:r>
      <w:r w:rsidR="004D2AA1">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4D2AA1">
        <w:rPr>
          <w:rFonts w:cs="Arial"/>
          <w:szCs w:val="22"/>
        </w:rPr>
        <w:t>’</w:t>
      </w:r>
      <w:r w:rsidRPr="00E8642C">
        <w:rPr>
          <w:rFonts w:cs="Arial"/>
          <w:szCs w:val="22"/>
        </w:rPr>
        <w:t>obligation générale “</w:t>
      </w:r>
      <w:r w:rsidRPr="00E8642C">
        <w:rPr>
          <w:rFonts w:cs="Arial"/>
          <w:iCs/>
          <w:szCs w:val="22"/>
        </w:rPr>
        <w:t>d</w:t>
      </w:r>
      <w:r w:rsidR="004D2AA1">
        <w:rPr>
          <w:rFonts w:cs="Arial"/>
          <w:iCs/>
          <w:szCs w:val="22"/>
        </w:rPr>
        <w:t>’</w:t>
      </w:r>
      <w:r w:rsidRPr="00E8642C">
        <w:rPr>
          <w:rFonts w:cs="Arial"/>
          <w:iCs/>
          <w:szCs w:val="22"/>
        </w:rPr>
        <w:t>exposer l</w:t>
      </w:r>
      <w:r w:rsidR="004D2AA1">
        <w:rPr>
          <w:rFonts w:cs="Arial"/>
          <w:iCs/>
          <w:szCs w:val="22"/>
        </w:rPr>
        <w:t>’</w:t>
      </w:r>
      <w:r w:rsidRPr="00E8642C">
        <w:rPr>
          <w:rFonts w:cs="Arial"/>
          <w:iCs/>
          <w:szCs w:val="22"/>
        </w:rPr>
        <w:t>invention d</w:t>
      </w:r>
      <w:r w:rsidR="004D2AA1">
        <w:rPr>
          <w:rFonts w:cs="Arial"/>
          <w:iCs/>
          <w:szCs w:val="22"/>
        </w:rPr>
        <w:t>’</w:t>
      </w:r>
      <w:r w:rsidRPr="00E8642C">
        <w:rPr>
          <w:rFonts w:cs="Arial"/>
          <w:iCs/>
          <w:szCs w:val="22"/>
        </w:rPr>
        <w:t>une manière suffisamment claire et complète pour qu</w:t>
      </w:r>
      <w:r w:rsidR="004D2AA1">
        <w:rPr>
          <w:rFonts w:cs="Arial"/>
          <w:iCs/>
          <w:szCs w:val="22"/>
        </w:rPr>
        <w:t>’</w:t>
      </w:r>
      <w:r w:rsidRPr="00E8642C">
        <w:rPr>
          <w:rFonts w:cs="Arial"/>
          <w:iCs/>
          <w:szCs w:val="22"/>
        </w:rPr>
        <w:t>un homme du métier puisse l</w:t>
      </w:r>
      <w:r w:rsidR="004D2AA1">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4D2AA1">
        <w:rPr>
          <w:rFonts w:cs="Arial"/>
          <w:szCs w:val="22"/>
        </w:rPr>
        <w:t>’</w:t>
      </w:r>
      <w:r w:rsidRPr="00E8642C">
        <w:rPr>
          <w:rFonts w:cs="Arial"/>
          <w:szCs w:val="22"/>
        </w:rPr>
        <w:t>une manière générale pour les modifications apportées au droit des brevets à l</w:t>
      </w:r>
      <w:r w:rsidR="004D2AA1">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4D2AA1">
        <w:rPr>
          <w:rFonts w:cs="Arial"/>
          <w:szCs w:val="22"/>
        </w:rPr>
        <w:t>’</w:t>
      </w:r>
      <w:r w:rsidRPr="00E8642C">
        <w:rPr>
          <w:rFonts w:cs="Arial"/>
          <w:szCs w:val="22"/>
        </w:rPr>
        <w:t>information concernant les savoirs traditionnels ou les ressources génétiques utilisés dans la mise au point de l</w:t>
      </w:r>
      <w:r w:rsidR="004D2AA1">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toute ressource génétique ou savoir traditionnel effectivement utilisé au cours de la mise au point de l</w:t>
      </w:r>
      <w:r w:rsidR="004D2AA1">
        <w:rPr>
          <w:rFonts w:cs="Arial"/>
          <w:szCs w:val="22"/>
        </w:rPr>
        <w:t>’</w:t>
      </w:r>
      <w:r w:rsidRPr="00E8642C">
        <w:rPr>
          <w:rFonts w:cs="Arial"/>
          <w:szCs w:val="22"/>
        </w:rPr>
        <w:t>invention (fonction descriptive ou relative à la transparence, liée à la ressource génétique ou au savoir traditionnel lui</w:t>
      </w:r>
      <w:r w:rsidR="005A7440">
        <w:rPr>
          <w:rFonts w:cs="Arial"/>
          <w:szCs w:val="22"/>
        </w:rPr>
        <w:noBreakHyphen/>
      </w:r>
      <w:r w:rsidRPr="00E8642C">
        <w:rPr>
          <w:rFonts w:cs="Arial"/>
          <w:szCs w:val="22"/>
        </w:rPr>
        <w:t>même et à son rapport avec l</w:t>
      </w:r>
      <w:r w:rsidR="004D2AA1">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la source effective de la ressource génétique ou du savoir traditionnel (fonction de divulgation relative au lieu où la ressource génétique ou le savoir traditionnel a été obtenu), ce qui peut concerner le pays d</w:t>
      </w:r>
      <w:r w:rsidR="004D2AA1">
        <w:rPr>
          <w:rFonts w:cs="Arial"/>
          <w:szCs w:val="22"/>
        </w:rPr>
        <w:t>’</w:t>
      </w:r>
      <w:r w:rsidRPr="00E8642C">
        <w:rPr>
          <w:rFonts w:cs="Arial"/>
          <w:szCs w:val="22"/>
        </w:rPr>
        <w:t>origine (afin de préciser la juridiction dans laquelle le matériel d</w:t>
      </w:r>
      <w:r w:rsidR="004D2AA1">
        <w:rPr>
          <w:rFonts w:cs="Arial"/>
          <w:szCs w:val="22"/>
        </w:rPr>
        <w:t>’</w:t>
      </w:r>
      <w:r w:rsidRPr="00E8642C">
        <w:rPr>
          <w:rFonts w:cs="Arial"/>
          <w:szCs w:val="22"/>
        </w:rPr>
        <w:t>origine a été obtenu), ou une localisation plus précise (par exemple, afin d</w:t>
      </w:r>
      <w:r w:rsidR="004D2AA1">
        <w:rPr>
          <w:rFonts w:cs="Arial"/>
          <w:szCs w:val="22"/>
        </w:rPr>
        <w:t>’</w:t>
      </w:r>
      <w:r w:rsidRPr="00E8642C">
        <w:rPr>
          <w:rFonts w:cs="Arial"/>
          <w:szCs w:val="22"/>
        </w:rPr>
        <w:t>assurer que les ressources génétiques soient accessibles aux fins de la duplication ou de la reproduction de l</w:t>
      </w:r>
      <w:r w:rsidR="004D2AA1">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fournir un engagement ou une preuve du consentement préalable en connaissance de cause (fonction de respect de l</w:t>
      </w:r>
      <w:r w:rsidR="004D2AA1">
        <w:rPr>
          <w:rFonts w:cs="Arial"/>
          <w:szCs w:val="22"/>
        </w:rPr>
        <w:t>’</w:t>
      </w:r>
      <w:r w:rsidRPr="00E8642C">
        <w:rPr>
          <w:rFonts w:cs="Arial"/>
          <w:szCs w:val="22"/>
        </w:rPr>
        <w:t>obligation, relative à la légalité des actes régissant l</w:t>
      </w:r>
      <w:r w:rsidR="004D2AA1">
        <w:rPr>
          <w:rFonts w:cs="Arial"/>
          <w:szCs w:val="22"/>
        </w:rPr>
        <w:t>’</w:t>
      </w:r>
      <w:r w:rsidRPr="00E8642C">
        <w:rPr>
          <w:rFonts w:cs="Arial"/>
          <w:szCs w:val="22"/>
        </w:rPr>
        <w:t>accès au matériel d</w:t>
      </w:r>
      <w:r w:rsidR="004D2AA1">
        <w:rPr>
          <w:rFonts w:cs="Arial"/>
          <w:szCs w:val="22"/>
        </w:rPr>
        <w:t>’</w:t>
      </w:r>
      <w:r w:rsidRPr="00E8642C">
        <w:rPr>
          <w:rFonts w:cs="Arial"/>
          <w:szCs w:val="22"/>
        </w:rPr>
        <w:t>origine de la ressource génétique ou du savoir traditionnel), ce qui peut entraîner l</w:t>
      </w:r>
      <w:r w:rsidR="004D2AA1">
        <w:rPr>
          <w:rFonts w:cs="Arial"/>
          <w:szCs w:val="22"/>
        </w:rPr>
        <w:t>’</w:t>
      </w:r>
      <w:r w:rsidRPr="00E8642C">
        <w:rPr>
          <w:rFonts w:cs="Arial"/>
          <w:szCs w:val="22"/>
        </w:rPr>
        <w:t>obligation de démontrer que la ressource génétique ou le savoir traditionnel utilisé dans l</w:t>
      </w:r>
      <w:r w:rsidR="004D2AA1">
        <w:rPr>
          <w:rFonts w:cs="Arial"/>
          <w:szCs w:val="22"/>
        </w:rPr>
        <w:t>’</w:t>
      </w:r>
      <w:r w:rsidRPr="00E8642C">
        <w:rPr>
          <w:rFonts w:cs="Arial"/>
          <w:szCs w:val="22"/>
        </w:rPr>
        <w:t>invention a été obtenu et utilisé conformément aux lois applicables dans le pays d</w:t>
      </w:r>
      <w:r w:rsidR="004D2AA1">
        <w:rPr>
          <w:rFonts w:cs="Arial"/>
          <w:szCs w:val="22"/>
        </w:rPr>
        <w:t>’</w:t>
      </w:r>
      <w:r w:rsidRPr="00E8642C">
        <w:rPr>
          <w:rFonts w:cs="Arial"/>
          <w:szCs w:val="22"/>
        </w:rPr>
        <w:t>origine ou conformément aux termes de tout accord particulier consignant le consentement préalable en connaissance de cause;  ou de démontrer que l</w:t>
      </w:r>
      <w:r w:rsidR="004D2AA1">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4D2AA1">
        <w:rPr>
          <w:rFonts w:cs="Arial"/>
          <w:szCs w:val="22"/>
        </w:rPr>
        <w:t>’</w:t>
      </w:r>
      <w:r w:rsidRPr="00E8642C">
        <w:rPr>
          <w:rFonts w:cs="Arial"/>
          <w:szCs w:val="22"/>
        </w:rPr>
        <w:t>initiative internationale relative au projet d</w:t>
      </w:r>
      <w:r w:rsidR="004D2AA1">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4D2AA1">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Expression par l</w:t>
      </w:r>
      <w:r w:rsidR="004D2AA1">
        <w:t>’</w:t>
      </w:r>
      <w:r w:rsidRPr="00E8642C">
        <w:t>action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4D2AA1">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Expressions culturelles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Expressions culturelles traditionnelles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4D2AA1">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termes “expressions culturelles traditionnelles” et “expressions du folklore” sont utilisés comme des synonymes interchangeables et peuvent être désignés par le seul terme “expressions culturelles traditionnelles”.  L</w:t>
      </w:r>
      <w:r w:rsidR="004D2AA1">
        <w:rPr>
          <w:rFonts w:cs="Arial"/>
          <w:szCs w:val="22"/>
        </w:rPr>
        <w:t>’</w:t>
      </w:r>
      <w:r w:rsidRPr="00E8642C">
        <w:rPr>
          <w:rFonts w:cs="Arial"/>
          <w:szCs w:val="22"/>
        </w:rPr>
        <w:t>utilisation de ces termes ne tend pas à suggérer l</w:t>
      </w:r>
      <w:r w:rsidR="004D2AA1">
        <w:rPr>
          <w:rFonts w:cs="Arial"/>
          <w:szCs w:val="22"/>
        </w:rPr>
        <w:t>’</w:t>
      </w:r>
      <w:r w:rsidRPr="00E8642C">
        <w:rPr>
          <w:rFonts w:cs="Arial"/>
          <w:szCs w:val="22"/>
        </w:rPr>
        <w:t>existence d</w:t>
      </w:r>
      <w:r w:rsidR="004D2AA1">
        <w:rPr>
          <w:rFonts w:cs="Arial"/>
          <w:szCs w:val="22"/>
        </w:rPr>
        <w:t>’</w:t>
      </w:r>
      <w:r w:rsidRPr="00E8642C">
        <w:rPr>
          <w:rFonts w:cs="Arial"/>
          <w:szCs w:val="22"/>
        </w:rPr>
        <w:t>un quelconque consensus entre les États membres de l</w:t>
      </w:r>
      <w:r w:rsidR="004D2AA1">
        <w:rPr>
          <w:rFonts w:cs="Arial"/>
          <w:szCs w:val="22"/>
        </w:rPr>
        <w:t>’</w:t>
      </w:r>
      <w:r w:rsidRPr="00E8642C">
        <w:rPr>
          <w:rFonts w:cs="Arial"/>
          <w:szCs w:val="22"/>
        </w:rPr>
        <w:t>OMPI quant à la validité ou à l</w:t>
      </w:r>
      <w:r w:rsidR="004D2AA1">
        <w:rPr>
          <w:rFonts w:cs="Arial"/>
          <w:szCs w:val="22"/>
        </w:rPr>
        <w:t>’</w:t>
      </w:r>
      <w:r w:rsidRPr="00E8642C">
        <w:rPr>
          <w:rFonts w:cs="Arial"/>
          <w:szCs w:val="22"/>
        </w:rPr>
        <w:t>opportunité de ces termes ou d</w:t>
      </w:r>
      <w:r w:rsidR="004D2AA1">
        <w:rPr>
          <w:rFonts w:cs="Arial"/>
          <w:szCs w:val="22"/>
        </w:rPr>
        <w:t>’</w:t>
      </w:r>
      <w:r w:rsidRPr="00E8642C">
        <w:rPr>
          <w:rFonts w:cs="Arial"/>
          <w:szCs w:val="22"/>
        </w:rPr>
        <w:t>autres termes;  par ailleurs, elle n</w:t>
      </w:r>
      <w:r w:rsidR="004D2AA1">
        <w:rPr>
          <w:rFonts w:cs="Arial"/>
          <w:szCs w:val="22"/>
        </w:rPr>
        <w:t>’</w:t>
      </w:r>
      <w:r w:rsidRPr="00E8642C">
        <w:rPr>
          <w:rFonts w:cs="Arial"/>
          <w:szCs w:val="22"/>
        </w:rPr>
        <w:t>affecte en rien ni ne limite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Expressions du folklore</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5A7440">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4D2AA1">
        <w:rPr>
          <w:rFonts w:cs="Arial"/>
          <w:szCs w:val="22"/>
        </w:rPr>
        <w:t>’</w:t>
      </w:r>
      <w:r w:rsidRPr="00E8642C">
        <w:rPr>
          <w:rFonts w:cs="Arial"/>
          <w:szCs w:val="22"/>
        </w:rPr>
        <w:t>éléments caractéristiques du patrimoine artistique traditionnel développé et perpétué par une communauté d</w:t>
      </w:r>
      <w:r w:rsidR="004D2AA1">
        <w:rPr>
          <w:rFonts w:cs="Arial"/>
          <w:szCs w:val="22"/>
        </w:rPr>
        <w:t>’</w:t>
      </w:r>
      <w:r w:rsidRPr="00E8642C">
        <w:rPr>
          <w:rFonts w:cs="Arial"/>
          <w:szCs w:val="22"/>
        </w:rPr>
        <w:t>un pays ou par des individus reconnus comme répondant aux aspirations artistiques traditionnelles de cette communauté, en particulier</w:t>
      </w:r>
      <w:r w:rsidR="004D2AA1">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corporelles;  telles que les danses folkloriques, les pièces de théâtre et les formes artistiques de rituels;  qu</w:t>
      </w:r>
      <w:r w:rsidR="004D2AA1">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4D2AA1">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r w:rsidRPr="00E8642C">
        <w:t>Expressions tangibles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“tangible” caractérise ce qui peut être touché et vu;  est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4D2AA1">
        <w:rPr>
          <w:rFonts w:cs="Arial"/>
          <w:szCs w:val="22"/>
        </w:rPr>
        <w:t>’</w:t>
      </w:r>
      <w:r w:rsidRPr="00E8642C">
        <w:rPr>
          <w:rFonts w:cs="Arial"/>
          <w:szCs w:val="22"/>
        </w:rPr>
        <w:t>oppose au terme “intangible” qui se rapporte à quelque chose qui n</w:t>
      </w:r>
      <w:r w:rsidR="004D2AA1">
        <w:rPr>
          <w:rFonts w:cs="Arial"/>
          <w:szCs w:val="22"/>
        </w:rPr>
        <w:t>’</w:t>
      </w:r>
      <w:r w:rsidRPr="00E8642C">
        <w:rPr>
          <w:rFonts w:cs="Arial"/>
          <w:szCs w:val="22"/>
        </w:rPr>
        <w:t>a pas de forme matérielle, ne peut pas être touché, est impalpable (Black</w:t>
      </w:r>
      <w:r w:rsidR="004D2AA1">
        <w:rPr>
          <w:rFonts w:cs="Arial"/>
          <w:szCs w:val="22"/>
        </w:rPr>
        <w:t>’</w:t>
      </w:r>
      <w:r w:rsidRPr="00E8642C">
        <w:rPr>
          <w:rFonts w:cs="Arial"/>
          <w:szCs w:val="22"/>
        </w:rPr>
        <w:t>s Law Dictionary).</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4D2AA1">
        <w:rPr>
          <w:rFonts w:cs="Arial"/>
          <w:szCs w:val="22"/>
        </w:rPr>
        <w:t>’</w:t>
      </w:r>
      <w:r w:rsidRPr="00E8642C">
        <w:rPr>
          <w:rFonts w:cs="Arial"/>
          <w:szCs w:val="22"/>
        </w:rPr>
        <w:t>est pas nécessaire qu</w:t>
      </w:r>
      <w:r w:rsidR="004D2AA1">
        <w:rPr>
          <w:rFonts w:cs="Arial"/>
          <w:szCs w:val="22"/>
        </w:rPr>
        <w:t>’</w:t>
      </w:r>
      <w:r w:rsidRPr="00E8642C">
        <w:rPr>
          <w:rFonts w:cs="Arial"/>
          <w:szCs w:val="22"/>
        </w:rPr>
        <w:t>elles soient fixées sur un support mais elles doivent être fixées sur un matériau durable comme la pierre, le bois, le textile, l</w:t>
      </w:r>
      <w:r w:rsidR="004D2AA1">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5A7440">
        <w:rPr>
          <w:rFonts w:cs="Arial"/>
          <w:szCs w:val="22"/>
        </w:rPr>
        <w:noBreakHyphen/>
      </w:r>
      <w:r w:rsidRPr="00E8642C">
        <w:rPr>
          <w:rFonts w:cs="Arial"/>
          <w:szCs w:val="22"/>
        </w:rPr>
        <w:t>après d</w:t>
      </w:r>
      <w:r w:rsidR="004D2AA1">
        <w:rPr>
          <w:rFonts w:cs="Arial"/>
          <w:szCs w:val="22"/>
        </w:rPr>
        <w:t>’</w:t>
      </w:r>
      <w:r w:rsidRPr="00E8642C">
        <w:rPr>
          <w:rFonts w:cs="Arial"/>
          <w:szCs w:val="22"/>
        </w:rPr>
        <w:t>éléments constitutifs d</w:t>
      </w:r>
      <w:r w:rsidR="004D2AA1">
        <w:rPr>
          <w:rFonts w:cs="Arial"/>
          <w:szCs w:val="22"/>
        </w:rPr>
        <w:t>’</w:t>
      </w:r>
      <w:r w:rsidRPr="00E8642C">
        <w:rPr>
          <w:rFonts w:cs="Arial"/>
          <w:szCs w:val="22"/>
        </w:rPr>
        <w:t>expressions tangibles</w:t>
      </w:r>
      <w:r w:rsidR="004D2AA1">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4D2AA1">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r w:rsidRPr="00E8642C">
        <w:t>Fixation (“documentation” en anglais)</w:t>
      </w:r>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4D2AA1">
        <w:rPr>
          <w:rFonts w:cs="Arial"/>
          <w:szCs w:val="22"/>
        </w:rPr>
        <w:t>’</w:t>
      </w:r>
      <w:r w:rsidRPr="00E8642C">
        <w:rPr>
          <w:rFonts w:cs="Arial"/>
          <w:szCs w:val="22"/>
        </w:rPr>
        <w:t>Oxford English Dictionary définit la fixation comme l</w:t>
      </w:r>
      <w:r w:rsidR="004D2AA1">
        <w:rPr>
          <w:rFonts w:cs="Arial"/>
          <w:szCs w:val="22"/>
        </w:rPr>
        <w:t>’</w:t>
      </w:r>
      <w:r w:rsidRPr="00E8642C">
        <w:rPr>
          <w:rFonts w:cs="Arial"/>
          <w:szCs w:val="22"/>
        </w:rPr>
        <w:t>accumulation, le classement et la diffusion de l</w:t>
      </w:r>
      <w:r w:rsidR="004D2AA1">
        <w:rPr>
          <w:rFonts w:cs="Arial"/>
          <w:szCs w:val="22"/>
        </w:rPr>
        <w:t>’</w:t>
      </w:r>
      <w:r w:rsidRPr="00E8642C">
        <w:rPr>
          <w:rFonts w:cs="Arial"/>
          <w:szCs w:val="22"/>
        </w:rPr>
        <w:t>information;  le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4D2AA1">
        <w:rPr>
          <w:rFonts w:cs="Arial"/>
          <w:szCs w:val="22"/>
        </w:rPr>
        <w:t>’</w:t>
      </w:r>
      <w:r w:rsidRPr="00E8642C">
        <w:rPr>
          <w:rFonts w:cs="Arial"/>
          <w:szCs w:val="22"/>
        </w:rPr>
        <w:t>une manière qui les préserve et qui peut les mettre à la disposition d</w:t>
      </w:r>
      <w:r w:rsidR="004D2AA1">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4D2AA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r w:rsidRPr="00E8642C">
        <w:t>Fixation (“fixation” en anglais)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4D2AA1">
        <w:rPr>
          <w:rFonts w:cs="Arial"/>
          <w:szCs w:val="22"/>
        </w:rPr>
        <w:t>’</w:t>
      </w:r>
      <w:r w:rsidRPr="00E8642C">
        <w:rPr>
          <w:rFonts w:cs="Arial"/>
          <w:szCs w:val="22"/>
        </w:rPr>
        <w:t>enregistrement d</w:t>
      </w:r>
      <w:r w:rsidR="004D2AA1">
        <w:rPr>
          <w:rFonts w:cs="Arial"/>
          <w:szCs w:val="22"/>
        </w:rPr>
        <w:t>’</w:t>
      </w:r>
      <w:r w:rsidRPr="00E8642C">
        <w:rPr>
          <w:rFonts w:cs="Arial"/>
          <w:szCs w:val="22"/>
        </w:rPr>
        <w:t>une œuvre originale sous forme tangible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4D2AA1">
        <w:rPr>
          <w:rFonts w:cs="Arial"/>
          <w:szCs w:val="22"/>
        </w:rPr>
        <w:t>’</w:t>
      </w:r>
      <w:r w:rsidRPr="00E8642C">
        <w:rPr>
          <w:rFonts w:cs="Arial"/>
          <w:szCs w:val="22"/>
        </w:rPr>
        <w:t>une œuvre ou d</w:t>
      </w:r>
      <w:r w:rsidR="004D2AA1">
        <w:rPr>
          <w:rFonts w:cs="Arial"/>
          <w:szCs w:val="22"/>
        </w:rPr>
        <w:t>’</w:t>
      </w:r>
      <w:r w:rsidRPr="00E8642C">
        <w:rPr>
          <w:rFonts w:cs="Arial"/>
          <w:szCs w:val="22"/>
        </w:rPr>
        <w:t>un objet de droits connexes sur un support matériel (</w:t>
      </w:r>
      <w:r w:rsidR="004D2AA1">
        <w:rPr>
          <w:rFonts w:cs="Arial"/>
          <w:szCs w:val="22"/>
        </w:rPr>
        <w:t>y compris</w:t>
      </w:r>
      <w:r w:rsidRPr="00E8642C">
        <w:rPr>
          <w:rFonts w:cs="Arial"/>
          <w:szCs w:val="22"/>
        </w:rPr>
        <w:t xml:space="preserve"> par stockage dans une mémoire électronique) (d</w:t>
      </w:r>
      <w:r w:rsidR="004D2AA1">
        <w:rPr>
          <w:rFonts w:cs="Arial"/>
          <w:szCs w:val="22"/>
        </w:rPr>
        <w:t>’</w:t>
      </w:r>
      <w:r w:rsidRPr="00E8642C">
        <w:rPr>
          <w:rFonts w:cs="Arial"/>
          <w:szCs w:val="22"/>
        </w:rPr>
        <w:t>ordinateur)), doit être effectuée d</w:t>
      </w:r>
      <w:r w:rsidR="004D2AA1">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4D2AA1">
        <w:rPr>
          <w:rFonts w:cs="Arial"/>
          <w:szCs w:val="22"/>
        </w:rPr>
        <w:t>’</w:t>
      </w:r>
      <w:r w:rsidRPr="00E8642C">
        <w:rPr>
          <w:rFonts w:cs="Arial"/>
          <w:szCs w:val="22"/>
        </w:rPr>
        <w:t>est pas toujours une condition préalable nécessaire à l</w:t>
      </w:r>
      <w:r w:rsidR="004D2AA1">
        <w:rPr>
          <w:rFonts w:cs="Arial"/>
          <w:szCs w:val="22"/>
        </w:rPr>
        <w:t>’</w:t>
      </w:r>
      <w:r w:rsidRPr="00E8642C">
        <w:rPr>
          <w:rFonts w:cs="Arial"/>
          <w:szCs w:val="22"/>
        </w:rPr>
        <w:t>octroi d</w:t>
      </w:r>
      <w:r w:rsidR="004D2AA1">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4D2AA1">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9" w:name="_Ref289444051"/>
      <w:r w:rsidRPr="00E8642C">
        <w:rPr>
          <w:rFonts w:cs="Arial"/>
          <w:szCs w:val="22"/>
        </w:rPr>
        <w:t>La fixation d</w:t>
      </w:r>
      <w:r w:rsidR="004D2AA1">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9"/>
      <w:r w:rsidRPr="00E8642C">
        <w:rPr>
          <w:rFonts w:cs="Arial"/>
          <w:szCs w:val="22"/>
        </w:rPr>
        <w:t>.  Il a été fait valoir que l</w:t>
      </w:r>
      <w:r w:rsidR="004D2AA1">
        <w:rPr>
          <w:rFonts w:cs="Arial"/>
          <w:szCs w:val="22"/>
        </w:rPr>
        <w:t>’</w:t>
      </w:r>
      <w:r w:rsidRPr="00E8642C">
        <w:rPr>
          <w:rFonts w:cs="Arial"/>
          <w:szCs w:val="22"/>
        </w:rPr>
        <w:t>utilisation du terme “expression” pouvait donner l</w:t>
      </w:r>
      <w:r w:rsidR="004D2AA1">
        <w:rPr>
          <w:rFonts w:cs="Arial"/>
          <w:szCs w:val="22"/>
        </w:rPr>
        <w:t>’</w:t>
      </w:r>
      <w:r w:rsidRPr="00E8642C">
        <w:rPr>
          <w:rFonts w:cs="Arial"/>
          <w:szCs w:val="22"/>
        </w:rPr>
        <w:t>impression que l</w:t>
      </w:r>
      <w:r w:rsidR="004D2AA1">
        <w:rPr>
          <w:rFonts w:cs="Arial"/>
          <w:szCs w:val="22"/>
        </w:rPr>
        <w:t>’</w:t>
      </w:r>
      <w:r w:rsidRPr="00E8642C">
        <w:rPr>
          <w:rFonts w:cs="Arial"/>
          <w:szCs w:val="22"/>
        </w:rPr>
        <w:t>une des conditions à remplir pour que les expressions culturelles traditionnelles bénéficient d</w:t>
      </w:r>
      <w:r w:rsidR="004D2AA1">
        <w:rPr>
          <w:rFonts w:cs="Arial"/>
          <w:szCs w:val="22"/>
        </w:rPr>
        <w:t>’</w:t>
      </w:r>
      <w:r w:rsidRPr="00E8642C">
        <w:rPr>
          <w:rFonts w:cs="Arial"/>
          <w:szCs w:val="22"/>
        </w:rPr>
        <w:t>une protection était qu</w:t>
      </w:r>
      <w:r w:rsidR="004D2AA1">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Folklore</w:t>
      </w:r>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4D2AA1">
        <w:rPr>
          <w:rFonts w:cs="Arial"/>
          <w:snapToGrid w:val="0"/>
          <w:szCs w:val="22"/>
        </w:rPr>
        <w:t> :</w:t>
      </w:r>
      <w:r w:rsidRPr="00E8642C">
        <w:rPr>
          <w:rFonts w:cs="Arial"/>
          <w:snapToGrid w:val="0"/>
          <w:szCs w:val="22"/>
        </w:rPr>
        <w:t xml:space="preserve"> “ensemble des créations émanant d</w:t>
      </w:r>
      <w:r w:rsidR="004D2AA1">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4D2AA1">
        <w:rPr>
          <w:rFonts w:cs="Arial"/>
          <w:snapToGrid w:val="0"/>
          <w:szCs w:val="22"/>
        </w:rPr>
        <w:t>’</w:t>
      </w:r>
      <w:r w:rsidRPr="00E8642C">
        <w:rPr>
          <w:rFonts w:cs="Arial"/>
          <w:snapToGrid w:val="0"/>
          <w:szCs w:val="22"/>
        </w:rPr>
        <w:t>expression de l</w:t>
      </w:r>
      <w:r w:rsidR="004D2AA1">
        <w:rPr>
          <w:rFonts w:cs="Arial"/>
          <w:snapToGrid w:val="0"/>
          <w:szCs w:val="22"/>
        </w:rPr>
        <w:t>’</w:t>
      </w:r>
      <w:r w:rsidRPr="00E8642C">
        <w:rPr>
          <w:rFonts w:cs="Arial"/>
          <w:snapToGrid w:val="0"/>
          <w:szCs w:val="22"/>
        </w:rPr>
        <w:t>identité culturelle et sociale de celle</w:t>
      </w:r>
      <w:r w:rsidR="005A7440">
        <w:rPr>
          <w:rFonts w:cs="Arial"/>
          <w:snapToGrid w:val="0"/>
          <w:szCs w:val="22"/>
        </w:rPr>
        <w:noBreakHyphen/>
      </w:r>
      <w:r w:rsidRPr="00E8642C">
        <w:rPr>
          <w:rFonts w:cs="Arial"/>
          <w:snapToGrid w:val="0"/>
          <w:szCs w:val="22"/>
        </w:rPr>
        <w:t>ci, les normes et les valeurs se transmettant oralement, par imitation ou par d</w:t>
      </w:r>
      <w:r w:rsidR="004D2AA1">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4D2AA1">
        <w:rPr>
          <w:rFonts w:cs="Arial"/>
          <w:snapToGrid w:val="0"/>
          <w:szCs w:val="22"/>
        </w:rPr>
        <w:t>’</w:t>
      </w:r>
      <w:r w:rsidRPr="00E8642C">
        <w:rPr>
          <w:rFonts w:cs="Arial"/>
          <w:snapToGrid w:val="0"/>
          <w:szCs w:val="22"/>
        </w:rPr>
        <w:t>artisanat, l</w:t>
      </w:r>
      <w:r w:rsidR="004D2AA1">
        <w:rPr>
          <w:rFonts w:cs="Arial"/>
          <w:snapToGrid w:val="0"/>
          <w:szCs w:val="22"/>
        </w:rPr>
        <w:t>’</w:t>
      </w:r>
      <w:r w:rsidRPr="00E8642C">
        <w:rPr>
          <w:rFonts w:cs="Arial"/>
          <w:snapToGrid w:val="0"/>
          <w:szCs w:val="22"/>
        </w:rPr>
        <w:t>architecture et d</w:t>
      </w:r>
      <w:r w:rsidR="004D2AA1">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t>Les premières tentatives de réglementation explicite de l</w:t>
      </w:r>
      <w:r w:rsidR="004D2AA1">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4D2AA1">
        <w:rPr>
          <w:rFonts w:cs="Arial"/>
          <w:snapToGrid w:val="0"/>
          <w:spacing w:val="-2"/>
          <w:szCs w:val="22"/>
        </w:rPr>
        <w:t>’</w:t>
      </w:r>
      <w:r w:rsidRPr="00AA3C26">
        <w:rPr>
          <w:rFonts w:cs="Arial"/>
          <w:snapToGrid w:val="0"/>
          <w:spacing w:val="-2"/>
          <w:szCs w:val="22"/>
        </w:rPr>
        <w:t>auteur (Tunisie</w:t>
      </w:r>
      <w:r w:rsidR="004D2AA1">
        <w:rPr>
          <w:rFonts w:cs="Arial"/>
          <w:snapToGrid w:val="0"/>
          <w:spacing w:val="-2"/>
          <w:szCs w:val="22"/>
        </w:rPr>
        <w:t> :</w:t>
      </w:r>
      <w:r w:rsidRPr="00AA3C26">
        <w:rPr>
          <w:rFonts w:cs="Arial"/>
          <w:snapToGrid w:val="0"/>
          <w:spacing w:val="-2"/>
          <w:szCs w:val="22"/>
        </w:rPr>
        <w:t xml:space="preserve"> 1967;  Bolivie</w:t>
      </w:r>
      <w:r w:rsidR="004D2AA1">
        <w:rPr>
          <w:rFonts w:cs="Arial"/>
          <w:snapToGrid w:val="0"/>
          <w:spacing w:val="-2"/>
          <w:szCs w:val="22"/>
        </w:rPr>
        <w:t> :</w:t>
      </w:r>
      <w:r w:rsidRPr="00AA3C26">
        <w:rPr>
          <w:rFonts w:cs="Arial"/>
          <w:snapToGrid w:val="0"/>
          <w:spacing w:val="-2"/>
          <w:szCs w:val="22"/>
        </w:rPr>
        <w:t xml:space="preserve"> 1968 (uniquement pour le folklore musical);  Chili</w:t>
      </w:r>
      <w:r w:rsidR="004D2AA1">
        <w:rPr>
          <w:rFonts w:cs="Arial"/>
          <w:snapToGrid w:val="0"/>
          <w:spacing w:val="-2"/>
          <w:szCs w:val="22"/>
        </w:rPr>
        <w:t> :</w:t>
      </w:r>
      <w:r w:rsidRPr="00AA3C26">
        <w:rPr>
          <w:rFonts w:cs="Arial"/>
          <w:snapToGrid w:val="0"/>
          <w:spacing w:val="-2"/>
          <w:szCs w:val="22"/>
        </w:rPr>
        <w:t xml:space="preserve"> 1970;  Maroc</w:t>
      </w:r>
      <w:r w:rsidR="004D2AA1">
        <w:rPr>
          <w:rFonts w:cs="Arial"/>
          <w:snapToGrid w:val="0"/>
          <w:spacing w:val="-2"/>
          <w:szCs w:val="22"/>
        </w:rPr>
        <w:t> :</w:t>
      </w:r>
      <w:r w:rsidRPr="00AA3C26">
        <w:rPr>
          <w:rFonts w:cs="Arial"/>
          <w:snapToGrid w:val="0"/>
          <w:spacing w:val="-2"/>
          <w:szCs w:val="22"/>
        </w:rPr>
        <w:t xml:space="preserve"> 1970;  Algérie</w:t>
      </w:r>
      <w:r w:rsidR="004D2AA1">
        <w:rPr>
          <w:rFonts w:cs="Arial"/>
          <w:snapToGrid w:val="0"/>
          <w:spacing w:val="-2"/>
          <w:szCs w:val="22"/>
        </w:rPr>
        <w:t> :</w:t>
      </w:r>
      <w:r w:rsidRPr="00AA3C26">
        <w:rPr>
          <w:rFonts w:cs="Arial"/>
          <w:snapToGrid w:val="0"/>
          <w:spacing w:val="-2"/>
          <w:szCs w:val="22"/>
        </w:rPr>
        <w:t xml:space="preserve"> 1973;  Sénégal</w:t>
      </w:r>
      <w:r w:rsidR="004D2AA1">
        <w:rPr>
          <w:rFonts w:cs="Arial"/>
          <w:snapToGrid w:val="0"/>
          <w:spacing w:val="-2"/>
          <w:szCs w:val="22"/>
        </w:rPr>
        <w:t> :</w:t>
      </w:r>
      <w:r w:rsidRPr="00AA3C26">
        <w:rPr>
          <w:rFonts w:cs="Arial"/>
          <w:snapToGrid w:val="0"/>
          <w:spacing w:val="-2"/>
          <w:szCs w:val="22"/>
        </w:rPr>
        <w:t xml:space="preserve"> 1973;  Kenya</w:t>
      </w:r>
      <w:r w:rsidR="004D2AA1">
        <w:rPr>
          <w:rFonts w:cs="Arial"/>
          <w:snapToGrid w:val="0"/>
          <w:spacing w:val="-2"/>
          <w:szCs w:val="22"/>
        </w:rPr>
        <w:t> :</w:t>
      </w:r>
      <w:r w:rsidRPr="00AA3C26">
        <w:rPr>
          <w:rFonts w:cs="Arial"/>
          <w:snapToGrid w:val="0"/>
          <w:spacing w:val="-2"/>
          <w:szCs w:val="22"/>
        </w:rPr>
        <w:t xml:space="preserve"> 1975;  Mali</w:t>
      </w:r>
      <w:r w:rsidR="004D2AA1">
        <w:rPr>
          <w:rFonts w:cs="Arial"/>
          <w:snapToGrid w:val="0"/>
          <w:spacing w:val="-2"/>
          <w:szCs w:val="22"/>
        </w:rPr>
        <w:t> :</w:t>
      </w:r>
      <w:r w:rsidRPr="00AA3C26">
        <w:rPr>
          <w:rFonts w:cs="Arial"/>
          <w:snapToGrid w:val="0"/>
          <w:spacing w:val="-2"/>
          <w:szCs w:val="22"/>
        </w:rPr>
        <w:t xml:space="preserve"> 1977;  Burundi</w:t>
      </w:r>
      <w:r w:rsidR="004D2AA1">
        <w:rPr>
          <w:rFonts w:cs="Arial"/>
          <w:snapToGrid w:val="0"/>
          <w:spacing w:val="-2"/>
          <w:szCs w:val="22"/>
        </w:rPr>
        <w:t> :</w:t>
      </w:r>
      <w:r w:rsidRPr="00AA3C26">
        <w:rPr>
          <w:rFonts w:cs="Arial"/>
          <w:snapToGrid w:val="0"/>
          <w:spacing w:val="-2"/>
          <w:szCs w:val="22"/>
        </w:rPr>
        <w:t xml:space="preserve"> 1978;  Côte d</w:t>
      </w:r>
      <w:r w:rsidR="004D2AA1">
        <w:rPr>
          <w:rFonts w:cs="Arial"/>
          <w:snapToGrid w:val="0"/>
          <w:spacing w:val="-2"/>
          <w:szCs w:val="22"/>
        </w:rPr>
        <w:t>’</w:t>
      </w:r>
      <w:r w:rsidRPr="00AA3C26">
        <w:rPr>
          <w:rFonts w:cs="Arial"/>
          <w:snapToGrid w:val="0"/>
          <w:spacing w:val="-2"/>
          <w:szCs w:val="22"/>
        </w:rPr>
        <w:t>Ivoire</w:t>
      </w:r>
      <w:r w:rsidR="004D2AA1">
        <w:rPr>
          <w:rFonts w:cs="Arial"/>
          <w:snapToGrid w:val="0"/>
          <w:spacing w:val="-2"/>
          <w:szCs w:val="22"/>
        </w:rPr>
        <w:t> :</w:t>
      </w:r>
      <w:r w:rsidRPr="00AA3C26">
        <w:rPr>
          <w:rFonts w:cs="Arial"/>
          <w:snapToGrid w:val="0"/>
          <w:spacing w:val="-2"/>
          <w:szCs w:val="22"/>
        </w:rPr>
        <w:t xml:space="preserve"> 1978;  Guinée</w:t>
      </w:r>
      <w:r w:rsidR="004D2AA1">
        <w:rPr>
          <w:rFonts w:cs="Arial"/>
          <w:snapToGrid w:val="0"/>
          <w:spacing w:val="-2"/>
          <w:szCs w:val="22"/>
        </w:rPr>
        <w:t> :</w:t>
      </w:r>
      <w:r w:rsidRPr="00AA3C26">
        <w:rPr>
          <w:rFonts w:cs="Arial"/>
          <w:snapToGrid w:val="0"/>
          <w:spacing w:val="-2"/>
          <w:szCs w:val="22"/>
        </w:rPr>
        <w:t xml:space="preserve"> 1980;  loi type de Tunis sur le droit d</w:t>
      </w:r>
      <w:r w:rsidR="004D2AA1">
        <w:rPr>
          <w:rFonts w:cs="Arial"/>
          <w:snapToGrid w:val="0"/>
          <w:spacing w:val="-2"/>
          <w:szCs w:val="22"/>
        </w:rPr>
        <w:t>’</w:t>
      </w:r>
      <w:r w:rsidRPr="00AA3C26">
        <w:rPr>
          <w:rFonts w:cs="Arial"/>
          <w:snapToGrid w:val="0"/>
          <w:spacing w:val="-2"/>
          <w:szCs w:val="22"/>
        </w:rPr>
        <w:t>auteur à l</w:t>
      </w:r>
      <w:r w:rsidR="004D2AA1">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4D2AA1">
        <w:rPr>
          <w:rFonts w:cs="Arial"/>
          <w:snapToGrid w:val="0"/>
          <w:spacing w:val="-2"/>
          <w:szCs w:val="22"/>
        </w:rPr>
        <w:t>’</w:t>
      </w:r>
      <w:r w:rsidRPr="00AA3C26">
        <w:rPr>
          <w:rFonts w:cs="Arial"/>
          <w:snapToGrid w:val="0"/>
          <w:spacing w:val="-2"/>
          <w:szCs w:val="22"/>
        </w:rPr>
        <w:t>Organisation africaine de la propriété intellectuelle, ci</w:t>
      </w:r>
      <w:r w:rsidR="005A7440">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  au Chili</w:t>
      </w:r>
      <w:r w:rsidR="004D2AA1">
        <w:rPr>
          <w:rFonts w:cs="Arial"/>
          <w:snapToGrid w:val="0"/>
          <w:spacing w:val="-2"/>
          <w:szCs w:val="22"/>
        </w:rPr>
        <w:t> :</w:t>
      </w:r>
      <w:r w:rsidRPr="00AA3C26">
        <w:rPr>
          <w:rFonts w:cs="Arial"/>
          <w:snapToGrid w:val="0"/>
          <w:spacing w:val="-2"/>
          <w:szCs w:val="22"/>
        </w:rPr>
        <w:t xml:space="preserve"> “domaine public culturel” dont l</w:t>
      </w:r>
      <w:r w:rsidR="004D2AA1">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4D2AA1">
        <w:rPr>
          <w:rFonts w:cs="Arial"/>
          <w:snapToGrid w:val="0"/>
          <w:spacing w:val="-2"/>
          <w:szCs w:val="22"/>
        </w:rPr>
        <w:t>’</w:t>
      </w:r>
      <w:r w:rsidRPr="00AA3C26">
        <w:rPr>
          <w:rFonts w:cs="Arial"/>
          <w:snapToGrid w:val="0"/>
          <w:spacing w:val="-2"/>
          <w:szCs w:val="22"/>
        </w:rPr>
        <w:t>auteur dans la définition de ces lois (à l</w:t>
      </w:r>
      <w:r w:rsidR="004D2AA1">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4D2AA1">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4D2AA1">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4D2AA1">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4D2AA1">
        <w:rPr>
          <w:rFonts w:cs="Arial"/>
          <w:snapToGrid w:val="0"/>
          <w:spacing w:val="-2"/>
          <w:szCs w:val="22"/>
        </w:rPr>
        <w:t>’</w:t>
      </w:r>
      <w:r w:rsidRPr="00AA3C26">
        <w:rPr>
          <w:rFonts w:cs="Arial"/>
          <w:snapToGrid w:val="0"/>
          <w:spacing w:val="-2"/>
          <w:szCs w:val="22"/>
        </w:rPr>
        <w:t>œuvres dont l</w:t>
      </w:r>
      <w:r w:rsidR="004D2AA1">
        <w:rPr>
          <w:rFonts w:cs="Arial"/>
          <w:snapToGrid w:val="0"/>
          <w:spacing w:val="-2"/>
          <w:szCs w:val="22"/>
        </w:rPr>
        <w:t>’</w:t>
      </w:r>
      <w:r w:rsidRPr="00AA3C26">
        <w:rPr>
          <w:rFonts w:cs="Arial"/>
          <w:snapToGrid w:val="0"/>
          <w:spacing w:val="-2"/>
          <w:szCs w:val="22"/>
        </w:rPr>
        <w:t>utilisation à des fins commerciales exige l</w:t>
      </w:r>
      <w:r w:rsidR="004D2AA1">
        <w:rPr>
          <w:rFonts w:cs="Arial"/>
          <w:snapToGrid w:val="0"/>
          <w:spacing w:val="-2"/>
          <w:szCs w:val="22"/>
        </w:rPr>
        <w:t>’</w:t>
      </w:r>
      <w:r w:rsidRPr="00AA3C26">
        <w:rPr>
          <w:rFonts w:cs="Arial"/>
          <w:snapToGrid w:val="0"/>
          <w:spacing w:val="-2"/>
          <w:szCs w:val="22"/>
        </w:rPr>
        <w:t>approbation d</w:t>
      </w:r>
      <w:r w:rsidR="004D2AA1">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Formalité</w:t>
      </w:r>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Le Black</w:t>
      </w:r>
      <w:r w:rsidR="004D2AA1">
        <w:rPr>
          <w:rFonts w:cs="Arial"/>
          <w:snapToGrid w:val="0"/>
          <w:szCs w:val="22"/>
        </w:rPr>
        <w:t>’</w:t>
      </w:r>
      <w:r w:rsidRPr="00AA3C26">
        <w:rPr>
          <w:rFonts w:cs="Arial"/>
          <w:snapToGrid w:val="0"/>
          <w:szCs w:val="22"/>
        </w:rPr>
        <w:t>s Law Dictionary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4D2AA1">
        <w:rPr>
          <w:rFonts w:cs="Arial"/>
          <w:snapToGrid w:val="0"/>
          <w:szCs w:val="22"/>
        </w:rPr>
        <w:t>’</w:t>
      </w:r>
      <w:r w:rsidRPr="00AA3C26">
        <w:rPr>
          <w:rFonts w:cs="Arial"/>
          <w:snapToGrid w:val="0"/>
          <w:szCs w:val="22"/>
        </w:rPr>
        <w:t>auteur, le terme “formalités” renvoie à une condition de procédure ou une condition administrative, telle que l</w:t>
      </w:r>
      <w:r w:rsidR="004D2AA1">
        <w:rPr>
          <w:rFonts w:cs="Arial"/>
          <w:snapToGrid w:val="0"/>
          <w:szCs w:val="22"/>
        </w:rPr>
        <w:t>’</w:t>
      </w:r>
      <w:r w:rsidRPr="00AA3C26">
        <w:rPr>
          <w:rFonts w:cs="Arial"/>
          <w:snapToGrid w:val="0"/>
          <w:szCs w:val="22"/>
        </w:rPr>
        <w:t>insertion d</w:t>
      </w:r>
      <w:r w:rsidR="004D2AA1">
        <w:rPr>
          <w:rFonts w:cs="Arial"/>
          <w:snapToGrid w:val="0"/>
          <w:szCs w:val="22"/>
        </w:rPr>
        <w:t>’</w:t>
      </w:r>
      <w:r w:rsidRPr="00AA3C26">
        <w:rPr>
          <w:rFonts w:cs="Arial"/>
          <w:snapToGrid w:val="0"/>
          <w:szCs w:val="22"/>
        </w:rPr>
        <w:t>une mention de réserve du droit d</w:t>
      </w:r>
      <w:r w:rsidR="004D2AA1">
        <w:rPr>
          <w:rFonts w:cs="Arial"/>
          <w:snapToGrid w:val="0"/>
          <w:szCs w:val="22"/>
        </w:rPr>
        <w:t>’</w:t>
      </w:r>
      <w:r w:rsidRPr="00AA3C26">
        <w:rPr>
          <w:rFonts w:cs="Arial"/>
          <w:snapToGrid w:val="0"/>
          <w:szCs w:val="22"/>
        </w:rPr>
        <w:t>auteur, le dépôt d</w:t>
      </w:r>
      <w:r w:rsidR="004D2AA1">
        <w:rPr>
          <w:rFonts w:cs="Arial"/>
          <w:snapToGrid w:val="0"/>
          <w:szCs w:val="22"/>
        </w:rPr>
        <w:t>’</w:t>
      </w:r>
      <w:r w:rsidRPr="00AA3C26">
        <w:rPr>
          <w:rFonts w:cs="Arial"/>
          <w:snapToGrid w:val="0"/>
          <w:szCs w:val="22"/>
        </w:rPr>
        <w:t>exemplaires ou l</w:t>
      </w:r>
      <w:r w:rsidR="004D2AA1">
        <w:rPr>
          <w:rFonts w:cs="Arial"/>
          <w:snapToGrid w:val="0"/>
          <w:szCs w:val="22"/>
        </w:rPr>
        <w:t>’</w:t>
      </w:r>
      <w:r w:rsidRPr="00AA3C26">
        <w:rPr>
          <w:rFonts w:cs="Arial"/>
          <w:snapToGrid w:val="0"/>
          <w:szCs w:val="22"/>
        </w:rPr>
        <w:t>enregistrement, auxquels sont subordonnés l</w:t>
      </w:r>
      <w:r w:rsidR="004D2AA1">
        <w:rPr>
          <w:rFonts w:cs="Arial"/>
          <w:snapToGrid w:val="0"/>
          <w:szCs w:val="22"/>
        </w:rPr>
        <w:t>’</w:t>
      </w:r>
      <w:r w:rsidRPr="00AA3C26">
        <w:rPr>
          <w:rFonts w:cs="Arial"/>
          <w:snapToGrid w:val="0"/>
          <w:szCs w:val="22"/>
        </w:rPr>
        <w:t>acquisition, la jouissance et l</w:t>
      </w:r>
      <w:r w:rsidR="004D2AA1">
        <w:rPr>
          <w:rFonts w:cs="Arial"/>
          <w:snapToGrid w:val="0"/>
          <w:szCs w:val="22"/>
        </w:rPr>
        <w:t>’</w:t>
      </w:r>
      <w:r w:rsidRPr="00AA3C26">
        <w:rPr>
          <w:rFonts w:cs="Arial"/>
          <w:snapToGrid w:val="0"/>
          <w:szCs w:val="22"/>
        </w:rPr>
        <w:t>exercice (notamment l</w:t>
      </w:r>
      <w:r w:rsidR="004D2AA1">
        <w:rPr>
          <w:rFonts w:cs="Arial"/>
          <w:snapToGrid w:val="0"/>
          <w:szCs w:val="22"/>
        </w:rPr>
        <w:t>’</w:t>
      </w:r>
      <w:r w:rsidRPr="00AA3C26">
        <w:rPr>
          <w:rFonts w:cs="Arial"/>
          <w:snapToGrid w:val="0"/>
          <w:szCs w:val="22"/>
        </w:rPr>
        <w:t>opposabilité) du droit d</w:t>
      </w:r>
      <w:r w:rsidR="004D2AA1">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4D2AA1">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4D2AA1">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 droit d</w:t>
      </w:r>
      <w:r w:rsidR="004D2AA1">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4D2AA1">
        <w:rPr>
          <w:rFonts w:cs="Arial"/>
          <w:snapToGrid w:val="0"/>
          <w:szCs w:val="22"/>
        </w:rPr>
        <w:t>’</w:t>
      </w:r>
      <w:r w:rsidRPr="00AA3C26">
        <w:rPr>
          <w:rFonts w:cs="Arial"/>
          <w:snapToGrid w:val="0"/>
          <w:szCs w:val="22"/>
        </w:rPr>
        <w:t>exercice de ces droits peuvent n</w:t>
      </w:r>
      <w:r w:rsidR="004D2AA1">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r w:rsidRPr="00E8642C">
        <w:t>Fournisseurs et destinataires de ressources génétiques</w:t>
      </w:r>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4D2AA1">
        <w:rPr>
          <w:rFonts w:cs="Arial"/>
          <w:szCs w:val="22"/>
        </w:rPr>
        <w:t>y compris</w:t>
      </w:r>
      <w:r w:rsidRPr="00E8642C">
        <w:rPr>
          <w:rFonts w:cs="Arial"/>
          <w:szCs w:val="22"/>
        </w:rPr>
        <w:t xml:space="preserve"> les responsables de l</w:t>
      </w:r>
      <w:r w:rsidR="004D2AA1">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4D2AA1">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r w:rsidRPr="00E8642C">
        <w:t>Identité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4D2AA1">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Instrument de l</w:t>
      </w:r>
      <w:r w:rsidR="004D2AA1">
        <w:t>’</w:t>
      </w:r>
      <w:r w:rsidRPr="00E8642C">
        <w:t>OMPI sur la fixation des savoirs traditionnels (Instrument d</w:t>
      </w:r>
      <w:r w:rsidR="004D2AA1">
        <w:t>’</w:t>
      </w:r>
      <w:r w:rsidRPr="00E8642C">
        <w:t>aide à la fixation des 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i</w:t>
      </w:r>
      <w:r w:rsidRPr="00E8642C">
        <w:rPr>
          <w:rFonts w:cs="Arial"/>
          <w:szCs w:val="22"/>
        </w:rPr>
        <w:t>nstrument de l</w:t>
      </w:r>
      <w:r w:rsidR="004D2AA1">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4D2AA1">
        <w:rPr>
          <w:rFonts w:cs="Arial"/>
          <w:szCs w:val="22"/>
        </w:rPr>
        <w:t>’</w:t>
      </w:r>
      <w:r w:rsidRPr="00E8642C">
        <w:rPr>
          <w:rFonts w:cs="Arial"/>
          <w:szCs w:val="22"/>
        </w:rPr>
        <w:t>une gestion plus avantageuse des savoirs traditionnels en tant qu</w:t>
      </w:r>
      <w:r w:rsidR="004D2AA1">
        <w:rPr>
          <w:rFonts w:cs="Arial"/>
          <w:szCs w:val="22"/>
        </w:rPr>
        <w:t>’</w:t>
      </w:r>
      <w:r w:rsidRPr="00E8642C">
        <w:rPr>
          <w:rFonts w:cs="Arial"/>
          <w:szCs w:val="22"/>
        </w:rPr>
        <w:t>actifs intellectuels et culturels d</w:t>
      </w:r>
      <w:r w:rsidR="004D2AA1">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4D2AA1">
        <w:rPr>
          <w:rFonts w:cs="Arial"/>
          <w:szCs w:val="22"/>
        </w:rPr>
        <w:t>’</w:t>
      </w:r>
      <w:r w:rsidRPr="00E8642C">
        <w:rPr>
          <w:rFonts w:cs="Arial"/>
          <w:szCs w:val="22"/>
        </w:rPr>
        <w:t>instrument de l</w:t>
      </w:r>
      <w:r w:rsidR="004D2AA1">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4D2AA1">
        <w:rPr>
          <w:rFonts w:cs="Arial"/>
          <w:szCs w:val="22"/>
        </w:rPr>
        <w:t>’</w:t>
      </w:r>
      <w:r w:rsidRPr="00E8642C">
        <w:rPr>
          <w:rFonts w:cs="Arial"/>
          <w:szCs w:val="22"/>
        </w:rPr>
        <w:t>une des catégories suivantes</w:t>
      </w:r>
      <w:r w:rsidR="004D2AA1">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4D2AA1">
        <w:rPr>
          <w:rFonts w:cs="Arial"/>
          <w:szCs w:val="22"/>
        </w:rPr>
        <w:t>’</w:t>
      </w:r>
      <w:r w:rsidRPr="00AA3C26">
        <w:rPr>
          <w:rFonts w:cs="Arial"/>
          <w:szCs w:val="22"/>
        </w:rPr>
        <w:t>autres instruments juridiques peuvent permettre de protéger les savoirs lorsqu</w:t>
      </w:r>
      <w:r w:rsidR="004D2AA1">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4D2AA1">
        <w:rPr>
          <w:rFonts w:cs="Arial"/>
          <w:szCs w:val="22"/>
        </w:rPr>
        <w:t>’</w:t>
      </w:r>
      <w:r w:rsidR="00007531" w:rsidRPr="00AA3C26">
        <w:rPr>
          <w:rFonts w:cs="Arial"/>
          <w:szCs w:val="22"/>
        </w:rPr>
        <w:t>i</w:t>
      </w:r>
      <w:r w:rsidRPr="00AA3C26">
        <w:rPr>
          <w:rFonts w:cs="Arial"/>
          <w:szCs w:val="22"/>
        </w:rPr>
        <w:t>nstrument de l</w:t>
      </w:r>
      <w:r w:rsidR="004D2AA1">
        <w:rPr>
          <w:rFonts w:cs="Arial"/>
          <w:szCs w:val="22"/>
        </w:rPr>
        <w:t>’</w:t>
      </w:r>
      <w:r w:rsidRPr="00AA3C26">
        <w:rPr>
          <w:rFonts w:cs="Arial"/>
          <w:szCs w:val="22"/>
        </w:rPr>
        <w:t>OMPI sur la fixation des savoirs traditionnels qui est soumis à consultation aidera à évaluer les options en matière de propriété intellectuelle, ainsi qu</w:t>
      </w:r>
      <w:r w:rsidR="004D2AA1">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r w:rsidRPr="00E8642C">
        <w:t>Intégrité</w:t>
      </w:r>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4D2AA1">
        <w:rPr>
          <w:szCs w:val="22"/>
        </w:rPr>
        <w:t>’</w:t>
      </w:r>
      <w:r w:rsidRPr="00E8642C">
        <w:rPr>
          <w:szCs w:val="22"/>
        </w:rPr>
        <w:t>intégrité est le droit de s</w:t>
      </w:r>
      <w:r w:rsidR="004D2AA1">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4D2AA1">
        <w:rPr>
          <w:szCs w:val="22"/>
        </w:rPr>
        <w:t>’</w:t>
      </w:r>
      <w:r w:rsidRPr="00E8642C">
        <w:rPr>
          <w:szCs w:val="22"/>
        </w:rPr>
        <w:t>interdiction d</w:t>
      </w:r>
      <w:r w:rsidR="004D2AA1">
        <w:rPr>
          <w:szCs w:val="22"/>
        </w:rPr>
        <w:t>’</w:t>
      </w:r>
      <w:r w:rsidRPr="00E8642C">
        <w:rPr>
          <w:szCs w:val="22"/>
        </w:rPr>
        <w:t>autres atteintes à l</w:t>
      </w:r>
      <w:r w:rsidR="004D2AA1">
        <w:rPr>
          <w:szCs w:val="22"/>
        </w:rPr>
        <w:t>’</w:t>
      </w:r>
      <w:r w:rsidRPr="00E8642C">
        <w:rPr>
          <w:szCs w:val="22"/>
        </w:rPr>
        <w:t>œuvre préjudiciables à l</w:t>
      </w:r>
      <w:r w:rsidR="004D2AA1">
        <w:rPr>
          <w:szCs w:val="22"/>
        </w:rPr>
        <w:t>’</w:t>
      </w:r>
      <w:r w:rsidRPr="00E8642C">
        <w:rPr>
          <w:szCs w:val="22"/>
        </w:rPr>
        <w:t>honneur ou à la réputation de l</w:t>
      </w:r>
      <w:r w:rsidR="004D2AA1">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2A7EBB">
      <w:pPr>
        <w:pStyle w:val="Heading2"/>
        <w:spacing w:line="240" w:lineRule="auto"/>
      </w:pPr>
      <w:r w:rsidRPr="00E8642C">
        <w:t>Inventions biotechnologiques</w:t>
      </w:r>
    </w:p>
    <w:p w:rsidR="00DD607D" w:rsidRPr="00AA3C26" w:rsidRDefault="00DD607D" w:rsidP="002A7EBB">
      <w:pPr>
        <w:keepNext/>
        <w:rPr>
          <w:rFonts w:cs="Arial"/>
          <w:b/>
          <w:snapToGrid w:val="0"/>
          <w:sz w:val="20"/>
          <w:szCs w:val="22"/>
        </w:rPr>
      </w:pPr>
    </w:p>
    <w:p w:rsidR="00DD607D" w:rsidRPr="00E8642C" w:rsidRDefault="00DD607D" w:rsidP="002A7EBB">
      <w:pPr>
        <w:keepNext/>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4D2AA1">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4D2AA1">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4D2AA1">
        <w:rPr>
          <w:rFonts w:cs="Arial"/>
          <w:szCs w:val="22"/>
        </w:rPr>
        <w:t> :</w:t>
      </w:r>
      <w:r w:rsidRPr="00E8642C">
        <w:rPr>
          <w:rFonts w:cs="Arial"/>
          <w:szCs w:val="22"/>
        </w:rPr>
        <w:t xml:space="preserve"> elles représentent à la fois les procédés de création ou de modification d</w:t>
      </w:r>
      <w:r w:rsidR="004D2AA1">
        <w:rPr>
          <w:rFonts w:cs="Arial"/>
          <w:szCs w:val="22"/>
        </w:rPr>
        <w:t>’</w:t>
      </w:r>
      <w:r w:rsidRPr="00E8642C">
        <w:rPr>
          <w:rFonts w:cs="Arial"/>
          <w:szCs w:val="22"/>
        </w:rPr>
        <w:t>organismes vivants et de matériel biologique, les résultats de ces procédés et l</w:t>
      </w:r>
      <w:r w:rsidR="004D2AA1">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DD607D" w:rsidP="00EF6794">
      <w:pPr>
        <w:pStyle w:val="Heading2"/>
        <w:spacing w:line="240" w:lineRule="auto"/>
        <w:rPr>
          <w:rStyle w:val="Strong"/>
          <w:b/>
          <w:bCs/>
          <w:caps/>
        </w:rPr>
      </w:pPr>
      <w:r w:rsidRPr="00E8642C">
        <w:t>Lignes directrices de Bonn sur l</w:t>
      </w:r>
      <w:r w:rsidR="004D2AA1">
        <w:t>’</w:t>
      </w:r>
      <w:r w:rsidRPr="00E8642C">
        <w:t>accès aux ressources génétiques et le partage juste et équitable des avantages résultant de leur utilisation</w:t>
      </w:r>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4D2AA1">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4D2AA1">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4D2AA1">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4D2AA1">
        <w:rPr>
          <w:rFonts w:cs="Arial"/>
          <w:szCs w:val="22"/>
        </w:rPr>
        <w:t>’</w:t>
      </w:r>
      <w:r w:rsidRPr="00E8642C">
        <w:rPr>
          <w:rFonts w:cs="Arial"/>
          <w:szCs w:val="22"/>
        </w:rPr>
        <w:t>application volontaire et s</w:t>
      </w:r>
      <w:r w:rsidR="004D2AA1">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r w:rsidRPr="00E8642C">
        <w:t>Limitations</w:t>
      </w:r>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“Limitation”, selon le Black</w:t>
      </w:r>
      <w:r w:rsidR="004D2AA1">
        <w:rPr>
          <w:rFonts w:cs="Arial"/>
          <w:szCs w:val="22"/>
        </w:rPr>
        <w:t>’</w:t>
      </w:r>
      <w:r w:rsidRPr="00E8642C">
        <w:rPr>
          <w:rFonts w:cs="Arial"/>
          <w:szCs w:val="22"/>
        </w:rPr>
        <w:t>s Law Dictionary, renvoie à l</w:t>
      </w:r>
      <w:r w:rsidR="004D2AA1">
        <w:rPr>
          <w:rFonts w:cs="Arial"/>
          <w:szCs w:val="22"/>
        </w:rPr>
        <w:t>’</w:t>
      </w:r>
      <w:r w:rsidRPr="00E8642C">
        <w:rPr>
          <w:rFonts w:cs="Arial"/>
          <w:szCs w:val="22"/>
        </w:rPr>
        <w:t>acte de limiter, à la qualité, l</w:t>
      </w:r>
      <w:r w:rsidR="004D2AA1">
        <w:rPr>
          <w:rFonts w:cs="Arial"/>
          <w:szCs w:val="22"/>
        </w:rPr>
        <w:t>’</w:t>
      </w:r>
      <w:r w:rsidRPr="00E8642C">
        <w:rPr>
          <w:rFonts w:cs="Arial"/>
          <w:szCs w:val="22"/>
        </w:rPr>
        <w:t>état ou la condition conféré par le fait d</w:t>
      </w:r>
      <w:r w:rsidR="004D2AA1">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4D2AA1">
        <w:rPr>
          <w:rFonts w:cs="Arial"/>
          <w:szCs w:val="22"/>
        </w:rPr>
        <w:t>’</w:t>
      </w:r>
      <w:r w:rsidRPr="00E8642C">
        <w:rPr>
          <w:rFonts w:cs="Arial"/>
          <w:szCs w:val="22"/>
        </w:rPr>
        <w:t>œuvres protégées, les législations sur le droit d</w:t>
      </w:r>
      <w:r w:rsidR="004D2AA1">
        <w:rPr>
          <w:rFonts w:cs="Arial"/>
          <w:szCs w:val="22"/>
        </w:rPr>
        <w:t>’</w:t>
      </w:r>
      <w:r w:rsidRPr="00E8642C">
        <w:rPr>
          <w:rFonts w:cs="Arial"/>
          <w:szCs w:val="22"/>
        </w:rPr>
        <w:t>auteur autorisent certaines limitations aux droits patrimoniaux,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qu</w:t>
      </w:r>
      <w:r w:rsidR="004D2AA1">
        <w:rPr>
          <w:rFonts w:cs="Arial"/>
          <w:szCs w:val="22"/>
        </w:rPr>
        <w:t>’</w:t>
      </w:r>
      <w:r w:rsidRPr="00E8642C">
        <w:rPr>
          <w:rFonts w:cs="Arial"/>
          <w:szCs w:val="22"/>
        </w:rPr>
        <w:t>il existe des cas où les œuvres protégées peuvent être utilisées sans l</w:t>
      </w:r>
      <w:r w:rsidR="004D2AA1">
        <w:rPr>
          <w:rFonts w:cs="Arial"/>
          <w:szCs w:val="22"/>
        </w:rPr>
        <w:t>’</w:t>
      </w:r>
      <w:r w:rsidRPr="00E8642C">
        <w:rPr>
          <w:rFonts w:cs="Arial"/>
          <w:szCs w:val="22"/>
        </w:rPr>
        <w:t>autorisation du titulaire du droit et avec ou sans paiement d</w:t>
      </w:r>
      <w:r w:rsidR="004D2AA1">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4D2AA1">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4D2AA1">
        <w:rPr>
          <w:rFonts w:cs="Arial"/>
          <w:szCs w:val="22"/>
        </w:rPr>
        <w:t>’</w:t>
      </w:r>
      <w:r w:rsidRPr="00E8642C">
        <w:rPr>
          <w:rFonts w:cs="Arial"/>
          <w:szCs w:val="22"/>
        </w:rPr>
        <w:t>article 13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4D2AA1">
        <w:rPr>
          <w:rFonts w:cs="Arial"/>
          <w:szCs w:val="22"/>
        </w:rPr>
        <w:t>’</w:t>
      </w:r>
      <w:r w:rsidRPr="00E8642C">
        <w:rPr>
          <w:rFonts w:cs="Arial"/>
          <w:szCs w:val="22"/>
        </w:rPr>
        <w:t>Organisation mondiale du commerce (OMC), à l</w:t>
      </w:r>
      <w:r w:rsidR="004D2AA1">
        <w:rPr>
          <w:rFonts w:cs="Arial"/>
          <w:szCs w:val="22"/>
        </w:rPr>
        <w:t>’</w:t>
      </w:r>
      <w:r w:rsidRPr="00E8642C">
        <w:rPr>
          <w:rFonts w:cs="Arial"/>
          <w:szCs w:val="22"/>
        </w:rPr>
        <w:t>article 10 du </w:t>
      </w:r>
      <w:r w:rsidRPr="00E8642C">
        <w:rPr>
          <w:rFonts w:cs="Arial"/>
          <w:i/>
          <w:szCs w:val="22"/>
        </w:rPr>
        <w:t>Traité de l</w:t>
      </w:r>
      <w:r w:rsidR="004D2AA1">
        <w:rPr>
          <w:rFonts w:cs="Arial"/>
          <w:i/>
          <w:szCs w:val="22"/>
        </w:rPr>
        <w:t>’</w:t>
      </w:r>
      <w:r w:rsidRPr="00E8642C">
        <w:rPr>
          <w:rFonts w:cs="Arial"/>
          <w:i/>
          <w:szCs w:val="22"/>
        </w:rPr>
        <w:t>OMPI sur le droit d</w:t>
      </w:r>
      <w:r w:rsidR="004D2AA1">
        <w:rPr>
          <w:rFonts w:cs="Arial"/>
          <w:i/>
          <w:szCs w:val="22"/>
        </w:rPr>
        <w:t>’</w:t>
      </w:r>
      <w:r w:rsidRPr="00E8642C">
        <w:rPr>
          <w:rFonts w:cs="Arial"/>
          <w:i/>
          <w:szCs w:val="22"/>
        </w:rPr>
        <w:t>auteur</w:t>
      </w:r>
      <w:r w:rsidRPr="00E8642C">
        <w:rPr>
          <w:rFonts w:cs="Arial"/>
          <w:szCs w:val="22"/>
        </w:rPr>
        <w:t xml:space="preserve"> (WCT), à titre d</w:t>
      </w:r>
      <w:r w:rsidR="004D2AA1">
        <w:rPr>
          <w:rFonts w:cs="Arial"/>
          <w:szCs w:val="22"/>
        </w:rPr>
        <w:t>’</w:t>
      </w:r>
      <w:r w:rsidRPr="00E8642C">
        <w:rPr>
          <w:rFonts w:cs="Arial"/>
          <w:szCs w:val="22"/>
        </w:rPr>
        <w:t>essai pour les exceptions à tous les droits patrimoniaux prévus au titre du droit d</w:t>
      </w:r>
      <w:r w:rsidR="004D2AA1">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4D2AA1">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Matériel génétique</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4D2AA1">
        <w:rPr>
          <w:rFonts w:cs="Arial"/>
          <w:szCs w:val="22"/>
        </w:rPr>
        <w:t>’</w:t>
      </w:r>
      <w:r w:rsidRPr="00E8642C">
        <w:rPr>
          <w:rFonts w:cs="Arial"/>
          <w:szCs w:val="22"/>
        </w:rPr>
        <w:t>entend de tout “</w:t>
      </w:r>
      <w:r w:rsidRPr="00E8642C">
        <w:rPr>
          <w:rFonts w:cs="Arial"/>
          <w:iCs/>
          <w:szCs w:val="22"/>
        </w:rPr>
        <w:t>matériel d</w:t>
      </w:r>
      <w:r w:rsidR="004D2AA1">
        <w:rPr>
          <w:rFonts w:cs="Arial"/>
          <w:iCs/>
          <w:szCs w:val="22"/>
        </w:rPr>
        <w:t>’</w:t>
      </w:r>
      <w:r w:rsidRPr="00E8642C">
        <w:rPr>
          <w:rFonts w:cs="Arial"/>
          <w:iCs/>
          <w:szCs w:val="22"/>
        </w:rPr>
        <w:t>origine végétale, animale, microbienne ou autre, contenant des unités fonctionnelles de l</w:t>
      </w:r>
      <w:r w:rsidR="004D2AA1">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4D2AA1">
        <w:rPr>
          <w:rFonts w:cs="Arial"/>
          <w:iCs/>
          <w:szCs w:val="22"/>
        </w:rPr>
        <w:t>’</w:t>
      </w:r>
      <w:r w:rsidRPr="00E8642C">
        <w:rPr>
          <w:rFonts w:cs="Arial"/>
          <w:iCs/>
          <w:szCs w:val="22"/>
        </w:rPr>
        <w:t>hérédité sont à l</w:t>
      </w:r>
      <w:r w:rsidR="004D2AA1">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Mécanisme d</w:t>
      </w:r>
      <w:r w:rsidR="004D2AA1">
        <w:t>’</w:t>
      </w:r>
      <w:r w:rsidRPr="00E8642C">
        <w:t>échange d</w:t>
      </w:r>
      <w:r w:rsidR="004D2AA1">
        <w:t>’</w:t>
      </w:r>
      <w:r w:rsidRPr="00E8642C">
        <w:t>information</w:t>
      </w:r>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le Mécanisme d</w:t>
      </w:r>
      <w:r w:rsidR="004D2AA1">
        <w:rPr>
          <w:rFonts w:cs="Arial"/>
          <w:szCs w:val="22"/>
        </w:rPr>
        <w:t>’</w:t>
      </w:r>
      <w:r w:rsidRPr="00E8642C">
        <w:rPr>
          <w:rFonts w:cs="Arial"/>
          <w:szCs w:val="22"/>
        </w:rPr>
        <w:t>échange d</w:t>
      </w:r>
      <w:r w:rsidR="004D2AA1">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4D2AA1">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4D2AA1">
        <w:rPr>
          <w:rFonts w:cs="Arial"/>
          <w:color w:val="000000"/>
          <w:szCs w:val="22"/>
        </w:rPr>
        <w:t>’</w:t>
      </w:r>
      <w:r w:rsidRPr="00E8642C">
        <w:rPr>
          <w:rFonts w:cs="Arial"/>
          <w:color w:val="000000"/>
          <w:szCs w:val="22"/>
        </w:rPr>
        <w:t>information, rapprochant ainsi l</w:t>
      </w:r>
      <w:r w:rsidR="004D2AA1">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4D2AA1">
        <w:rPr>
          <w:color w:val="161513"/>
          <w:szCs w:val="22"/>
        </w:rPr>
        <w:t>’</w:t>
      </w:r>
      <w:r w:rsidRPr="00E8642C">
        <w:rPr>
          <w:color w:val="161513"/>
          <w:szCs w:val="22"/>
        </w:rPr>
        <w:t>échange pour faire en sorte que tous les gouvernements aient accès à l</w:t>
      </w:r>
      <w:r w:rsidR="004D2AA1">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Médecine traditionnelle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4D2AA1">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4D2AA1">
        <w:rPr>
          <w:rFonts w:cs="Arial"/>
          <w:szCs w:val="22"/>
        </w:rPr>
        <w:t>’</w:t>
      </w:r>
      <w:r w:rsidRPr="00E8642C">
        <w:rPr>
          <w:rFonts w:cs="Arial"/>
          <w:szCs w:val="22"/>
        </w:rPr>
        <w:t>animaux et/ou de minéraux, des traitements spirituels, des techniques manuelles et exercices, appliqués seuls ou en association afin de maintenir le bien</w:t>
      </w:r>
      <w:r w:rsidR="005A7440">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Minorité</w:t>
      </w:r>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Selon le Black</w:t>
      </w:r>
      <w:r w:rsidR="004D2AA1">
        <w:rPr>
          <w:rFonts w:cs="Arial"/>
          <w:szCs w:val="22"/>
        </w:rPr>
        <w:t>’</w:t>
      </w:r>
      <w:r w:rsidRPr="00E8642C">
        <w:rPr>
          <w:rFonts w:cs="Arial"/>
          <w:szCs w:val="22"/>
        </w:rPr>
        <w:t>s Law Dictionary,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4D2AA1">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4D2AA1">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4D2AA1">
        <w:rPr>
          <w:rFonts w:cs="Arial"/>
          <w:szCs w:val="22"/>
        </w:rPr>
        <w:t>’</w:t>
      </w:r>
      <w:r w:rsidRPr="00AA3C26">
        <w:rPr>
          <w:rFonts w:cs="Arial"/>
          <w:szCs w:val="22"/>
        </w:rPr>
        <w:t>existence et l</w:t>
      </w:r>
      <w:r w:rsidR="004D2AA1">
        <w:rPr>
          <w:rFonts w:cs="Arial"/>
          <w:szCs w:val="22"/>
        </w:rPr>
        <w:t>’</w:t>
      </w:r>
      <w:r w:rsidRPr="00AA3C26">
        <w:rPr>
          <w:rFonts w:cs="Arial"/>
          <w:szCs w:val="22"/>
        </w:rPr>
        <w:t>identité nationale ou ethnique, culturelle, religieuse ou linguistique des minorités, sur leurs territoires respectifs, et favorisent l</w:t>
      </w:r>
      <w:r w:rsidR="004D2AA1">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4D2AA1">
        <w:rPr>
          <w:rFonts w:cs="Arial"/>
          <w:szCs w:val="22"/>
        </w:rPr>
        <w:t>’</w:t>
      </w:r>
      <w:r w:rsidRPr="00AA3C26">
        <w:rPr>
          <w:rFonts w:cs="Arial"/>
          <w:szCs w:val="22"/>
        </w:rPr>
        <w:t>avoir, en commun avec les autres membres de leur groupe, leur propre vie culturelle, de professer et de pratiquer leur propre religion, ou d</w:t>
      </w:r>
      <w:r w:rsidR="004D2AA1">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r w:rsidRPr="00E8642C">
        <w:t>Modification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4D2AA1">
        <w:rPr>
          <w:rFonts w:cs="Arial"/>
          <w:szCs w:val="22"/>
        </w:rPr>
        <w:t>’</w:t>
      </w:r>
      <w:r w:rsidRPr="00E8642C">
        <w:rPr>
          <w:rFonts w:cs="Arial"/>
          <w:szCs w:val="22"/>
        </w:rPr>
        <w:t>auteur le droit de s</w:t>
      </w:r>
      <w:r w:rsidR="004D2AA1">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Mutilation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4D2AA1">
        <w:rPr>
          <w:rFonts w:cs="Arial"/>
          <w:szCs w:val="22"/>
        </w:rPr>
        <w:t>’</w:t>
      </w:r>
      <w:r w:rsidRPr="00E8642C">
        <w:rPr>
          <w:rFonts w:cs="Arial"/>
          <w:szCs w:val="22"/>
        </w:rPr>
        <w:t>acte de couper ou de supprimer une partie d</w:t>
      </w:r>
      <w:r w:rsidR="004D2AA1">
        <w:rPr>
          <w:rFonts w:cs="Arial"/>
          <w:szCs w:val="22"/>
        </w:rPr>
        <w:t>’</w:t>
      </w:r>
      <w:r w:rsidRPr="00E8642C">
        <w:rPr>
          <w:rFonts w:cs="Arial"/>
          <w:szCs w:val="22"/>
        </w:rPr>
        <w:t>une chose, en particulier d</w:t>
      </w:r>
      <w:r w:rsidR="004D2AA1">
        <w:rPr>
          <w:rFonts w:cs="Arial"/>
          <w:szCs w:val="22"/>
        </w:rPr>
        <w:t>’</w:t>
      </w:r>
      <w:r w:rsidRPr="00E8642C">
        <w:rPr>
          <w:rFonts w:cs="Arial"/>
          <w:szCs w:val="22"/>
        </w:rPr>
        <w:t>un livre ou de tout autre document, de modifier ou de détruire une partie du contenu ou du sens, selon l</w:t>
      </w:r>
      <w:r w:rsidR="004D2AA1">
        <w:rPr>
          <w:rFonts w:cs="Arial"/>
          <w:szCs w:val="22"/>
        </w:rPr>
        <w:t>’</w:t>
      </w:r>
      <w:r w:rsidRPr="00E8642C">
        <w:rPr>
          <w:rFonts w:cs="Arial"/>
          <w:szCs w:val="22"/>
        </w:rPr>
        <w:t>Oxford English Dictiona</w:t>
      </w:r>
      <w:r w:rsidR="00007531" w:rsidRPr="00E8642C">
        <w:rPr>
          <w:rFonts w:cs="Arial"/>
          <w:szCs w:val="22"/>
        </w:rPr>
        <w:t>ry</w:t>
      </w:r>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4D2AA1">
        <w:rPr>
          <w:rFonts w:cs="Arial"/>
          <w:szCs w:val="22"/>
        </w:rPr>
        <w:t>’</w:t>
      </w:r>
      <w:r w:rsidRPr="00E8642C">
        <w:rPr>
          <w:rFonts w:cs="Arial"/>
          <w:szCs w:val="22"/>
        </w:rPr>
        <w:t>une des caractéristiques du droit moral de l</w:t>
      </w:r>
      <w:r w:rsidR="004D2AA1">
        <w:rPr>
          <w:rFonts w:cs="Arial"/>
          <w:szCs w:val="22"/>
        </w:rPr>
        <w:t>’</w:t>
      </w:r>
      <w:r w:rsidRPr="00E8642C">
        <w:rPr>
          <w:rFonts w:cs="Arial"/>
          <w:szCs w:val="22"/>
        </w:rPr>
        <w:t>auteur, selon l</w:t>
      </w:r>
      <w:r w:rsidR="004D2AA1">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Nation</w:t>
      </w:r>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10" w:name="_Ref289681765"/>
      <w:r w:rsidRPr="00E8642C">
        <w:rPr>
          <w:rFonts w:cs="Arial"/>
          <w:szCs w:val="22"/>
        </w:rPr>
        <w:t>Le Black</w:t>
      </w:r>
      <w:r w:rsidR="004D2AA1">
        <w:rPr>
          <w:rFonts w:cs="Arial"/>
          <w:szCs w:val="22"/>
        </w:rPr>
        <w:t>’</w:t>
      </w:r>
      <w:r w:rsidRPr="00E8642C">
        <w:rPr>
          <w:rFonts w:cs="Arial"/>
          <w:szCs w:val="22"/>
        </w:rPr>
        <w:t>s Law Dictionary définit le terme “nation” de la manière suivante</w:t>
      </w:r>
      <w:r w:rsidR="004D2AA1">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10"/>
      <w:r w:rsidRPr="00E8642C">
        <w:rPr>
          <w:rFonts w:cs="Arial"/>
          <w:szCs w:val="22"/>
        </w:rPr>
        <w:t>.  Le terme “nation” renvoie à l</w:t>
      </w:r>
      <w:r w:rsidR="004D2AA1">
        <w:rPr>
          <w:rFonts w:cs="Arial"/>
          <w:szCs w:val="22"/>
        </w:rPr>
        <w:t>’</w:t>
      </w:r>
      <w:r w:rsidRPr="00E8642C">
        <w:rPr>
          <w:rFonts w:cs="Arial"/>
          <w:szCs w:val="22"/>
        </w:rPr>
        <w:t>idée d</w:t>
      </w:r>
      <w:r w:rsidR="004D2AA1">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4D2AA1">
        <w:rPr>
          <w:rFonts w:cs="Arial"/>
          <w:szCs w:val="22"/>
        </w:rPr>
        <w:t>’</w:t>
      </w:r>
      <w:r w:rsidRPr="00E8642C">
        <w:rPr>
          <w:rFonts w:cs="Arial"/>
          <w:szCs w:val="22"/>
        </w:rPr>
        <w:t>un pays entier, une “nation”, dans les cas où les expressions culturelles traditionnelles sont considérées comme l</w:t>
      </w:r>
      <w:r w:rsidR="004D2AA1">
        <w:rPr>
          <w:rFonts w:cs="Arial"/>
          <w:szCs w:val="22"/>
        </w:rPr>
        <w:t>’</w:t>
      </w:r>
      <w:r w:rsidRPr="00E8642C">
        <w:rPr>
          <w:rFonts w:cs="Arial"/>
          <w:szCs w:val="22"/>
        </w:rPr>
        <w:t>expression d</w:t>
      </w:r>
      <w:r w:rsidR="004D2AA1">
        <w:rPr>
          <w:rFonts w:cs="Arial"/>
          <w:szCs w:val="22"/>
        </w:rPr>
        <w:t>’</w:t>
      </w:r>
      <w:r w:rsidRPr="00E8642C">
        <w:rPr>
          <w:rFonts w:cs="Arial"/>
          <w:szCs w:val="22"/>
        </w:rPr>
        <w:t>un “folklore national” appartenant à l</w:t>
      </w:r>
      <w:r w:rsidR="004D2AA1">
        <w:rPr>
          <w:rFonts w:cs="Arial"/>
          <w:szCs w:val="22"/>
        </w:rPr>
        <w:t>’</w:t>
      </w:r>
      <w:r w:rsidRPr="00E8642C">
        <w:rPr>
          <w:rFonts w:cs="Arial"/>
          <w:szCs w:val="22"/>
        </w:rPr>
        <w:t>ensemble de la population d</w:t>
      </w:r>
      <w:r w:rsidR="004D2AA1">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4D2AA1">
        <w:rPr>
          <w:rFonts w:cs="Arial"/>
          <w:szCs w:val="22"/>
        </w:rPr>
        <w:t>’</w:t>
      </w:r>
      <w:r w:rsidRPr="00E8642C">
        <w:rPr>
          <w:rFonts w:cs="Arial"/>
          <w:szCs w:val="22"/>
        </w:rPr>
        <w:t>autres domaines d</w:t>
      </w:r>
      <w:r w:rsidR="004D2AA1">
        <w:rPr>
          <w:rFonts w:cs="Arial"/>
          <w:szCs w:val="22"/>
        </w:rPr>
        <w:t>’</w:t>
      </w:r>
      <w:r w:rsidRPr="00E8642C">
        <w:rPr>
          <w:rFonts w:cs="Arial"/>
          <w:szCs w:val="22"/>
        </w:rPr>
        <w:t>action et s</w:t>
      </w:r>
      <w:r w:rsidR="004D2AA1">
        <w:rPr>
          <w:rFonts w:cs="Arial"/>
          <w:szCs w:val="22"/>
        </w:rPr>
        <w:t>’</w:t>
      </w:r>
      <w:r w:rsidRPr="00E8642C">
        <w:rPr>
          <w:rFonts w:cs="Arial"/>
          <w:szCs w:val="22"/>
        </w:rPr>
        <w:t>inscrit en complément de celle</w:t>
      </w:r>
      <w:r w:rsidR="005A7440">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r w:rsidRPr="00E8642C">
        <w:t>Nouveauté</w:t>
      </w:r>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4D2AA1">
        <w:rPr>
          <w:rFonts w:cs="Arial"/>
          <w:szCs w:val="22"/>
        </w:rPr>
        <w:t>’</w:t>
      </w:r>
      <w:r w:rsidRPr="00E8642C">
        <w:rPr>
          <w:rFonts w:cs="Arial"/>
          <w:szCs w:val="22"/>
        </w:rPr>
        <w:t>un des critères de brevetabilité pris en considération dans l</w:t>
      </w:r>
      <w:r w:rsidR="004D2AA1">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y a pas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4D2AA1">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4D2AA1">
        <w:rPr>
          <w:rFonts w:cs="Arial"/>
          <w:szCs w:val="22"/>
        </w:rPr>
        <w:t> :</w:t>
      </w:r>
      <w:r w:rsidRPr="00E8642C">
        <w:rPr>
          <w:rFonts w:cs="Arial"/>
          <w:szCs w:val="22"/>
        </w:rPr>
        <w:t xml:space="preserve"> “[a]ux fins de l</w:t>
      </w:r>
      <w:r w:rsidR="004D2AA1">
        <w:rPr>
          <w:rFonts w:cs="Arial"/>
          <w:szCs w:val="22"/>
        </w:rPr>
        <w:t>’</w:t>
      </w:r>
      <w:r w:rsidRPr="00E8642C">
        <w:rPr>
          <w:rFonts w:cs="Arial"/>
          <w:szCs w:val="22"/>
        </w:rPr>
        <w:t>examen préliminaire international, l</w:t>
      </w:r>
      <w:r w:rsidR="004D2AA1">
        <w:rPr>
          <w:rFonts w:cs="Arial"/>
          <w:szCs w:val="22"/>
        </w:rPr>
        <w:t>’</w:t>
      </w:r>
      <w:r w:rsidRPr="00E8642C">
        <w:rPr>
          <w:rFonts w:cs="Arial"/>
          <w:szCs w:val="22"/>
        </w:rPr>
        <w:t>invention dont la protection est demandée est considérée comme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est pas trouvé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 tel qu</w:t>
      </w:r>
      <w:r w:rsidR="004D2AA1">
        <w:rPr>
          <w:rFonts w:cs="Arial"/>
          <w:szCs w:val="22"/>
        </w:rPr>
        <w:t>’</w:t>
      </w:r>
      <w:r w:rsidRPr="00E8642C">
        <w:rPr>
          <w:rFonts w:cs="Arial"/>
          <w:szCs w:val="22"/>
        </w:rPr>
        <w:t>il est défini dans le règlement d</w:t>
      </w:r>
      <w:r w:rsidR="004D2AA1">
        <w:rPr>
          <w:rFonts w:cs="Arial"/>
          <w:szCs w:val="22"/>
        </w:rPr>
        <w:t>’</w:t>
      </w:r>
      <w:r w:rsidRPr="00E8642C">
        <w:rPr>
          <w:rFonts w:cs="Arial"/>
          <w:szCs w:val="22"/>
        </w:rPr>
        <w:t>exécution”.  Selon la règle 64.1.a) du règlement d</w:t>
      </w:r>
      <w:r w:rsidR="004D2AA1">
        <w:rPr>
          <w:rFonts w:cs="Arial"/>
          <w:szCs w:val="22"/>
        </w:rPr>
        <w:t>’</w:t>
      </w:r>
      <w:r w:rsidRPr="00E8642C">
        <w:rPr>
          <w:rFonts w:cs="Arial"/>
          <w:szCs w:val="22"/>
        </w:rPr>
        <w:t>exécution du PCT, “est considéré comme faisant partie de l</w:t>
      </w:r>
      <w:r w:rsidR="004D2AA1">
        <w:rPr>
          <w:rFonts w:cs="Arial"/>
          <w:szCs w:val="22"/>
        </w:rPr>
        <w:t>’</w:t>
      </w:r>
      <w:r w:rsidRPr="00E8642C">
        <w:rPr>
          <w:rFonts w:cs="Arial"/>
          <w:szCs w:val="22"/>
        </w:rPr>
        <w:t>état de la technique tout ce qui a été rendu accessible au public en tous lieux du monde par une divulgation écrite (</w:t>
      </w:r>
      <w:r w:rsidR="004D2AA1">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4D2AA1">
        <w:rPr>
          <w:rFonts w:cs="Arial"/>
          <w:szCs w:val="22"/>
          <w:lang w:eastAsia="en-US" w:bidi="th-TH"/>
        </w:rPr>
        <w:t> :</w:t>
      </w:r>
      <w:r w:rsidRPr="00E8642C">
        <w:rPr>
          <w:rFonts w:cs="Arial"/>
          <w:szCs w:val="22"/>
          <w:lang w:eastAsia="en-US" w:bidi="th-TH"/>
        </w:rPr>
        <w:t xml:space="preserve"> “[u]ne invention est considérée comme nouvelle si elle n</w:t>
      </w:r>
      <w:r w:rsidR="004D2AA1">
        <w:rPr>
          <w:rFonts w:cs="Arial"/>
          <w:szCs w:val="22"/>
          <w:lang w:eastAsia="en-US" w:bidi="th-TH"/>
        </w:rPr>
        <w:t>’</w:t>
      </w:r>
      <w:r w:rsidRPr="00E8642C">
        <w:rPr>
          <w:rFonts w:cs="Arial"/>
          <w:szCs w:val="22"/>
          <w:lang w:eastAsia="en-US" w:bidi="th-TH"/>
        </w:rPr>
        <w:t>est pas comprise dans l</w:t>
      </w:r>
      <w:r w:rsidR="004D2AA1">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4D2AA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4D2AA1">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4D2AA1">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4D2AA1">
        <w:t>’</w:t>
      </w:r>
      <w:r w:rsidRPr="00E8642C">
        <w:t>objet d</w:t>
      </w:r>
      <w:r w:rsidR="004D2AA1">
        <w:t>’</w:t>
      </w:r>
      <w:r w:rsidRPr="00E8642C">
        <w:t xml:space="preserve">un usage </w:t>
      </w:r>
      <w:r w:rsidRPr="00E8642C">
        <w:rPr>
          <w:rFonts w:cs="Arial"/>
          <w:iCs/>
          <w:szCs w:val="22"/>
          <w:lang w:eastAsia="en-US" w:bidi="th-TH"/>
        </w:rPr>
        <w:t>public, était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2) sauf si l</w:t>
      </w:r>
      <w:r w:rsidR="004D2AA1">
        <w:rPr>
          <w:rFonts w:cs="Arial"/>
          <w:iCs/>
          <w:szCs w:val="22"/>
          <w:lang w:eastAsia="en-US" w:bidi="th-TH"/>
        </w:rPr>
        <w:t>’</w:t>
      </w:r>
      <w:r w:rsidRPr="00E8642C">
        <w:rPr>
          <w:rFonts w:cs="Arial"/>
          <w:iCs/>
          <w:szCs w:val="22"/>
          <w:lang w:eastAsia="en-US" w:bidi="th-TH"/>
        </w:rPr>
        <w:t>invention revendiquée était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et 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r w:rsidRPr="00E8642C">
        <w:t>Œuvre dérivée</w:t>
      </w:r>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4D2AA1">
        <w:rPr>
          <w:rFonts w:cs="Arial"/>
          <w:szCs w:val="22"/>
        </w:rPr>
        <w:t>’</w:t>
      </w:r>
      <w:r w:rsidRPr="00E8642C">
        <w:rPr>
          <w:rFonts w:cs="Arial"/>
          <w:szCs w:val="22"/>
        </w:rPr>
        <w:t>auteur, l</w:t>
      </w:r>
      <w:r w:rsidR="004D2AA1">
        <w:rPr>
          <w:rFonts w:cs="Arial"/>
          <w:szCs w:val="22"/>
        </w:rPr>
        <w:t>’</w:t>
      </w:r>
      <w:r w:rsidRPr="00E8642C">
        <w:rPr>
          <w:rFonts w:cs="Arial"/>
          <w:szCs w:val="22"/>
        </w:rPr>
        <w:t>expression “œuvres dérivées” s</w:t>
      </w:r>
      <w:r w:rsidR="004D2AA1">
        <w:rPr>
          <w:rFonts w:cs="Arial"/>
          <w:szCs w:val="22"/>
        </w:rPr>
        <w:t>’</w:t>
      </w:r>
      <w:r w:rsidRPr="00E8642C">
        <w:rPr>
          <w:rFonts w:cs="Arial"/>
          <w:szCs w:val="22"/>
        </w:rPr>
        <w:t>entend, en général, des traductions, adaptations, arrangements et autres transformations d</w:t>
      </w:r>
      <w:r w:rsidR="004D2AA1">
        <w:rPr>
          <w:rFonts w:cs="Arial"/>
          <w:szCs w:val="22"/>
        </w:rPr>
        <w:t>’</w:t>
      </w:r>
      <w:r w:rsidRPr="00E8642C">
        <w:rPr>
          <w:rFonts w:cs="Arial"/>
          <w:szCs w:val="22"/>
        </w:rPr>
        <w:t>œuvres préexistantes protégées comme telles en vertu de l</w:t>
      </w:r>
      <w:r w:rsidR="004D2AA1">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4D2AA1">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4D2AA1">
        <w:rPr>
          <w:rFonts w:cs="Arial"/>
          <w:szCs w:val="22"/>
        </w:rPr>
        <w:t>’</w:t>
      </w:r>
      <w:r w:rsidRPr="00E8642C">
        <w:rPr>
          <w:rFonts w:cs="Arial"/>
          <w:szCs w:val="22"/>
        </w:rPr>
        <w:t>œuvres protégés en vertu de l</w:t>
      </w:r>
      <w:r w:rsidR="004D2AA1">
        <w:rPr>
          <w:rFonts w:cs="Arial"/>
          <w:szCs w:val="22"/>
        </w:rPr>
        <w:t>’</w:t>
      </w:r>
      <w:r w:rsidRPr="00E8642C">
        <w:rPr>
          <w:rFonts w:cs="Arial"/>
          <w:szCs w:val="22"/>
        </w:rPr>
        <w:t>article 2.5) de la Convention de Berne (ainsi que de l</w:t>
      </w:r>
      <w:r w:rsidR="004D2AA1">
        <w:rPr>
          <w:rFonts w:cs="Arial"/>
          <w:szCs w:val="22"/>
        </w:rPr>
        <w:t>’</w:t>
      </w:r>
      <w:r w:rsidRPr="00E8642C">
        <w:rPr>
          <w:rFonts w:cs="Arial"/>
          <w:szCs w:val="22"/>
        </w:rPr>
        <w:t>article 10.2)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4D2AA1">
        <w:rPr>
          <w:rFonts w:cs="Arial"/>
          <w:szCs w:val="22"/>
        </w:rPr>
        <w:t>’</w:t>
      </w:r>
      <w:r w:rsidRPr="00E8642C">
        <w:rPr>
          <w:rFonts w:cs="Arial"/>
          <w:szCs w:val="22"/>
        </w:rPr>
        <w:t>Organisation mondiale du commerce (OMC) et de l</w:t>
      </w:r>
      <w:r w:rsidR="004D2AA1">
        <w:rPr>
          <w:rFonts w:cs="Arial"/>
          <w:szCs w:val="22"/>
        </w:rPr>
        <w:t>’</w:t>
      </w:r>
      <w:r w:rsidRPr="00E8642C">
        <w:rPr>
          <w:rFonts w:cs="Arial"/>
          <w:szCs w:val="22"/>
        </w:rPr>
        <w:t xml:space="preserve">article 5 du </w:t>
      </w:r>
      <w:r w:rsidRPr="00E8642C">
        <w:rPr>
          <w:rFonts w:cs="Arial"/>
          <w:i/>
          <w:szCs w:val="22"/>
        </w:rPr>
        <w:t>Traité sur le droit d</w:t>
      </w:r>
      <w:r w:rsidR="004D2AA1">
        <w:rPr>
          <w:rFonts w:cs="Arial"/>
          <w:i/>
          <w:szCs w:val="22"/>
        </w:rPr>
        <w:t>’</w:t>
      </w:r>
      <w:r w:rsidRPr="00E8642C">
        <w:rPr>
          <w:rFonts w:cs="Arial"/>
          <w:i/>
          <w:szCs w:val="22"/>
        </w:rPr>
        <w:t>auteur de l</w:t>
      </w:r>
      <w:r w:rsidR="004D2AA1">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4D2AA1">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4D2AA1">
        <w:rPr>
          <w:rFonts w:cs="Arial"/>
          <w:szCs w:val="22"/>
        </w:rPr>
        <w:t>’</w:t>
      </w:r>
      <w:r w:rsidRPr="00E8642C">
        <w:rPr>
          <w:rFonts w:cs="Arial"/>
          <w:szCs w:val="22"/>
        </w:rPr>
        <w:t>autres œuvres dérivées</w:t>
      </w:r>
      <w:bookmarkStart w:id="11" w:name="_Ref289432997"/>
      <w:bookmarkStart w:id="12" w:name="_Ref292464396"/>
      <w:r w:rsidRPr="00E8642C">
        <w:rPr>
          <w:rStyle w:val="FootnoteReference"/>
          <w:rFonts w:cs="Arial"/>
          <w:szCs w:val="22"/>
        </w:rPr>
        <w:footnoteReference w:id="118"/>
      </w:r>
      <w:bookmarkEnd w:id="11"/>
      <w:bookmarkEnd w:id="12"/>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4D2AA1">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4D2AA1">
        <w:rPr>
          <w:rFonts w:cs="Arial"/>
          <w:szCs w:val="22"/>
        </w:rPr>
        <w:t>’</w:t>
      </w:r>
      <w:r w:rsidRPr="00E8642C">
        <w:rPr>
          <w:rFonts w:cs="Arial"/>
          <w:szCs w:val="22"/>
        </w:rPr>
        <w:t>une personne est, à titre contractuel ou statutaire, habilitée à modifier l</w:t>
      </w:r>
      <w:r w:rsidR="004D2AA1">
        <w:rPr>
          <w:rFonts w:cs="Arial"/>
          <w:szCs w:val="22"/>
        </w:rPr>
        <w:t>’</w:t>
      </w:r>
      <w:r w:rsidRPr="00E8642C">
        <w:rPr>
          <w:rFonts w:cs="Arial"/>
          <w:szCs w:val="22"/>
        </w:rPr>
        <w:t>œuvre ou à utiliser celle</w:t>
      </w:r>
      <w:r w:rsidR="005A7440">
        <w:rPr>
          <w:rFonts w:cs="Arial"/>
          <w:szCs w:val="22"/>
        </w:rPr>
        <w:noBreakHyphen/>
      </w:r>
      <w:r w:rsidRPr="00E8642C">
        <w:rPr>
          <w:rFonts w:cs="Arial"/>
          <w:szCs w:val="22"/>
        </w:rPr>
        <w:t>ci pour créer une œuvre dérivée, l</w:t>
      </w:r>
      <w:r w:rsidR="004D2AA1">
        <w:rPr>
          <w:rFonts w:cs="Arial"/>
          <w:szCs w:val="22"/>
        </w:rPr>
        <w:t>’</w:t>
      </w:r>
      <w:r w:rsidRPr="00E8642C">
        <w:rPr>
          <w:rFonts w:cs="Arial"/>
          <w:szCs w:val="22"/>
        </w:rPr>
        <w:t>auteur peut s</w:t>
      </w:r>
      <w:r w:rsidR="004D2AA1">
        <w:rPr>
          <w:rFonts w:cs="Arial"/>
          <w:szCs w:val="22"/>
        </w:rPr>
        <w:t>’</w:t>
      </w:r>
      <w:r w:rsidRPr="00E8642C">
        <w:rPr>
          <w:rFonts w:cs="Arial"/>
          <w:szCs w:val="22"/>
        </w:rPr>
        <w:t>opposer à toute déformation de l</w:t>
      </w:r>
      <w:r w:rsidR="004D2AA1">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13"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13"/>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r w:rsidRPr="00E8642C">
        <w:t>Offensant</w:t>
      </w:r>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4D2AA1">
        <w:rPr>
          <w:rFonts w:cs="Arial"/>
          <w:szCs w:val="22"/>
        </w:rPr>
        <w:t>’</w:t>
      </w:r>
      <w:r w:rsidRPr="00E8642C">
        <w:rPr>
          <w:rFonts w:cs="Arial"/>
          <w:szCs w:val="22"/>
        </w:rPr>
        <w:t>adjectif “offensant” vise ce qui provoque mécontentement, colère ou ressentiment;  contraire à ce que l</w:t>
      </w:r>
      <w:r w:rsidR="004D2AA1">
        <w:rPr>
          <w:rFonts w:cs="Arial"/>
          <w:szCs w:val="22"/>
        </w:rPr>
        <w:t>’</w:t>
      </w:r>
      <w:r w:rsidRPr="00E8642C">
        <w:rPr>
          <w:rFonts w:cs="Arial"/>
          <w:szCs w:val="22"/>
        </w:rPr>
        <w:t>on considère habituellement comme décent ou moral (Black</w:t>
      </w:r>
      <w:r w:rsidR="004D2AA1">
        <w:rPr>
          <w:rFonts w:cs="Arial"/>
          <w:szCs w:val="22"/>
        </w:rPr>
        <w:t>’</w:t>
      </w:r>
      <w:r w:rsidRPr="00E8642C">
        <w:rPr>
          <w:rFonts w:cs="Arial"/>
          <w:szCs w:val="22"/>
        </w:rPr>
        <w:t>s Law Dictionary).</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Patrimoine (des peuples autochtones)</w:t>
      </w:r>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4D2AA1">
        <w:rPr>
          <w:rFonts w:cs="Arial"/>
          <w:szCs w:val="22"/>
        </w:rPr>
        <w:t>’</w:t>
      </w:r>
      <w:r w:rsidRPr="00E8642C">
        <w:rPr>
          <w:rFonts w:cs="Arial"/>
          <w:szCs w:val="22"/>
        </w:rPr>
        <w:t>autres peuples) ou le “patrimoine culturel autochtone” renvoie pour l</w:t>
      </w:r>
      <w:r w:rsidR="004D2AA1">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5A7440">
        <w:rPr>
          <w:rFonts w:cs="Arial"/>
          <w:szCs w:val="22"/>
        </w:rPr>
        <w:noBreakHyphen/>
      </w:r>
      <w:r w:rsidRPr="00E8642C">
        <w:rPr>
          <w:rFonts w:cs="Arial"/>
          <w:szCs w:val="22"/>
        </w:rPr>
        <w:t>rapporteuse de la Sous</w:t>
      </w:r>
      <w:r w:rsidR="005A7440">
        <w:rPr>
          <w:rFonts w:cs="Arial"/>
          <w:szCs w:val="22"/>
        </w:rPr>
        <w:noBreakHyphen/>
      </w:r>
      <w:r w:rsidRPr="00E8642C">
        <w:rPr>
          <w:rFonts w:cs="Arial"/>
          <w:szCs w:val="22"/>
        </w:rPr>
        <w:t>commission de la promotion et de la protection des droits de l</w:t>
      </w:r>
      <w:r w:rsidR="004D2AA1">
        <w:rPr>
          <w:rFonts w:cs="Arial"/>
          <w:szCs w:val="22"/>
        </w:rPr>
        <w:t>’</w:t>
      </w:r>
      <w:r w:rsidRPr="00E8642C">
        <w:rPr>
          <w:rFonts w:cs="Arial"/>
          <w:szCs w:val="22"/>
        </w:rPr>
        <w:t>homme, Mme Erica</w:t>
      </w:r>
      <w:r w:rsidR="005A7440">
        <w:rPr>
          <w:rFonts w:cs="Arial"/>
          <w:szCs w:val="22"/>
        </w:rPr>
        <w:noBreakHyphen/>
      </w:r>
      <w:r w:rsidRPr="00E8642C">
        <w:rPr>
          <w:rFonts w:cs="Arial"/>
          <w:szCs w:val="22"/>
        </w:rPr>
        <w:t>Irene Da</w:t>
      </w:r>
      <w:r w:rsidR="00007531" w:rsidRPr="00E8642C">
        <w:rPr>
          <w:rFonts w:cs="Arial"/>
          <w:szCs w:val="22"/>
        </w:rPr>
        <w:t>es</w:t>
      </w:r>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4D2AA1">
        <w:rPr>
          <w:rFonts w:cs="Arial"/>
          <w:szCs w:val="22"/>
        </w:rPr>
        <w:t> :</w:t>
      </w:r>
      <w:r w:rsidRPr="00E8642C">
        <w:rPr>
          <w:rFonts w:cs="Arial"/>
          <w:szCs w:val="22"/>
        </w:rPr>
        <w:t xml:space="preserve"> “Le patrimoine des peuples autochtones [est collectif et] se compose de tous les objets, sites et connaissances dont la nature ou l</w:t>
      </w:r>
      <w:r w:rsidR="004D2AA1">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4D2AA1">
        <w:rPr>
          <w:rFonts w:cs="Arial"/>
          <w:szCs w:val="22"/>
        </w:rPr>
        <w:t>’</w:t>
      </w:r>
      <w:r w:rsidRPr="00E8642C">
        <w:rPr>
          <w:rFonts w:cs="Arial"/>
          <w:szCs w:val="22"/>
        </w:rPr>
        <w:t>un peuple autochtone comprend aussi les objets, les connaissances et les œuvres littéraires ou artistiques de ce peuple susceptibles d</w:t>
      </w:r>
      <w:r w:rsidR="004D2AA1">
        <w:rPr>
          <w:rFonts w:cs="Arial"/>
          <w:szCs w:val="22"/>
        </w:rPr>
        <w:t>’</w:t>
      </w:r>
      <w:r w:rsidRPr="00E8642C">
        <w:rPr>
          <w:rFonts w:cs="Arial"/>
          <w:szCs w:val="22"/>
        </w:rPr>
        <w:t>être créés ou redécouverts à l</w:t>
      </w:r>
      <w:r w:rsidR="004D2AA1">
        <w:rPr>
          <w:rFonts w:cs="Arial"/>
          <w:szCs w:val="22"/>
        </w:rPr>
        <w:t>’</w:t>
      </w:r>
      <w:r w:rsidRPr="00E8642C">
        <w:rPr>
          <w:rFonts w:cs="Arial"/>
          <w:szCs w:val="22"/>
        </w:rPr>
        <w:t>avenir à partir de son patrimoine.”  Le paragraphe 13 dispose ce qui suit</w:t>
      </w:r>
      <w:r w:rsidR="004D2AA1">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4D2AA1">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4D2AA1">
        <w:rPr>
          <w:rFonts w:cs="Arial"/>
          <w:szCs w:val="22"/>
        </w:rPr>
        <w:t>y compris</w:t>
      </w:r>
      <w:r w:rsidRPr="00E8642C">
        <w:rPr>
          <w:rFonts w:cs="Arial"/>
          <w:szCs w:val="22"/>
        </w:rPr>
        <w:t xml:space="preserve"> les innovations fondées sur ces connaissances, les cultigènes, les remèdes, les médicaments et l</w:t>
      </w:r>
      <w:r w:rsidR="004D2AA1">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4D2AA1">
        <w:rPr>
          <w:rFonts w:cs="Arial"/>
          <w:szCs w:val="22"/>
        </w:rPr>
        <w:t> :</w:t>
      </w:r>
      <w:r w:rsidRPr="00E8642C">
        <w:rPr>
          <w:rFonts w:cs="Arial"/>
          <w:szCs w:val="22"/>
        </w:rPr>
        <w:t xml:space="preserve"> “Chaque élément du patrimoine des peuples autochtones a des propriétaires</w:t>
      </w:r>
      <w:r w:rsidR="004D2AA1">
        <w:rPr>
          <w:rFonts w:cs="Arial"/>
          <w:szCs w:val="22"/>
        </w:rPr>
        <w:t> :</w:t>
      </w:r>
      <w:r w:rsidRPr="00E8642C">
        <w:rPr>
          <w:rFonts w:cs="Arial"/>
          <w:szCs w:val="22"/>
        </w:rPr>
        <w:t xml:space="preserve"> soit l</w:t>
      </w:r>
      <w:r w:rsidR="004D2AA1">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4D2AA1">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4D2AA1">
        <w:rPr>
          <w:rFonts w:cs="Arial"/>
          <w:szCs w:val="22"/>
        </w:rPr>
        <w:t>’</w:t>
      </w:r>
      <w:r w:rsidRPr="00E8642C">
        <w:rPr>
          <w:rFonts w:cs="Arial"/>
          <w:szCs w:val="22"/>
        </w:rPr>
        <w:t>activité intellectuelle et de la compréhension intuitive dans un contexte traditionnel, et recouvrent les savoir</w:t>
      </w:r>
      <w:r w:rsidR="005A7440">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4D2AA1">
        <w:rPr>
          <w:rFonts w:cs="Arial"/>
          <w:szCs w:val="22"/>
        </w:rPr>
        <w:t>’</w:t>
      </w:r>
      <w:r w:rsidRPr="00E8642C">
        <w:rPr>
          <w:rFonts w:cs="Arial"/>
          <w:szCs w:val="22"/>
        </w:rPr>
        <w:t>incarne dans le style de vie traditionnel d</w:t>
      </w:r>
      <w:r w:rsidR="004D2AA1">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4D2AA1">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Patrimoine culturel</w:t>
      </w:r>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4D2AA1">
        <w:rPr>
          <w:rFonts w:cs="Arial"/>
          <w:snapToGrid w:val="0"/>
          <w:szCs w:val="22"/>
        </w:rPr>
        <w:t>’</w:t>
      </w:r>
      <w:r w:rsidRPr="00E8642C">
        <w:rPr>
          <w:rFonts w:cs="Arial"/>
          <w:snapToGrid w:val="0"/>
          <w:szCs w:val="22"/>
        </w:rPr>
        <w:t>il est indiqué dans l</w:t>
      </w:r>
      <w:r w:rsidR="004D2AA1">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4D2AA1">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4D2AA1">
        <w:rPr>
          <w:rFonts w:cs="Arial"/>
          <w:i/>
          <w:szCs w:val="22"/>
        </w:rPr>
        <w:t>’</w:t>
      </w:r>
      <w:r w:rsidRPr="00E8642C">
        <w:rPr>
          <w:rFonts w:cs="Arial"/>
          <w:i/>
          <w:szCs w:val="22"/>
        </w:rPr>
        <w:t>éléments, qui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4D2AA1">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4D2AA1">
        <w:rPr>
          <w:rFonts w:cs="Arial"/>
          <w:i/>
          <w:szCs w:val="22"/>
        </w:rPr>
        <w:t> :</w:t>
      </w:r>
      <w:r w:rsidRPr="00E8642C">
        <w:rPr>
          <w:rFonts w:cs="Arial"/>
          <w:i/>
          <w:szCs w:val="22"/>
        </w:rPr>
        <w:t xml:space="preserve"> œuvres de l</w:t>
      </w:r>
      <w:r w:rsidR="004D2AA1">
        <w:rPr>
          <w:rFonts w:cs="Arial"/>
          <w:i/>
          <w:szCs w:val="22"/>
        </w:rPr>
        <w:t>’</w:t>
      </w:r>
      <w:r w:rsidRPr="00E8642C">
        <w:rPr>
          <w:rFonts w:cs="Arial"/>
          <w:i/>
          <w:szCs w:val="22"/>
        </w:rPr>
        <w:t>homme ou œuvres conjuguées de l</w:t>
      </w:r>
      <w:r w:rsidR="004D2AA1">
        <w:rPr>
          <w:rFonts w:cs="Arial"/>
          <w:i/>
          <w:szCs w:val="22"/>
        </w:rPr>
        <w:t>’</w:t>
      </w:r>
      <w:r w:rsidRPr="00E8642C">
        <w:rPr>
          <w:rFonts w:cs="Arial"/>
          <w:i/>
          <w:szCs w:val="22"/>
        </w:rPr>
        <w:t xml:space="preserve">homme et de la nature, ainsi que les zones </w:t>
      </w:r>
      <w:r w:rsidR="004D2AA1">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Patrimoine culturel immatériel</w:t>
      </w:r>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Selon le Black</w:t>
      </w:r>
      <w:r w:rsidR="004D2AA1">
        <w:rPr>
          <w:rFonts w:cs="Arial"/>
          <w:szCs w:val="22"/>
        </w:rPr>
        <w:t>’</w:t>
      </w:r>
      <w:r w:rsidRPr="00E8642C">
        <w:rPr>
          <w:rFonts w:cs="Arial"/>
          <w:szCs w:val="22"/>
        </w:rPr>
        <w:t>s Law Dictionary, “immatériel” renvoie à quelque chose dépourvu de forme physique.  “Matériel”, à l</w:t>
      </w:r>
      <w:r w:rsidR="004D2AA1">
        <w:rPr>
          <w:rFonts w:cs="Arial"/>
          <w:szCs w:val="22"/>
        </w:rPr>
        <w:t>’</w:t>
      </w:r>
      <w:r w:rsidRPr="00E8642C">
        <w:rPr>
          <w:rFonts w:cs="Arial"/>
          <w:szCs w:val="22"/>
        </w:rPr>
        <w:t>inverse, est défini comme “ayant ou possédant une forme physique, capable d</w:t>
      </w:r>
      <w:r w:rsidR="004D2AA1">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comme “les pratiques, représentations, expressions, connaissances et savoir</w:t>
      </w:r>
      <w:r w:rsidR="005A7440">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4D2AA1">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4D2AA1">
        <w:rPr>
          <w:rFonts w:cs="Arial"/>
          <w:szCs w:val="22"/>
        </w:rPr>
        <w:t>’</w:t>
      </w:r>
      <w:r w:rsidRPr="00E8642C">
        <w:rPr>
          <w:rFonts w:cs="Arial"/>
          <w:szCs w:val="22"/>
        </w:rPr>
        <w:t>homme, ainsi qu</w:t>
      </w:r>
      <w:r w:rsidR="004D2AA1">
        <w:rPr>
          <w:rFonts w:cs="Arial"/>
          <w:szCs w:val="22"/>
        </w:rPr>
        <w:t>’</w:t>
      </w:r>
      <w:r w:rsidRPr="00E8642C">
        <w:rPr>
          <w:rFonts w:cs="Arial"/>
          <w:szCs w:val="22"/>
        </w:rPr>
        <w:t>à l</w:t>
      </w:r>
      <w:r w:rsidR="004D2AA1">
        <w:rPr>
          <w:rFonts w:cs="Arial"/>
          <w:szCs w:val="22"/>
        </w:rPr>
        <w:t>’</w:t>
      </w:r>
      <w:r w:rsidRPr="00E8642C">
        <w:rPr>
          <w:rFonts w:cs="Arial"/>
          <w:szCs w:val="22"/>
        </w:rPr>
        <w:t>exigence du respect mutuel entre communautés, groupes et individus, et d</w:t>
      </w:r>
      <w:r w:rsidR="004D2AA1">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4D2AA1">
        <w:rPr>
          <w:rFonts w:cs="Arial"/>
          <w:szCs w:val="22"/>
        </w:rPr>
        <w:t> :</w:t>
      </w:r>
      <w:r w:rsidRPr="00E8642C">
        <w:rPr>
          <w:rFonts w:cs="Arial"/>
          <w:szCs w:val="22"/>
        </w:rPr>
        <w:t xml:space="preserve"> a) les traditions et expressions orales, </w:t>
      </w:r>
      <w:r w:rsidR="004D2AA1">
        <w:rPr>
          <w:rFonts w:cs="Arial"/>
          <w:szCs w:val="22"/>
        </w:rPr>
        <w:t>y compris</w:t>
      </w:r>
      <w:r w:rsidRPr="00E8642C">
        <w:rPr>
          <w:rFonts w:cs="Arial"/>
          <w:szCs w:val="22"/>
        </w:rPr>
        <w:t xml:space="preserve"> la langue comme vecteur du patrimoine culturel immatériel;  b) les arts du spectacle;  c) les pratiques sociales, rituels et événements festifs;  d) les connaissances et pratiques concernant la nature et l</w:t>
      </w:r>
      <w:r w:rsidR="004D2AA1">
        <w:rPr>
          <w:rFonts w:cs="Arial"/>
          <w:szCs w:val="22"/>
        </w:rPr>
        <w:t>’</w:t>
      </w:r>
      <w:r w:rsidRPr="00E8642C">
        <w:rPr>
          <w:rFonts w:cs="Arial"/>
          <w:szCs w:val="22"/>
        </w:rPr>
        <w:t>univers;  et e) les savoir</w:t>
      </w:r>
      <w:r w:rsidR="005A7440">
        <w:rPr>
          <w:rFonts w:cs="Arial"/>
          <w:szCs w:val="22"/>
        </w:rPr>
        <w:noBreakHyphen/>
      </w:r>
      <w:r w:rsidRPr="00E8642C">
        <w:rPr>
          <w:rFonts w:cs="Arial"/>
          <w:szCs w:val="22"/>
        </w:rPr>
        <w:t>faire liés à l</w:t>
      </w:r>
      <w:r w:rsidR="004D2AA1">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r w:rsidRPr="00E8642C">
        <w:t>Pays d</w:t>
      </w:r>
      <w:r w:rsidR="004D2AA1">
        <w:t>’</w:t>
      </w:r>
      <w:r w:rsidRPr="00E8642C">
        <w:t>origine des ressources génétiques</w:t>
      </w:r>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4D2AA1">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4D2AA1">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4D2AA1">
        <w:rPr>
          <w:rFonts w:cs="Arial"/>
          <w:bCs/>
          <w:snapToGrid w:val="0"/>
          <w:szCs w:val="22"/>
        </w:rPr>
        <w:t>’</w:t>
      </w:r>
      <w:r w:rsidRPr="00E8642C">
        <w:rPr>
          <w:rFonts w:cs="Arial"/>
          <w:bCs/>
          <w:snapToGrid w:val="0"/>
          <w:szCs w:val="22"/>
        </w:rPr>
        <w:t>origine est défini à l</w:t>
      </w:r>
      <w:r w:rsidR="004D2AA1">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r w:rsidRPr="00E8642C">
        <w:t>Pays fournisseur de ressources génétiques</w:t>
      </w:r>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4D2AA1">
        <w:rPr>
          <w:rFonts w:cs="Arial"/>
          <w:bCs/>
          <w:iCs/>
          <w:szCs w:val="22"/>
        </w:rPr>
        <w:t>y compris</w:t>
      </w:r>
      <w:r w:rsidRPr="00E8642C">
        <w:rPr>
          <w:rFonts w:cs="Arial"/>
          <w:bCs/>
          <w:iCs/>
          <w:szCs w:val="22"/>
        </w:rPr>
        <w:t xml:space="preserve"> les populations d</w:t>
      </w:r>
      <w:r w:rsidR="004D2AA1">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4D2AA1">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r w:rsidRPr="00E8642C">
        <w:t>Peuples autochtones</w:t>
      </w:r>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4D2AA1">
        <w:rPr>
          <w:rFonts w:cs="Arial"/>
          <w:szCs w:val="22"/>
        </w:rPr>
        <w:t>’</w:t>
      </w:r>
      <w:r w:rsidRPr="00E8642C">
        <w:rPr>
          <w:rFonts w:cs="Arial"/>
          <w:szCs w:val="22"/>
        </w:rPr>
        <w:t>expression “peuples autochtones”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mais il n</w:t>
      </w:r>
      <w:r w:rsidR="004D2AA1">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4D2AA1">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4D2AA1">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4D2AA1">
        <w:rPr>
          <w:rFonts w:cs="Arial"/>
          <w:szCs w:val="22"/>
        </w:rPr>
        <w:t>’</w:t>
      </w:r>
      <w:r w:rsidRPr="00E8642C">
        <w:rPr>
          <w:rFonts w:cs="Arial"/>
          <w:szCs w:val="22"/>
        </w:rPr>
        <w:t>adjectif “autochtone” dans l</w:t>
      </w:r>
      <w:r w:rsidR="004D2AA1">
        <w:rPr>
          <w:rFonts w:cs="Arial"/>
          <w:szCs w:val="22"/>
        </w:rPr>
        <w:t>’</w:t>
      </w:r>
      <w:r w:rsidRPr="00E8642C">
        <w:rPr>
          <w:rFonts w:cs="Arial"/>
          <w:szCs w:val="22"/>
        </w:rPr>
        <w:t>étude du problème de la discrimination à l</w:t>
      </w:r>
      <w:r w:rsidR="004D2AA1">
        <w:rPr>
          <w:rFonts w:cs="Arial"/>
          <w:szCs w:val="22"/>
        </w:rPr>
        <w:t>’</w:t>
      </w:r>
      <w:r w:rsidRPr="00E8642C">
        <w:rPr>
          <w:rFonts w:cs="Arial"/>
          <w:szCs w:val="22"/>
        </w:rPr>
        <w:t>encontre des populations autochtones, réalisée par le rapporteur spécial de la Sous</w:t>
      </w:r>
      <w:r w:rsidR="005A7440">
        <w:rPr>
          <w:rFonts w:cs="Arial"/>
          <w:szCs w:val="22"/>
        </w:rPr>
        <w:noBreakHyphen/>
      </w:r>
      <w:r w:rsidRPr="00E8642C">
        <w:rPr>
          <w:rFonts w:cs="Arial"/>
          <w:szCs w:val="22"/>
        </w:rPr>
        <w:t xml:space="preserve">commission de la lutte contre les mesures discriminatoires et de la protection des minorités des </w:t>
      </w:r>
      <w:r w:rsidR="004D2AA1">
        <w:rPr>
          <w:rFonts w:cs="Arial"/>
          <w:szCs w:val="22"/>
        </w:rPr>
        <w:t>Nations Unies</w:t>
      </w:r>
      <w:r w:rsidRPr="00E8642C">
        <w:rPr>
          <w:rFonts w:cs="Arial"/>
          <w:szCs w:val="22"/>
        </w:rPr>
        <w:t>, M. J. Martínez Cobo,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4D2AA1">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4D2AA1">
        <w:rPr>
          <w:rFonts w:cs="Arial"/>
          <w:iCs/>
          <w:szCs w:val="22"/>
        </w:rPr>
        <w:t>’</w:t>
      </w:r>
      <w:r w:rsidRPr="00E8642C">
        <w:rPr>
          <w:rFonts w:cs="Arial"/>
          <w:iCs/>
          <w:szCs w:val="22"/>
        </w:rPr>
        <w:t xml:space="preserve">inscrivant dans la continuité historique des sociétés </w:t>
      </w:r>
      <w:r w:rsidR="004D2AA1">
        <w:rPr>
          <w:rFonts w:cs="Arial"/>
          <w:iCs/>
          <w:szCs w:val="22"/>
        </w:rPr>
        <w:t>‘</w:t>
      </w:r>
      <w:r w:rsidRPr="00E8642C">
        <w:rPr>
          <w:rFonts w:cs="Arial"/>
          <w:iCs/>
          <w:szCs w:val="22"/>
        </w:rPr>
        <w:t>préinvasion</w:t>
      </w:r>
      <w:r w:rsidR="004D2AA1">
        <w:rPr>
          <w:rFonts w:cs="Arial"/>
          <w:iCs/>
          <w:szCs w:val="22"/>
        </w:rPr>
        <w:t>’</w:t>
      </w:r>
      <w:r w:rsidRPr="00E8642C">
        <w:rPr>
          <w:rFonts w:cs="Arial"/>
          <w:iCs/>
          <w:szCs w:val="22"/>
        </w:rPr>
        <w:t xml:space="preserve">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article premier de la Convention concernant les peuples indigènes et tribaux dans les pays indépendants de l</w:t>
      </w:r>
      <w:r w:rsidR="004D2AA1">
        <w:rPr>
          <w:rFonts w:cs="Arial"/>
          <w:iCs/>
          <w:szCs w:val="22"/>
        </w:rPr>
        <w:t>’</w:t>
      </w:r>
      <w:r w:rsidRPr="00E8642C">
        <w:rPr>
          <w:rFonts w:cs="Arial"/>
          <w:iCs/>
          <w:szCs w:val="22"/>
        </w:rPr>
        <w:t>Organisation internationale du Travail (OIT) stipule que la Convention s</w:t>
      </w:r>
      <w:r w:rsidR="004D2AA1">
        <w:rPr>
          <w:rFonts w:cs="Arial"/>
          <w:iCs/>
          <w:szCs w:val="22"/>
        </w:rPr>
        <w:t>’</w:t>
      </w:r>
      <w:r w:rsidRPr="00E8642C">
        <w:rPr>
          <w:rFonts w:cs="Arial"/>
          <w:iCs/>
          <w:szCs w:val="22"/>
        </w:rPr>
        <w:t>applique</w:t>
      </w:r>
      <w:r w:rsidR="004D2AA1">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4D2AA1">
        <w:rPr>
          <w:rFonts w:cs="Arial"/>
          <w:szCs w:val="22"/>
        </w:rPr>
        <w:t>’</w:t>
      </w:r>
      <w:r w:rsidRPr="00E8642C">
        <w:rPr>
          <w:rFonts w:cs="Arial"/>
          <w:szCs w:val="22"/>
        </w:rPr>
        <w:t>ils descendent des populations qui habitaient le pays, ou une région géographique à laquelle appartient le pays, à l</w:t>
      </w:r>
      <w:r w:rsidR="004D2AA1">
        <w:rPr>
          <w:rFonts w:cs="Arial"/>
          <w:szCs w:val="22"/>
        </w:rPr>
        <w:t>’</w:t>
      </w:r>
      <w:r w:rsidRPr="00E8642C">
        <w:rPr>
          <w:rFonts w:cs="Arial"/>
          <w:szCs w:val="22"/>
        </w:rPr>
        <w:t>époque de la conquête ou de la colonisation ou de l</w:t>
      </w:r>
      <w:r w:rsidR="004D2AA1">
        <w:rPr>
          <w:rFonts w:cs="Arial"/>
          <w:szCs w:val="22"/>
        </w:rPr>
        <w:t>’</w:t>
      </w:r>
      <w:r w:rsidRPr="00E8642C">
        <w:rPr>
          <w:rFonts w:cs="Arial"/>
          <w:szCs w:val="22"/>
        </w:rPr>
        <w:t>établissement des frontières actuelles de l</w:t>
      </w:r>
      <w:r w:rsidR="004D2AA1">
        <w:rPr>
          <w:rFonts w:cs="Arial"/>
          <w:szCs w:val="22"/>
        </w:rPr>
        <w:t>’</w:t>
      </w:r>
      <w:r w:rsidRPr="00E8642C">
        <w:rPr>
          <w:rFonts w:cs="Arial"/>
          <w:szCs w:val="22"/>
        </w:rPr>
        <w:t>État, et qui, quel que soit leur statut juridique, conservent leurs institutions sociales, économiques, culturelles et politiques propres ou certaines d</w:t>
      </w:r>
      <w:r w:rsidR="004D2AA1">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donne dans sa liste d</w:t>
      </w:r>
      <w:r w:rsidR="004D2AA1">
        <w:rPr>
          <w:rFonts w:cs="Arial"/>
          <w:szCs w:val="22"/>
        </w:rPr>
        <w:t>’</w:t>
      </w:r>
      <w:r w:rsidRPr="00E8642C">
        <w:rPr>
          <w:rFonts w:cs="Arial"/>
          <w:szCs w:val="22"/>
        </w:rPr>
        <w:t>acronymes et son glossaire la définition ci</w:t>
      </w:r>
      <w:r w:rsidR="005A7440">
        <w:rPr>
          <w:rFonts w:cs="Arial"/>
          <w:szCs w:val="22"/>
        </w:rPr>
        <w:noBreakHyphen/>
      </w:r>
      <w:r w:rsidRPr="00E8642C">
        <w:rPr>
          <w:rFonts w:cs="Arial"/>
          <w:szCs w:val="22"/>
        </w:rPr>
        <w:t>après pour l</w:t>
      </w:r>
      <w:r w:rsidR="004D2AA1">
        <w:rPr>
          <w:rFonts w:cs="Arial"/>
          <w:szCs w:val="22"/>
        </w:rPr>
        <w:t>’</w:t>
      </w:r>
      <w:r w:rsidRPr="00E8642C">
        <w:rPr>
          <w:rFonts w:cs="Arial"/>
          <w:szCs w:val="22"/>
        </w:rPr>
        <w:t>expression “peuples autochtones</w:t>
      </w:r>
      <w:r w:rsidR="004D2AA1">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4D2AA1">
        <w:rPr>
          <w:rFonts w:cs="Arial"/>
          <w:szCs w:val="22"/>
        </w:rPr>
        <w:t>’</w:t>
      </w:r>
      <w:r w:rsidRPr="00E8642C">
        <w:rPr>
          <w:rFonts w:cs="Arial"/>
          <w:szCs w:val="22"/>
        </w:rPr>
        <w:t>une continuité ou d</w:t>
      </w:r>
      <w:r w:rsidR="004D2AA1">
        <w:rPr>
          <w:rFonts w:cs="Arial"/>
          <w:szCs w:val="22"/>
        </w:rPr>
        <w:t>’</w:t>
      </w:r>
      <w:r w:rsidRPr="00E8642C">
        <w:rPr>
          <w:rFonts w:cs="Arial"/>
          <w:szCs w:val="22"/>
        </w:rPr>
        <w:t>un lien historique avec une région donnée ou avec des parties d</w:t>
      </w:r>
      <w:r w:rsidR="004D2AA1">
        <w:rPr>
          <w:rFonts w:cs="Arial"/>
          <w:szCs w:val="22"/>
        </w:rPr>
        <w:t>’</w:t>
      </w:r>
      <w:r w:rsidRPr="00E8642C">
        <w:rPr>
          <w:rFonts w:cs="Arial"/>
          <w:szCs w:val="22"/>
        </w:rPr>
        <w:t>une région et qui habitent actuellement ou qui ont habité auparavant dans cette région soit avant qu</w:t>
      </w:r>
      <w:r w:rsidR="004D2AA1">
        <w:rPr>
          <w:rFonts w:cs="Arial"/>
          <w:szCs w:val="22"/>
        </w:rPr>
        <w:t>’</w:t>
      </w:r>
      <w:r w:rsidRPr="00E8642C">
        <w:rPr>
          <w:rFonts w:cs="Arial"/>
          <w:szCs w:val="22"/>
        </w:rPr>
        <w:t>elle ne soit colonisée ou annexée, soit aux côtés d</w:t>
      </w:r>
      <w:r w:rsidR="004D2AA1">
        <w:rPr>
          <w:rFonts w:cs="Arial"/>
          <w:szCs w:val="22"/>
        </w:rPr>
        <w:t>’</w:t>
      </w:r>
      <w:r w:rsidRPr="00E8642C">
        <w:rPr>
          <w:rFonts w:cs="Arial"/>
          <w:szCs w:val="22"/>
        </w:rPr>
        <w:t>autres groupes culturels durant la formation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ou indépendamment ou de manière très isolée de l</w:t>
      </w:r>
      <w:r w:rsidR="004D2AA1">
        <w:rPr>
          <w:rFonts w:cs="Arial"/>
          <w:szCs w:val="22"/>
        </w:rPr>
        <w:t>’</w:t>
      </w:r>
      <w:r w:rsidRPr="00E8642C">
        <w:rPr>
          <w:rFonts w:cs="Arial"/>
          <w:szCs w:val="22"/>
        </w:rPr>
        <w:t>influence de l</w:t>
      </w:r>
      <w:r w:rsidR="004D2AA1">
        <w:rPr>
          <w:rFonts w:cs="Arial"/>
          <w:szCs w:val="22"/>
        </w:rPr>
        <w:t>’</w:t>
      </w:r>
      <w:r w:rsidRPr="00E8642C">
        <w:rPr>
          <w:rFonts w:cs="Arial"/>
          <w:szCs w:val="22"/>
        </w:rPr>
        <w:t>instance dirigeante officielle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5A7440">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4D2AA1">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4D2AA1">
        <w:rPr>
          <w:rFonts w:cs="Arial"/>
          <w:szCs w:val="22"/>
        </w:rPr>
        <w:t>’</w:t>
      </w:r>
      <w:r w:rsidRPr="00E8642C">
        <w:rPr>
          <w:rFonts w:cs="Arial"/>
          <w:szCs w:val="22"/>
        </w:rPr>
        <w:t>expression “peuples autochtones” au sens générique pour désigner des groupes distincts ayant les caractéristiques ci</w:t>
      </w:r>
      <w:r w:rsidR="005A7440">
        <w:rPr>
          <w:rFonts w:cs="Arial"/>
          <w:szCs w:val="22"/>
        </w:rPr>
        <w:noBreakHyphen/>
      </w:r>
      <w:r w:rsidRPr="00E8642C">
        <w:rPr>
          <w:rFonts w:cs="Arial"/>
          <w:szCs w:val="22"/>
        </w:rPr>
        <w:t>après à divers degrés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auto</w:t>
      </w:r>
      <w:r w:rsidR="005A7440">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4D2AA1">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sz w:val="22"/>
          <w:szCs w:val="22"/>
          <w:lang w:val="fr-FR"/>
        </w:rPr>
        <w:t>institutions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4D2AA1">
        <w:rPr>
          <w:rFonts w:cs="Arial"/>
          <w:iCs/>
          <w:szCs w:val="22"/>
        </w:rPr>
        <w:t>’</w:t>
      </w:r>
      <w:r w:rsidRPr="00E8642C">
        <w:rPr>
          <w:rFonts w:cs="Arial"/>
          <w:iCs/>
          <w:szCs w:val="22"/>
        </w:rPr>
        <w:t>engagement aux côtés des peuples autochtones, élaborée par le Fonds international de développement agricole (FIDA) prévoit ce qui suit</w:t>
      </w:r>
      <w:r w:rsidR="004D2AA1">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5A7440">
        <w:rPr>
          <w:rFonts w:cs="Arial"/>
          <w:iCs/>
          <w:szCs w:val="22"/>
        </w:rPr>
        <w:noBreakHyphen/>
      </w:r>
      <w:r w:rsidRPr="00E8642C">
        <w:rPr>
          <w:rFonts w:cs="Arial"/>
          <w:iCs/>
          <w:szCs w:val="22"/>
        </w:rPr>
        <w:t>après</w:t>
      </w:r>
      <w:r w:rsidR="004D2AA1">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4D2AA1">
        <w:rPr>
          <w:rFonts w:cs="Arial"/>
          <w:iCs/>
          <w:szCs w:val="22"/>
        </w:rPr>
        <w:t>’</w:t>
      </w:r>
      <w:r w:rsidRPr="00E8642C">
        <w:rPr>
          <w:rFonts w:cs="Arial"/>
          <w:iCs/>
          <w:szCs w:val="22"/>
        </w:rPr>
        <w:t>antériorité s</w:t>
      </w:r>
      <w:r w:rsidR="004D2AA1">
        <w:rPr>
          <w:rFonts w:cs="Arial"/>
          <w:iCs/>
          <w:szCs w:val="22"/>
        </w:rPr>
        <w:t>’</w:t>
      </w:r>
      <w:r w:rsidRPr="00E8642C">
        <w:rPr>
          <w:rFonts w:cs="Arial"/>
          <w:iCs/>
          <w:szCs w:val="22"/>
        </w:rPr>
        <w:t>agissant de l</w:t>
      </w:r>
      <w:r w:rsidR="004D2AA1">
        <w:rPr>
          <w:rFonts w:cs="Arial"/>
          <w:iCs/>
          <w:szCs w:val="22"/>
        </w:rPr>
        <w:t>’</w:t>
      </w:r>
      <w:r w:rsidRPr="00E8642C">
        <w:rPr>
          <w:rFonts w:cs="Arial"/>
          <w:iCs/>
          <w:szCs w:val="22"/>
        </w:rPr>
        <w:t>occupation et de l</w:t>
      </w:r>
      <w:r w:rsidR="004D2AA1">
        <w:rPr>
          <w:rFonts w:cs="Arial"/>
          <w:iCs/>
          <w:szCs w:val="22"/>
        </w:rPr>
        <w:t>’</w:t>
      </w:r>
      <w:r w:rsidRPr="00E8642C">
        <w:rPr>
          <w:rFonts w:cs="Arial"/>
          <w:iCs/>
          <w:szCs w:val="22"/>
        </w:rPr>
        <w:t>utilisation d</w:t>
      </w:r>
      <w:r w:rsidR="004D2AA1">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4D2AA1">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4D2AA1">
        <w:rPr>
          <w:rFonts w:cs="Arial"/>
          <w:iCs/>
          <w:szCs w:val="22"/>
        </w:rPr>
        <w:t>’</w:t>
      </w:r>
      <w:r w:rsidRPr="00E8642C">
        <w:rPr>
          <w:rFonts w:cs="Arial"/>
          <w:iCs/>
          <w:szCs w:val="22"/>
        </w:rPr>
        <w:t>appartenance à un groupe, ainsi que la reconnaissance par d</w:t>
      </w:r>
      <w:r w:rsidR="004D2AA1">
        <w:rPr>
          <w:rFonts w:cs="Arial"/>
          <w:iCs/>
          <w:szCs w:val="22"/>
        </w:rPr>
        <w:t>’</w:t>
      </w:r>
      <w:r w:rsidRPr="00E8642C">
        <w:rPr>
          <w:rFonts w:cs="Arial"/>
          <w:iCs/>
          <w:szCs w:val="22"/>
        </w:rPr>
        <w:t>autres groupes ou par les autorités nationales en tant que collectivité distincte;  et</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4D2AA1">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4D2AA1">
        <w:rPr>
          <w:rFonts w:cs="Arial"/>
          <w:iCs/>
          <w:szCs w:val="22"/>
        </w:rPr>
        <w:t> :</w:t>
      </w:r>
      <w:r w:rsidRPr="00E8642C">
        <w:rPr>
          <w:rFonts w:cs="Arial"/>
          <w:iCs/>
          <w:szCs w:val="22"/>
        </w:rPr>
        <w:t xml:space="preserve"> une politique d</w:t>
      </w:r>
      <w:r w:rsidR="004D2AA1">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4D2AA1">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5A7440">
        <w:rPr>
          <w:rFonts w:cs="Arial"/>
          <w:iCs/>
          <w:szCs w:val="22"/>
        </w:rPr>
        <w:noBreakHyphen/>
      </w:r>
      <w:r w:rsidRPr="00E8642C">
        <w:rPr>
          <w:rFonts w:cs="Arial"/>
          <w:iCs/>
          <w:szCs w:val="22"/>
        </w:rPr>
        <w:t>ci);  b) ils tendent à conserver des institutions sociales, économiques et politiques distinctes à l</w:t>
      </w:r>
      <w:r w:rsidR="004D2AA1">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4D2AA1">
        <w:rPr>
          <w:rFonts w:cs="Arial"/>
          <w:iCs/>
          <w:szCs w:val="22"/>
        </w:rPr>
        <w:t>’</w:t>
      </w:r>
      <w:r w:rsidRPr="00E8642C">
        <w:rPr>
          <w:rFonts w:cs="Arial"/>
          <w:iCs/>
          <w:szCs w:val="22"/>
        </w:rPr>
        <w:t>à s</w:t>
      </w:r>
      <w:r w:rsidR="004D2AA1">
        <w:rPr>
          <w:rFonts w:cs="Arial"/>
          <w:iCs/>
          <w:szCs w:val="22"/>
        </w:rPr>
        <w:t>’</w:t>
      </w:r>
      <w:r w:rsidRPr="00E8642C">
        <w:rPr>
          <w:rFonts w:cs="Arial"/>
          <w:iCs/>
          <w:szCs w:val="22"/>
        </w:rPr>
        <w:t>assimiler pleinement à la société nationale;  et d) ils s</w:t>
      </w:r>
      <w:r w:rsidR="004D2AA1">
        <w:rPr>
          <w:rFonts w:cs="Arial"/>
          <w:iCs/>
          <w:szCs w:val="22"/>
        </w:rPr>
        <w:t>’</w:t>
      </w:r>
      <w:r w:rsidRPr="00E8642C">
        <w:rPr>
          <w:rFonts w:cs="Arial"/>
          <w:iCs/>
          <w:szCs w:val="22"/>
        </w:rPr>
        <w:t>identifient eux</w:t>
      </w:r>
      <w:r w:rsidR="005A7440">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4D2AA1">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uto</w:t>
      </w:r>
      <w:r w:rsidR="005A7440">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4D2AA1">
        <w:rPr>
          <w:rFonts w:cs="Arial"/>
          <w:iCs/>
          <w:szCs w:val="22"/>
        </w:rPr>
        <w:t>’</w:t>
      </w:r>
      <w:r w:rsidRPr="00E8642C">
        <w:rPr>
          <w:rFonts w:cs="Arial"/>
          <w:iCs/>
          <w:szCs w:val="22"/>
        </w:rPr>
        <w:t>autres variables telles qu</w:t>
      </w:r>
      <w:r w:rsidR="004D2AA1">
        <w:rPr>
          <w:rFonts w:cs="Arial"/>
          <w:iCs/>
          <w:szCs w:val="22"/>
        </w:rPr>
        <w:t>’</w:t>
      </w:r>
      <w:r w:rsidRPr="00E8642C">
        <w:rPr>
          <w:rFonts w:cs="Arial"/>
          <w:iCs/>
          <w:szCs w:val="22"/>
        </w:rPr>
        <w:t xml:space="preserve">un </w:t>
      </w:r>
      <w:r w:rsidR="004D2AA1">
        <w:rPr>
          <w:rFonts w:cs="Arial"/>
          <w:iCs/>
          <w:szCs w:val="22"/>
        </w:rPr>
        <w:t>‘</w:t>
      </w:r>
      <w:r w:rsidRPr="00E8642C">
        <w:rPr>
          <w:rFonts w:cs="Arial"/>
          <w:iCs/>
          <w:szCs w:val="22"/>
        </w:rPr>
        <w:t>langage parlé</w:t>
      </w:r>
      <w:r w:rsidR="004D2AA1">
        <w:rPr>
          <w:rFonts w:cs="Arial"/>
          <w:iCs/>
          <w:szCs w:val="22"/>
        </w:rPr>
        <w:t>’</w:t>
      </w:r>
      <w:r w:rsidRPr="00E8642C">
        <w:rPr>
          <w:rFonts w:cs="Arial"/>
          <w:iCs/>
          <w:szCs w:val="22"/>
        </w:rPr>
        <w:t xml:space="preserve">, et une </w:t>
      </w:r>
      <w:r w:rsidR="004D2AA1">
        <w:rPr>
          <w:rFonts w:cs="Arial"/>
          <w:iCs/>
          <w:szCs w:val="22"/>
        </w:rPr>
        <w:t>‘</w:t>
      </w:r>
      <w:r w:rsidRPr="00E8642C">
        <w:rPr>
          <w:rFonts w:cs="Arial"/>
          <w:iCs/>
          <w:szCs w:val="22"/>
        </w:rPr>
        <w:t>situation ou concentration géographique</w:t>
      </w:r>
      <w:r w:rsidR="004D2AA1">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4D2AA1">
        <w:rPr>
          <w:rFonts w:cs="Arial"/>
          <w:iCs/>
          <w:szCs w:val="22"/>
        </w:rPr>
        <w:t>’</w:t>
      </w:r>
      <w:r w:rsidRPr="00E8642C">
        <w:rPr>
          <w:rFonts w:cs="Arial"/>
          <w:iCs/>
          <w:szCs w:val="22"/>
        </w:rPr>
        <w:t>État péruvien, entretenant une culture propre, disposant d</w:t>
      </w:r>
      <w:r w:rsidR="004D2AA1">
        <w:rPr>
          <w:rFonts w:cs="Arial"/>
          <w:iCs/>
          <w:szCs w:val="22"/>
        </w:rPr>
        <w:t>’</w:t>
      </w:r>
      <w:r w:rsidRPr="00E8642C">
        <w:rPr>
          <w:rFonts w:cs="Arial"/>
          <w:iCs/>
          <w:szCs w:val="22"/>
        </w:rPr>
        <w:t>un espace territorial et se reconnaissant eux</w:t>
      </w:r>
      <w:r w:rsidR="005A7440">
        <w:rPr>
          <w:rFonts w:cs="Arial"/>
          <w:iCs/>
          <w:szCs w:val="22"/>
        </w:rPr>
        <w:noBreakHyphen/>
      </w:r>
      <w:r w:rsidRPr="00E8642C">
        <w:rPr>
          <w:rFonts w:cs="Arial"/>
          <w:iCs/>
          <w:szCs w:val="22"/>
        </w:rPr>
        <w:t xml:space="preserve">mêmes comme tels, </w:t>
      </w:r>
      <w:r w:rsidR="004D2AA1">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4D2AA1">
        <w:rPr>
          <w:rFonts w:cs="Arial"/>
          <w:iCs/>
          <w:szCs w:val="22"/>
        </w:rPr>
        <w:t>‘</w:t>
      </w:r>
      <w:r w:rsidRPr="00E8642C">
        <w:rPr>
          <w:rFonts w:cs="Arial"/>
          <w:iCs/>
          <w:szCs w:val="22"/>
        </w:rPr>
        <w:t>autochtones</w:t>
      </w:r>
      <w:r w:rsidR="004D2AA1">
        <w:rPr>
          <w:rFonts w:cs="Arial"/>
          <w:iCs/>
          <w:szCs w:val="22"/>
        </w:rPr>
        <w:t>’</w:t>
      </w:r>
      <w:r w:rsidRPr="00E8642C">
        <w:rPr>
          <w:rFonts w:cs="Arial"/>
          <w:iCs/>
          <w:szCs w:val="22"/>
        </w:rPr>
        <w:t xml:space="preserve"> doit s</w:t>
      </w:r>
      <w:r w:rsidR="004D2AA1">
        <w:rPr>
          <w:rFonts w:cs="Arial"/>
          <w:iCs/>
          <w:szCs w:val="22"/>
        </w:rPr>
        <w:t>’</w:t>
      </w:r>
      <w:r w:rsidRPr="00E8642C">
        <w:rPr>
          <w:rFonts w:cs="Arial"/>
          <w:iCs/>
          <w:szCs w:val="22"/>
        </w:rPr>
        <w:t>entendre comme synonyme d</w:t>
      </w:r>
      <w:r w:rsidR="004D2AA1">
        <w:rPr>
          <w:rFonts w:cs="Arial"/>
          <w:iCs/>
          <w:szCs w:val="22"/>
        </w:rPr>
        <w:t>’’</w:t>
      </w:r>
      <w:r w:rsidR="00007531">
        <w:rPr>
          <w:rFonts w:cs="Arial"/>
          <w:iCs/>
          <w:szCs w:val="22"/>
        </w:rPr>
        <w:t>o</w:t>
      </w:r>
      <w:r w:rsidRPr="00E8642C">
        <w:rPr>
          <w:rFonts w:cs="Arial"/>
          <w:iCs/>
          <w:szCs w:val="22"/>
        </w:rPr>
        <w:t>riginaires du territoire</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traditionnels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ethniques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ancestraux</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indigènes</w:t>
      </w:r>
      <w:r w:rsidR="004D2AA1">
        <w:rPr>
          <w:rFonts w:cs="Arial"/>
          <w:iCs/>
          <w:szCs w:val="22"/>
        </w:rPr>
        <w:t>’</w:t>
      </w:r>
      <w:r w:rsidRPr="00E8642C">
        <w:rPr>
          <w:rFonts w:cs="Arial"/>
          <w:iCs/>
          <w:szCs w:val="22"/>
        </w:rPr>
        <w:t xml:space="preserve"> et d</w:t>
      </w:r>
      <w:r w:rsidR="004D2AA1">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4D2AA1">
        <w:rPr>
          <w:rFonts w:cs="Arial"/>
          <w:szCs w:val="22"/>
        </w:rPr>
        <w:t>’</w:t>
      </w:r>
      <w:r w:rsidRPr="00E8642C">
        <w:rPr>
          <w:rFonts w:cs="Arial"/>
          <w:szCs w:val="22"/>
        </w:rPr>
        <w:t>Oxford Dictionary définit le terme “aborigène” de la manière suivante</w:t>
      </w:r>
      <w:r w:rsidR="004D2AA1">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4D2AA1">
        <w:rPr>
          <w:rFonts w:cs="Arial"/>
          <w:i/>
          <w:iCs/>
          <w:szCs w:val="22"/>
        </w:rPr>
        <w:t>’</w:t>
      </w:r>
      <w:r w:rsidRPr="00E8642C">
        <w:rPr>
          <w:rFonts w:cs="Arial"/>
          <w:i/>
          <w:iCs/>
          <w:szCs w:val="22"/>
        </w:rPr>
        <w:t>arrivée de colons européens ou de ceux qu</w:t>
      </w:r>
      <w:r w:rsidR="004D2AA1">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4D2AA1">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4D2AA1">
        <w:rPr>
          <w:rFonts w:cs="Arial"/>
          <w:i/>
          <w:iCs/>
          <w:szCs w:val="22"/>
        </w:rPr>
        <w:t>’</w:t>
      </w:r>
      <w:r w:rsidRPr="00E8642C">
        <w:rPr>
          <w:rFonts w:cs="Arial"/>
          <w:i/>
          <w:iCs/>
          <w:szCs w:val="22"/>
        </w:rPr>
        <w:t>Australie ou leurs langues, ou apparenté ou propre aux aborigènes d</w:t>
      </w:r>
      <w:r w:rsidR="004D2AA1">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35 de la Constitution du Canada indique que “</w:t>
      </w:r>
      <w:r w:rsidRPr="00E8642C">
        <w:rPr>
          <w:rFonts w:cs="Arial"/>
          <w:i/>
          <w:iCs/>
          <w:szCs w:val="22"/>
        </w:rPr>
        <w:t>[…] peuples autochtones du Canada s</w:t>
      </w:r>
      <w:r w:rsidR="004D2AA1">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5A7440">
        <w:rPr>
          <w:rFonts w:cs="Arial"/>
          <w:szCs w:val="22"/>
        </w:rPr>
        <w:noBreakHyphen/>
      </w:r>
      <w:r w:rsidRPr="00E8642C">
        <w:rPr>
          <w:rFonts w:cs="Arial"/>
          <w:szCs w:val="22"/>
        </w:rPr>
        <w:t>même son centre d</w:t>
      </w:r>
      <w:r w:rsidR="004D2AA1">
        <w:rPr>
          <w:rFonts w:cs="Arial"/>
          <w:szCs w:val="22"/>
        </w:rPr>
        <w:t>’</w:t>
      </w:r>
      <w:r w:rsidRPr="00E8642C">
        <w:rPr>
          <w:rFonts w:cs="Arial"/>
          <w:szCs w:val="22"/>
        </w:rPr>
        <w:t>intérêt comme</w:t>
      </w:r>
      <w:r w:rsidR="004D2AA1">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4D2AA1">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4D2AA1">
        <w:rPr>
          <w:rFonts w:cs="Arial"/>
          <w:iCs/>
          <w:szCs w:val="22"/>
        </w:rPr>
        <w:t>’</w:t>
      </w:r>
      <w:r w:rsidRPr="00E8642C">
        <w:rPr>
          <w:rFonts w:cs="Arial"/>
          <w:iCs/>
          <w:szCs w:val="22"/>
        </w:rPr>
        <w:t>inscrivant dans la continuité historique des sociétés “préinvasion”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r w:rsidRPr="00E8642C">
        <w:t>Pratiques coutumières</w:t>
      </w:r>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5A7440">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r w:rsidRPr="00E8642C">
        <w:t>Préservation</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4D2AA1">
        <w:rPr>
          <w:rFonts w:cs="Arial"/>
          <w:szCs w:val="22"/>
        </w:rPr>
        <w:t>’</w:t>
      </w:r>
      <w:r w:rsidRPr="00E8642C">
        <w:rPr>
          <w:rFonts w:cs="Arial"/>
          <w:szCs w:val="22"/>
        </w:rPr>
        <w:t>il existe, de façon à préserver le cadre habituel de l</w:t>
      </w:r>
      <w:r w:rsidR="004D2AA1">
        <w:rPr>
          <w:rFonts w:cs="Arial"/>
          <w:szCs w:val="22"/>
        </w:rPr>
        <w:t>’</w:t>
      </w:r>
      <w:r w:rsidRPr="00E8642C">
        <w:rPr>
          <w:rFonts w:cs="Arial"/>
          <w:szCs w:val="22"/>
        </w:rPr>
        <w:t>élaboration et de la transmission de ces savoirs et expressions, ainsi que de la mise en place des modalités qui régissent l</w:t>
      </w:r>
      <w:r w:rsidR="004D2AA1">
        <w:rPr>
          <w:rFonts w:cs="Arial"/>
          <w:szCs w:val="22"/>
        </w:rPr>
        <w:t>’</w:t>
      </w:r>
      <w:r w:rsidRPr="00E8642C">
        <w:rPr>
          <w:rFonts w:cs="Arial"/>
          <w:szCs w:val="22"/>
        </w:rPr>
        <w:t>accès à ces savoirs et expressions;  et en second lieu, la préservation de ces éléments sous une forme fixe, comme lorsqu</w:t>
      </w:r>
      <w:r w:rsidR="004D2AA1">
        <w:rPr>
          <w:rFonts w:cs="Arial"/>
          <w:szCs w:val="22"/>
        </w:rPr>
        <w:t>’</w:t>
      </w:r>
      <w:r w:rsidRPr="00E8642C">
        <w:rPr>
          <w:rFonts w:cs="Arial"/>
          <w:szCs w:val="22"/>
        </w:rPr>
        <w:t>un savoir</w:t>
      </w:r>
      <w:r w:rsidR="005A7440">
        <w:rPr>
          <w:rFonts w:cs="Arial"/>
          <w:szCs w:val="22"/>
        </w:rPr>
        <w:noBreakHyphen/>
      </w:r>
      <w:r w:rsidRPr="00E8642C">
        <w:rPr>
          <w:rFonts w:cs="Arial"/>
          <w:szCs w:val="22"/>
        </w:rPr>
        <w:t>faire technique ou des connaissances médicinales traditionnels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4D2AA1">
        <w:rPr>
          <w:rFonts w:cs="Arial"/>
          <w:szCs w:val="22"/>
        </w:rPr>
        <w:t>’</w:t>
      </w:r>
      <w:r w:rsidRPr="00E8642C">
        <w:rPr>
          <w:rFonts w:cs="Arial"/>
          <w:szCs w:val="22"/>
        </w:rPr>
        <w:t>intérêt des générations futures de la communauté d</w:t>
      </w:r>
      <w:r w:rsidR="004D2AA1">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4D2AA1">
        <w:rPr>
          <w:rFonts w:cs="Arial"/>
          <w:szCs w:val="22"/>
        </w:rPr>
        <w:t>’</w:t>
      </w:r>
      <w:r w:rsidRPr="00E8642C">
        <w:rPr>
          <w:rFonts w:cs="Arial"/>
          <w:szCs w:val="22"/>
        </w:rPr>
        <w:t>un public plus vaste (</w:t>
      </w:r>
      <w:r w:rsidR="004D2AA1">
        <w:rPr>
          <w:rFonts w:cs="Arial"/>
          <w:szCs w:val="22"/>
        </w:rPr>
        <w:t>y compris</w:t>
      </w:r>
      <w:r w:rsidRPr="00E8642C">
        <w:rPr>
          <w:rFonts w:cs="Arial"/>
          <w:szCs w:val="22"/>
        </w:rPr>
        <w:t xml:space="preserve"> des universitaires et des chercheurs), en reconnaissance de leur importance en tant qu</w:t>
      </w:r>
      <w:r w:rsidR="004D2AA1">
        <w:rPr>
          <w:rFonts w:cs="Arial"/>
          <w:szCs w:val="22"/>
        </w:rPr>
        <w:t>’</w:t>
      </w:r>
      <w:r w:rsidRPr="00E8642C">
        <w:rPr>
          <w:rFonts w:cs="Arial"/>
          <w:szCs w:val="22"/>
        </w:rPr>
        <w:t>éléments du patrimoine culturel collectif de l</w:t>
      </w:r>
      <w:r w:rsidR="004D2AA1">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4D2AA1">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2A7EBB">
      <w:pPr>
        <w:pStyle w:val="Heading2"/>
        <w:spacing w:line="240" w:lineRule="auto"/>
      </w:pPr>
      <w:r w:rsidRPr="00E8642C">
        <w:t>Principes directeurs de propriété intellectuelle applicables aux contrats concernant l</w:t>
      </w:r>
      <w:r w:rsidR="004D2AA1">
        <w:t>’</w:t>
      </w:r>
      <w:r w:rsidRPr="00E8642C">
        <w:t>accès et le partage des avantages</w:t>
      </w:r>
    </w:p>
    <w:p w:rsidR="00DD607D" w:rsidRPr="00E8642C" w:rsidRDefault="00DD607D" w:rsidP="002A7EBB">
      <w:pPr>
        <w:keepNext/>
        <w:rPr>
          <w:rFonts w:cs="Arial"/>
          <w:b/>
          <w:szCs w:val="22"/>
        </w:rPr>
      </w:pPr>
    </w:p>
    <w:p w:rsidR="00DD607D" w:rsidRPr="00E8642C" w:rsidRDefault="00DD607D" w:rsidP="002A7EBB">
      <w:pPr>
        <w:pStyle w:val="NormalArial"/>
        <w:keepNext/>
        <w:spacing w:line="240" w:lineRule="auto"/>
        <w:ind w:left="0"/>
        <w:rPr>
          <w:rFonts w:cs="Arial"/>
          <w:szCs w:val="22"/>
        </w:rPr>
      </w:pPr>
      <w:r w:rsidRPr="00E8642C">
        <w:rPr>
          <w:rFonts w:cs="Arial"/>
          <w:szCs w:val="22"/>
        </w:rPr>
        <w:t>Dès sa première session, l</w:t>
      </w:r>
      <w:r w:rsidR="004D2AA1">
        <w:rPr>
          <w:rFonts w:cs="Arial"/>
          <w:szCs w:val="22"/>
        </w:rPr>
        <w:t>’</w:t>
      </w:r>
      <w:r w:rsidRPr="00E8642C">
        <w:rPr>
          <w:rFonts w:cs="Arial"/>
          <w:szCs w:val="22"/>
        </w:rPr>
        <w:t>IGC s</w:t>
      </w:r>
      <w:r w:rsidR="004D2AA1">
        <w:rPr>
          <w:rFonts w:cs="Arial"/>
          <w:szCs w:val="22"/>
        </w:rPr>
        <w:t>’</w:t>
      </w:r>
      <w:r w:rsidRPr="00E8642C">
        <w:rPr>
          <w:rFonts w:cs="Arial"/>
          <w:szCs w:val="22"/>
        </w:rPr>
        <w:t>est prononcé en faveur de travaux qui conduiraient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de propriété intellectuelle en matière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4D2AA1">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4D2AA1">
        <w:rPr>
          <w:szCs w:val="22"/>
        </w:rPr>
        <w:t>’</w:t>
      </w:r>
      <w:r w:rsidRPr="00E8642C">
        <w:rPr>
          <w:szCs w:val="22"/>
        </w:rPr>
        <w:t>IGC pour l</w:t>
      </w:r>
      <w:r w:rsidR="004D2AA1">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5A7440">
        <w:rPr>
          <w:szCs w:val="22"/>
        </w:rPr>
        <w:noBreakHyphen/>
      </w:r>
      <w:r w:rsidRPr="00E8642C">
        <w:rPr>
          <w:szCs w:val="22"/>
        </w:rPr>
        <w:t>sept</w:t>
      </w:r>
      <w:r w:rsidR="004D2AA1">
        <w:rPr>
          <w:szCs w:val="22"/>
        </w:rPr>
        <w:t>ième session</w:t>
      </w:r>
      <w:r w:rsidRPr="00E8642C">
        <w:rPr>
          <w:szCs w:val="22"/>
        </w:rPr>
        <w:t xml:space="preserve"> de l</w:t>
      </w:r>
      <w:r w:rsidR="004D2AA1">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4D2AA1">
        <w:rPr>
          <w:rFonts w:cs="Arial"/>
          <w:szCs w:val="22"/>
        </w:rPr>
        <w:t>’</w:t>
      </w:r>
      <w:r w:rsidRPr="00E8642C">
        <w:rPr>
          <w:rFonts w:cs="Arial"/>
          <w:szCs w:val="22"/>
        </w:rPr>
        <w:t>accès et de partage des avantages visent à servir les intérêts des fournisseurs et des destinataires des ressources génétiques lorsque ceux</w:t>
      </w:r>
      <w:r w:rsidR="005A7440">
        <w:rPr>
          <w:rFonts w:cs="Arial"/>
          <w:szCs w:val="22"/>
        </w:rPr>
        <w:noBreakHyphen/>
      </w:r>
      <w:r w:rsidRPr="00E8642C">
        <w:rPr>
          <w:rFonts w:cs="Arial"/>
          <w:szCs w:val="22"/>
        </w:rPr>
        <w:t>ci négocient, définissent et rédigent les éléments de propriété intellectuelle des modalités fixées d</w:t>
      </w:r>
      <w:r w:rsidR="004D2AA1">
        <w:rPr>
          <w:rFonts w:cs="Arial"/>
          <w:szCs w:val="22"/>
        </w:rPr>
        <w:t>’</w:t>
      </w:r>
      <w:r w:rsidRPr="00E8642C">
        <w:rPr>
          <w:rFonts w:cs="Arial"/>
          <w:szCs w:val="22"/>
        </w:rPr>
        <w:t>un commun accord en ce qui concerne l</w:t>
      </w:r>
      <w:r w:rsidR="004D2AA1">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4D2AA1">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4D2AA1">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4D2AA1">
        <w:rPr>
          <w:rFonts w:cs="Arial"/>
          <w:szCs w:val="22"/>
        </w:rPr>
        <w:t>’</w:t>
      </w:r>
      <w:r w:rsidRPr="00E8642C">
        <w:rPr>
          <w:rFonts w:cs="Arial"/>
          <w:szCs w:val="22"/>
        </w:rPr>
        <w:t>accès et de partage des avantages de façon équitable et d</w:t>
      </w:r>
      <w:r w:rsidR="004D2AA1">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4D2AA1">
        <w:rPr>
          <w:rFonts w:cs="Arial"/>
          <w:szCs w:val="22"/>
        </w:rPr>
        <w:t>y compris</w:t>
      </w:r>
      <w:r w:rsidRPr="00E8642C">
        <w:rPr>
          <w:rFonts w:cs="Arial"/>
          <w:szCs w:val="22"/>
        </w:rPr>
        <w:t xml:space="preserve"> leur droit de fixer les conditions et les modalités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5A7440">
        <w:rPr>
          <w:rFonts w:cs="Arial"/>
          <w:szCs w:val="22"/>
          <w:lang w:eastAsia="zh-CN"/>
        </w:rPr>
        <w:noBreakHyphen/>
      </w:r>
      <w:r w:rsidRPr="00E8642C">
        <w:rPr>
          <w:rFonts w:cs="Arial"/>
          <w:szCs w:val="22"/>
          <w:lang w:eastAsia="zh-CN"/>
        </w:rPr>
        <w:t>ci peuvent être préservées, conservées et utilisées dans l</w:t>
      </w:r>
      <w:r w:rsidR="004D2AA1">
        <w:rPr>
          <w:rFonts w:cs="Arial"/>
          <w:szCs w:val="22"/>
          <w:lang w:eastAsia="zh-CN"/>
        </w:rPr>
        <w:t>’</w:t>
      </w:r>
      <w:r w:rsidRPr="00E8642C">
        <w:rPr>
          <w:rFonts w:cs="Arial"/>
          <w:szCs w:val="22"/>
          <w:lang w:eastAsia="zh-CN"/>
        </w:rPr>
        <w:t>intérêt de l</w:t>
      </w:r>
      <w:r w:rsidR="004D2AA1">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4D2AA1">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r w:rsidRPr="00E8642C">
        <w:t>Propriété culturelle</w:t>
      </w:r>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4D2AA1">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4D2AA1">
        <w:rPr>
          <w:rFonts w:cs="Arial"/>
          <w:i/>
          <w:snapToGrid w:val="0"/>
          <w:szCs w:val="22"/>
        </w:rPr>
        <w:t>’</w:t>
      </w:r>
      <w:r w:rsidRPr="00E8642C">
        <w:rPr>
          <w:rFonts w:cs="Arial"/>
          <w:i/>
          <w:snapToGrid w:val="0"/>
          <w:szCs w:val="22"/>
        </w:rPr>
        <w:t>importation, l</w:t>
      </w:r>
      <w:r w:rsidR="004D2AA1">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4D2AA1">
        <w:rPr>
          <w:rFonts w:cs="Arial"/>
          <w:snapToGrid w:val="0"/>
          <w:szCs w:val="22"/>
        </w:rPr>
        <w:t> :</w:t>
      </w:r>
      <w:r w:rsidRPr="00E8642C">
        <w:rPr>
          <w:rFonts w:cs="Arial"/>
          <w:snapToGrid w:val="0"/>
          <w:szCs w:val="22"/>
        </w:rPr>
        <w:t xml:space="preserve"> “biens qui, à titre religieux ou profane, sont désignés par chaque État comme étant d</w:t>
      </w:r>
      <w:r w:rsidR="004D2AA1">
        <w:rPr>
          <w:rFonts w:cs="Arial"/>
          <w:snapToGrid w:val="0"/>
          <w:szCs w:val="22"/>
        </w:rPr>
        <w:t>’</w:t>
      </w:r>
      <w:r w:rsidRPr="00E8642C">
        <w:rPr>
          <w:rFonts w:cs="Arial"/>
          <w:snapToGrid w:val="0"/>
          <w:szCs w:val="22"/>
        </w:rPr>
        <w:t>importance pour l</w:t>
      </w:r>
      <w:r w:rsidR="004D2AA1">
        <w:rPr>
          <w:rFonts w:cs="Arial"/>
          <w:snapToGrid w:val="0"/>
          <w:szCs w:val="22"/>
        </w:rPr>
        <w:t>’</w:t>
      </w:r>
      <w:r w:rsidRPr="00E8642C">
        <w:rPr>
          <w:rFonts w:cs="Arial"/>
          <w:snapToGrid w:val="0"/>
          <w:szCs w:val="22"/>
        </w:rPr>
        <w:t>archéologie, la préhistoire, l</w:t>
      </w:r>
      <w:r w:rsidR="004D2AA1">
        <w:rPr>
          <w:rFonts w:cs="Arial"/>
          <w:snapToGrid w:val="0"/>
          <w:szCs w:val="22"/>
        </w:rPr>
        <w:t>’</w:t>
      </w:r>
      <w:r w:rsidRPr="00E8642C">
        <w:rPr>
          <w:rFonts w:cs="Arial"/>
          <w:snapToGrid w:val="0"/>
          <w:szCs w:val="22"/>
        </w:rPr>
        <w:t>histoire, la littérature, l</w:t>
      </w:r>
      <w:r w:rsidR="004D2AA1">
        <w:rPr>
          <w:rFonts w:cs="Arial"/>
          <w:snapToGrid w:val="0"/>
          <w:szCs w:val="22"/>
        </w:rPr>
        <w:t>’</w:t>
      </w:r>
      <w:r w:rsidRPr="00E8642C">
        <w:rPr>
          <w:rFonts w:cs="Arial"/>
          <w:snapToGrid w:val="0"/>
          <w:szCs w:val="22"/>
        </w:rPr>
        <w:t>art ou la science, et qui appartiennent aux catégories ci</w:t>
      </w:r>
      <w:r w:rsidR="005A7440">
        <w:rPr>
          <w:rFonts w:cs="Arial"/>
          <w:snapToGrid w:val="0"/>
          <w:szCs w:val="22"/>
        </w:rPr>
        <w:noBreakHyphen/>
      </w:r>
      <w:r w:rsidRPr="00E8642C">
        <w:rPr>
          <w:rFonts w:cs="Arial"/>
          <w:snapToGrid w:val="0"/>
          <w:szCs w:val="22"/>
        </w:rPr>
        <w:t>après</w:t>
      </w:r>
      <w:r w:rsidR="004D2AA1">
        <w:rPr>
          <w:rFonts w:cs="Arial"/>
          <w:snapToGrid w:val="0"/>
          <w:szCs w:val="22"/>
        </w:rPr>
        <w:t> :</w:t>
      </w:r>
      <w:r w:rsidRPr="00E8642C">
        <w:rPr>
          <w:rFonts w:cs="Arial"/>
          <w:snapToGrid w:val="0"/>
          <w:szCs w:val="22"/>
        </w:rPr>
        <w:t xml:space="preserve"> a) collections et spécimens rares de zoologie, de botanique, de minéralogie et d</w:t>
      </w:r>
      <w:r w:rsidR="004D2AA1">
        <w:rPr>
          <w:rFonts w:cs="Arial"/>
          <w:snapToGrid w:val="0"/>
          <w:szCs w:val="22"/>
        </w:rPr>
        <w:t>’</w:t>
      </w:r>
      <w:r w:rsidRPr="00E8642C">
        <w:rPr>
          <w:rFonts w:cs="Arial"/>
          <w:snapToGrid w:val="0"/>
          <w:szCs w:val="22"/>
        </w:rPr>
        <w:t>anatomie;  objets présentant un intérêt paléontologique;  b) les biens concernant l</w:t>
      </w:r>
      <w:r w:rsidR="004D2AA1">
        <w:rPr>
          <w:rFonts w:cs="Arial"/>
          <w:snapToGrid w:val="0"/>
          <w:szCs w:val="22"/>
        </w:rPr>
        <w:t>’</w:t>
      </w:r>
      <w:r w:rsidRPr="00E8642C">
        <w:rPr>
          <w:rFonts w:cs="Arial"/>
          <w:snapToGrid w:val="0"/>
          <w:szCs w:val="22"/>
        </w:rPr>
        <w:t xml:space="preserve">histoire, </w:t>
      </w:r>
      <w:r w:rsidR="004D2AA1">
        <w:rPr>
          <w:rFonts w:cs="Arial"/>
          <w:snapToGrid w:val="0"/>
          <w:szCs w:val="22"/>
        </w:rPr>
        <w:t>y compris</w:t>
      </w:r>
      <w:r w:rsidRPr="00E8642C">
        <w:rPr>
          <w:rFonts w:cs="Arial"/>
          <w:snapToGrid w:val="0"/>
          <w:szCs w:val="22"/>
        </w:rPr>
        <w:t xml:space="preserve"> l</w:t>
      </w:r>
      <w:r w:rsidR="004D2AA1">
        <w:rPr>
          <w:rFonts w:cs="Arial"/>
          <w:snapToGrid w:val="0"/>
          <w:szCs w:val="22"/>
        </w:rPr>
        <w:t>’</w:t>
      </w:r>
      <w:r w:rsidRPr="00E8642C">
        <w:rPr>
          <w:rFonts w:cs="Arial"/>
          <w:snapToGrid w:val="0"/>
          <w:szCs w:val="22"/>
        </w:rPr>
        <w:t>histoire des sciences et des techniques, l</w:t>
      </w:r>
      <w:r w:rsidR="004D2AA1">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4D2AA1">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4D2AA1">
        <w:rPr>
          <w:rFonts w:cs="Arial"/>
          <w:snapToGrid w:val="0"/>
          <w:szCs w:val="22"/>
        </w:rPr>
        <w:t>’</w:t>
      </w:r>
      <w:r w:rsidRPr="00E8642C">
        <w:rPr>
          <w:rFonts w:cs="Arial"/>
          <w:snapToGrid w:val="0"/>
          <w:szCs w:val="22"/>
        </w:rPr>
        <w:t>antiquité ayant plus de cent ans d</w:t>
      </w:r>
      <w:r w:rsidR="004D2AA1">
        <w:rPr>
          <w:rFonts w:cs="Arial"/>
          <w:snapToGrid w:val="0"/>
          <w:szCs w:val="22"/>
        </w:rPr>
        <w:t>’</w:t>
      </w:r>
      <w:r w:rsidRPr="00E8642C">
        <w:rPr>
          <w:rFonts w:cs="Arial"/>
          <w:snapToGrid w:val="0"/>
          <w:szCs w:val="22"/>
        </w:rPr>
        <w:t>âge, tels qu</w:t>
      </w:r>
      <w:r w:rsidR="004D2AA1">
        <w:rPr>
          <w:rFonts w:cs="Arial"/>
          <w:snapToGrid w:val="0"/>
          <w:szCs w:val="22"/>
        </w:rPr>
        <w:t>’</w:t>
      </w:r>
      <w:r w:rsidRPr="00E8642C">
        <w:rPr>
          <w:rFonts w:cs="Arial"/>
          <w:snapToGrid w:val="0"/>
          <w:szCs w:val="22"/>
        </w:rPr>
        <w:t>inscriptions, monnaies et sceaux gravés;  f) le matériel ethnologique;  g) les biens d</w:t>
      </w:r>
      <w:r w:rsidR="004D2AA1">
        <w:rPr>
          <w:rFonts w:cs="Arial"/>
          <w:snapToGrid w:val="0"/>
          <w:szCs w:val="22"/>
        </w:rPr>
        <w:t>’</w:t>
      </w:r>
      <w:r w:rsidRPr="00E8642C">
        <w:rPr>
          <w:rFonts w:cs="Arial"/>
          <w:snapToGrid w:val="0"/>
          <w:szCs w:val="22"/>
        </w:rPr>
        <w:t>intérêt artistique tels que</w:t>
      </w:r>
      <w:r w:rsidR="004D2AA1">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4D2AA1">
        <w:rPr>
          <w:rFonts w:cs="Arial"/>
          <w:snapToGrid w:val="0"/>
          <w:szCs w:val="22"/>
        </w:rPr>
        <w:t>’</w:t>
      </w:r>
      <w:r w:rsidRPr="00E8642C">
        <w:rPr>
          <w:rFonts w:cs="Arial"/>
          <w:snapToGrid w:val="0"/>
          <w:szCs w:val="22"/>
        </w:rPr>
        <w:t>exclusion des dessins industriels et des articles manufacturés décorés à la main);  ii) productions originales de l</w:t>
      </w:r>
      <w:r w:rsidR="004D2AA1">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4D2AA1">
        <w:rPr>
          <w:rFonts w:cs="Arial"/>
          <w:snapToGrid w:val="0"/>
          <w:szCs w:val="22"/>
        </w:rPr>
        <w:t>’</w:t>
      </w:r>
      <w:r w:rsidRPr="00E8642C">
        <w:rPr>
          <w:rFonts w:cs="Arial"/>
          <w:snapToGrid w:val="0"/>
          <w:szCs w:val="22"/>
        </w:rPr>
        <w:t>intérêt spécial (historique, artistique, scientifique, littéraire, etc.) isolés ou en collections;  i) timbres</w:t>
      </w:r>
      <w:r w:rsidR="005A7440">
        <w:rPr>
          <w:rFonts w:cs="Arial"/>
          <w:snapToGrid w:val="0"/>
          <w:szCs w:val="22"/>
        </w:rPr>
        <w:noBreakHyphen/>
      </w:r>
      <w:r w:rsidRPr="00E8642C">
        <w:rPr>
          <w:rFonts w:cs="Arial"/>
          <w:snapToGrid w:val="0"/>
          <w:szCs w:val="22"/>
        </w:rPr>
        <w:t xml:space="preserve">poste, timbres fiscaux et analogues, isolés ou en collections;  j) archives, </w:t>
      </w:r>
      <w:r w:rsidR="004D2AA1">
        <w:rPr>
          <w:rFonts w:cs="Arial"/>
          <w:snapToGrid w:val="0"/>
          <w:szCs w:val="22"/>
        </w:rPr>
        <w:t>y compris</w:t>
      </w:r>
      <w:r w:rsidRPr="00E8642C">
        <w:rPr>
          <w:rFonts w:cs="Arial"/>
          <w:snapToGrid w:val="0"/>
          <w:szCs w:val="22"/>
        </w:rPr>
        <w:t xml:space="preserve"> les archives phonographiques, photographiques et cinématographies;  k) objets d</w:t>
      </w:r>
      <w:r w:rsidR="004D2AA1">
        <w:rPr>
          <w:rFonts w:cs="Arial"/>
          <w:snapToGrid w:val="0"/>
          <w:szCs w:val="22"/>
        </w:rPr>
        <w:t>’</w:t>
      </w:r>
      <w:r w:rsidRPr="00E8642C">
        <w:rPr>
          <w:rFonts w:cs="Arial"/>
          <w:snapToGrid w:val="0"/>
          <w:szCs w:val="22"/>
        </w:rPr>
        <w:t>ameublement ayant plus de cent ans d</w:t>
      </w:r>
      <w:r w:rsidR="004D2AA1">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Protection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4D2AA1">
        <w:rPr>
          <w:rFonts w:cs="Arial"/>
          <w:szCs w:val="22"/>
        </w:rPr>
        <w:t>’</w:t>
      </w:r>
      <w:r w:rsidRPr="00E8642C">
        <w:rPr>
          <w:rFonts w:cs="Arial"/>
          <w:szCs w:val="22"/>
        </w:rPr>
        <w:t>IGC fait généralement référence à la protection des savoirs traditionnels et des expressions culturelles traditionnelles contre certaines formes d</w:t>
      </w:r>
      <w:r w:rsidR="004D2AA1">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4D2AA1">
        <w:rPr>
          <w:rFonts w:cs="Arial"/>
          <w:szCs w:val="22"/>
        </w:rPr>
        <w:t>’</w:t>
      </w:r>
      <w:r w:rsidRPr="00E8642C">
        <w:rPr>
          <w:rFonts w:cs="Arial"/>
          <w:szCs w:val="22"/>
        </w:rPr>
        <w:t>un ayant trait à la prévention d</w:t>
      </w:r>
      <w:r w:rsidR="004D2AA1">
        <w:rPr>
          <w:rFonts w:cs="Arial"/>
          <w:szCs w:val="22"/>
        </w:rPr>
        <w:t>’</w:t>
      </w:r>
      <w:r w:rsidRPr="00E8642C">
        <w:rPr>
          <w:rFonts w:cs="Arial"/>
          <w:szCs w:val="22"/>
        </w:rPr>
        <w:t>une utilisation non autorisée et l</w:t>
      </w:r>
      <w:r w:rsidR="004D2AA1">
        <w:rPr>
          <w:rFonts w:cs="Arial"/>
          <w:szCs w:val="22"/>
        </w:rPr>
        <w:t>’</w:t>
      </w:r>
      <w:r w:rsidRPr="00E8642C">
        <w:rPr>
          <w:rFonts w:cs="Arial"/>
          <w:szCs w:val="22"/>
        </w:rPr>
        <w:t>autre ayant trait à l</w:t>
      </w:r>
      <w:r w:rsidR="004D2AA1">
        <w:rPr>
          <w:rFonts w:cs="Arial"/>
          <w:szCs w:val="22"/>
        </w:rPr>
        <w:t>’</w:t>
      </w:r>
      <w:r w:rsidRPr="00E8642C">
        <w:rPr>
          <w:rFonts w:cs="Arial"/>
          <w:szCs w:val="22"/>
        </w:rPr>
        <w:t>exploitation active des savoirs traditionnels et des expressions culturelles traditionnelles par la communauté à l</w:t>
      </w:r>
      <w:r w:rsidR="004D2AA1">
        <w:rPr>
          <w:rFonts w:cs="Arial"/>
          <w:szCs w:val="22"/>
        </w:rPr>
        <w:t>’</w:t>
      </w:r>
      <w:r w:rsidRPr="00E8642C">
        <w:rPr>
          <w:rFonts w:cs="Arial"/>
          <w:szCs w:val="22"/>
        </w:rPr>
        <w:t>origine de ces savoirs et expressions.  L</w:t>
      </w:r>
      <w:r w:rsidR="004D2AA1">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4D2AA1">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4D2AA1">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2A7EBB">
      <w:pPr>
        <w:pStyle w:val="Heading3"/>
        <w:keepLines/>
        <w:spacing w:line="240" w:lineRule="auto"/>
      </w:pPr>
      <w:r w:rsidRPr="00E8642C">
        <w:t>Protection défensive</w:t>
      </w:r>
    </w:p>
    <w:p w:rsidR="00DD607D" w:rsidRPr="00E8642C" w:rsidRDefault="00DD607D" w:rsidP="002A7EBB">
      <w:pPr>
        <w:keepNext/>
        <w:keepLines/>
      </w:pPr>
    </w:p>
    <w:p w:rsidR="00DD607D" w:rsidRPr="00E8642C" w:rsidRDefault="00DD607D" w:rsidP="002A7EBB">
      <w:pPr>
        <w:keepNext/>
        <w:keepLines/>
      </w:pPr>
      <w:r w:rsidRPr="00E8642C">
        <w:t>La protection défensive a été définie comme un ensemble de stratégies visant à empêcher l</w:t>
      </w:r>
      <w:r w:rsidR="004D2AA1">
        <w:t>’</w:t>
      </w:r>
      <w:r w:rsidRPr="00E8642C">
        <w:t>obtention de droits illégitimes ou infondés en matière de propriété intellectuelle sur les expressions culturelles traditionnelles, les savoirs traditionnels et les ressources génétiques qui s</w:t>
      </w:r>
      <w:r w:rsidR="004D2AA1">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2A7EBB">
      <w:pPr>
        <w:keepNext/>
        <w:keepLines/>
      </w:pPr>
    </w:p>
    <w:p w:rsidR="00DD607D" w:rsidRPr="00E8642C" w:rsidRDefault="00DD607D" w:rsidP="00C21AB4">
      <w:pPr>
        <w:pStyle w:val="Heading2"/>
        <w:spacing w:line="240" w:lineRule="auto"/>
      </w:pPr>
      <w:r w:rsidRPr="00E8642C">
        <w:t>Protocole</w:t>
      </w:r>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t>Les protocoles sont des accords juridiques, des codes de conduite, des directives ou des ensembles de mœurs qui expliquent comment les gens devraient se comporter dans certaines circonstanc</w:t>
      </w:r>
      <w:r w:rsidR="00007531" w:rsidRPr="00E8642C">
        <w:t>es</w:t>
      </w:r>
      <w:r w:rsidR="00007531">
        <w:t xml:space="preserve">.  </w:t>
      </w:r>
      <w:r w:rsidR="00007531" w:rsidRPr="00E8642C">
        <w:t>Il</w:t>
      </w:r>
      <w:r w:rsidRPr="00E8642C">
        <w:t>s peuvent être utilisés pour établir des normes communautaires sur la circulation et l</w:t>
      </w:r>
      <w:r w:rsidR="004D2AA1">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4D2AA1">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r w:rsidRPr="00E8642C">
        <w:t>Protocole de Nagoya sur l</w:t>
      </w:r>
      <w:r w:rsidR="004D2AA1">
        <w:t>’</w:t>
      </w:r>
      <w:r w:rsidRPr="00E8642C">
        <w:t>accès aux ressources génétiques et le partage juste et équitable des avantages découlant de leur utilisation relatif à la Convention sur la diversité biologique (2010)</w:t>
      </w:r>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 l</w:t>
      </w:r>
      <w:r w:rsidR="004D2AA1">
        <w:rPr>
          <w:rFonts w:cs="Arial"/>
          <w:szCs w:val="22"/>
        </w:rPr>
        <w:t>’</w:t>
      </w:r>
      <w:r w:rsidRPr="00E8642C">
        <w:rPr>
          <w:rFonts w:cs="Arial"/>
          <w:szCs w:val="22"/>
        </w:rPr>
        <w:t>objectif de ce protocole est “le partage juste et équitable des avantages découlant de l</w:t>
      </w:r>
      <w:r w:rsidR="004D2AA1">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et sera ouvert à la signature au Siège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à New York du 2 février 2011 au</w:t>
      </w:r>
      <w:r w:rsidR="004D2AA1">
        <w:rPr>
          <w:rFonts w:cs="Arial"/>
          <w:szCs w:val="22"/>
        </w:rPr>
        <w:t xml:space="preserve"> 1</w:t>
      </w:r>
      <w:r w:rsidR="004D2AA1" w:rsidRPr="004D2AA1">
        <w:rPr>
          <w:rFonts w:cs="Arial"/>
          <w:szCs w:val="22"/>
          <w:vertAlign w:val="superscript"/>
        </w:rPr>
        <w:t>er</w:t>
      </w:r>
      <w:r w:rsidR="004D2AA1">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4D2AA1">
        <w:rPr>
          <w:rFonts w:cs="Arial"/>
          <w:szCs w:val="22"/>
          <w:lang w:eastAsia="zh-CN"/>
        </w:rPr>
        <w:t>’</w:t>
      </w:r>
      <w:r w:rsidRPr="00E8642C">
        <w:rPr>
          <w:rFonts w:cs="Arial"/>
          <w:szCs w:val="22"/>
          <w:lang w:eastAsia="zh-CN"/>
        </w:rPr>
        <w:t>article 7 (accès aux connaissances traditionnelles associées aux ressources génétiques), l</w:t>
      </w:r>
      <w:r w:rsidR="004D2AA1">
        <w:rPr>
          <w:rFonts w:cs="Arial"/>
          <w:szCs w:val="22"/>
          <w:lang w:eastAsia="zh-CN"/>
        </w:rPr>
        <w:t>’</w:t>
      </w:r>
      <w:r w:rsidRPr="00E8642C">
        <w:rPr>
          <w:rFonts w:cs="Arial"/>
          <w:szCs w:val="22"/>
          <w:lang w:eastAsia="zh-CN"/>
        </w:rPr>
        <w:t>article 12 (connaissances traditionnelles associées aux ressources génétiques) et l</w:t>
      </w:r>
      <w:r w:rsidR="004D2AA1">
        <w:rPr>
          <w:rFonts w:cs="Arial"/>
          <w:szCs w:val="22"/>
          <w:lang w:eastAsia="zh-CN"/>
        </w:rPr>
        <w:t>’</w:t>
      </w:r>
      <w:r w:rsidRPr="00E8642C">
        <w:rPr>
          <w:rFonts w:cs="Arial"/>
          <w:szCs w:val="22"/>
          <w:lang w:eastAsia="zh-CN"/>
        </w:rPr>
        <w:t>article 16 (respect de la législation ou des exigences internes en matière d</w:t>
      </w:r>
      <w:r w:rsidR="004D2AA1">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Protocole de Swakopmund relatif à la protection des savoirs traditionnels et des expressions du folklore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4D2AA1">
        <w:rPr>
          <w:rFonts w:cs="Arial"/>
          <w:szCs w:val="22"/>
        </w:rPr>
        <w:t>’</w:t>
      </w:r>
      <w:r w:rsidRPr="00E8642C">
        <w:rPr>
          <w:rFonts w:cs="Arial"/>
          <w:szCs w:val="22"/>
        </w:rPr>
        <w:t>Organisation régionale africaine de la propriété intellectuelle (ARIPO) en août 2010 durant la Conférence diplomatique qui s</w:t>
      </w:r>
      <w:r w:rsidR="004D2AA1">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1.1, l</w:t>
      </w:r>
      <w:r w:rsidR="004D2AA1">
        <w:rPr>
          <w:rFonts w:cs="Arial"/>
          <w:szCs w:val="22"/>
        </w:rPr>
        <w:t>’</w:t>
      </w:r>
      <w:r w:rsidRPr="00E8642C">
        <w:rPr>
          <w:rFonts w:cs="Arial"/>
          <w:szCs w:val="22"/>
        </w:rPr>
        <w:t>objectif de ce protocole est</w:t>
      </w:r>
      <w:r w:rsidR="004D2AA1">
        <w:rPr>
          <w:rFonts w:cs="Arial"/>
          <w:szCs w:val="22"/>
        </w:rPr>
        <w:t> :</w:t>
      </w:r>
      <w:r w:rsidRPr="00E8642C">
        <w:rPr>
          <w:rFonts w:cs="Arial"/>
          <w:szCs w:val="22"/>
        </w:rPr>
        <w:t xml:space="preserve"> “</w:t>
      </w:r>
      <w:r w:rsidRPr="00E8642C">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4D2AA1">
        <w:rPr>
          <w:rFonts w:cs="Arial"/>
          <w:szCs w:val="22"/>
        </w:rPr>
        <w:t>’</w:t>
      </w:r>
      <w:r w:rsidRPr="00E8642C">
        <w:rPr>
          <w:rFonts w:cs="Arial"/>
          <w:szCs w:val="22"/>
        </w:rPr>
        <w:t>ARIPO ont déposé leurs instruments de ratification ou d</w:t>
      </w:r>
      <w:r w:rsidR="004D2AA1">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Publiquement disponible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4D2AA1">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4D2AA1">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4D2AA1">
        <w:rPr>
          <w:rFonts w:cs="Arial"/>
          <w:szCs w:val="22"/>
        </w:rPr>
        <w:t> :</w:t>
      </w:r>
      <w:r w:rsidRPr="00E8642C">
        <w:rPr>
          <w:rFonts w:cs="Arial"/>
          <w:szCs w:val="22"/>
        </w:rPr>
        <w:t xml:space="preserve"> </w:t>
      </w:r>
      <w:r w:rsidRPr="00E8642C">
        <w:rPr>
          <w:rFonts w:cs="Arial"/>
          <w:iCs/>
          <w:szCs w:val="22"/>
        </w:rPr>
        <w:t>“Il a été indiqué que l</w:t>
      </w:r>
      <w:r w:rsidR="004D2AA1">
        <w:rPr>
          <w:rFonts w:cs="Arial"/>
          <w:iCs/>
          <w:szCs w:val="22"/>
        </w:rPr>
        <w:t>’</w:t>
      </w:r>
      <w:r w:rsidRPr="00E8642C">
        <w:rPr>
          <w:rFonts w:cs="Arial"/>
          <w:iCs/>
          <w:szCs w:val="22"/>
        </w:rPr>
        <w:t xml:space="preserve">expression </w:t>
      </w:r>
      <w:r w:rsidR="004D2AA1">
        <w:rPr>
          <w:rFonts w:cs="Arial"/>
          <w:iCs/>
          <w:szCs w:val="22"/>
        </w:rPr>
        <w:t>‘</w:t>
      </w:r>
      <w:r w:rsidRPr="00E8642C">
        <w:rPr>
          <w:rFonts w:cs="Arial"/>
          <w:iCs/>
          <w:szCs w:val="22"/>
        </w:rPr>
        <w:t>domaine public</w:t>
      </w:r>
      <w:r w:rsidR="004D2AA1">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4D2AA1">
        <w:rPr>
          <w:rFonts w:cs="Arial"/>
          <w:iCs/>
          <w:szCs w:val="22"/>
        </w:rPr>
        <w:t>‘</w:t>
      </w:r>
      <w:r w:rsidRPr="00E8642C">
        <w:rPr>
          <w:rFonts w:cs="Arial"/>
          <w:iCs/>
          <w:szCs w:val="22"/>
        </w:rPr>
        <w:t>Publiquement disponible</w:t>
      </w:r>
      <w:r w:rsidR="004D2AA1">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4D2AA1">
        <w:rPr>
          <w:rFonts w:cs="Arial"/>
          <w:iCs/>
          <w:szCs w:val="22"/>
        </w:rPr>
        <w:t>’</w:t>
      </w:r>
      <w:r w:rsidRPr="00E8642C">
        <w:rPr>
          <w:rFonts w:cs="Arial"/>
          <w:iCs/>
          <w:szCs w:val="22"/>
        </w:rPr>
        <w:t>il y a une condition pour imposer des modalités convenues d</w:t>
      </w:r>
      <w:r w:rsidR="004D2AA1">
        <w:rPr>
          <w:rFonts w:cs="Arial"/>
          <w:iCs/>
          <w:szCs w:val="22"/>
        </w:rPr>
        <w:t>’</w:t>
      </w:r>
      <w:r w:rsidRPr="00E8642C">
        <w:rPr>
          <w:rFonts w:cs="Arial"/>
          <w:iCs/>
          <w:szCs w:val="22"/>
        </w:rPr>
        <w:t>un commun accord comme le paiement d</w:t>
      </w:r>
      <w:r w:rsidR="004D2AA1">
        <w:rPr>
          <w:rFonts w:cs="Arial"/>
          <w:iCs/>
          <w:szCs w:val="22"/>
        </w:rPr>
        <w:t>’</w:t>
      </w:r>
      <w:r w:rsidRPr="00E8642C">
        <w:rPr>
          <w:rFonts w:cs="Arial"/>
          <w:iCs/>
          <w:szCs w:val="22"/>
        </w:rPr>
        <w:t>un droit d</w:t>
      </w:r>
      <w:r w:rsidR="004D2AA1">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4D2AA1">
        <w:rPr>
          <w:rFonts w:cs="Arial"/>
          <w:iCs/>
          <w:szCs w:val="22"/>
        </w:rPr>
        <w:t>’</w:t>
      </w:r>
      <w:r w:rsidRPr="00E8642C">
        <w:rPr>
          <w:rFonts w:cs="Arial"/>
          <w:iCs/>
          <w:szCs w:val="22"/>
        </w:rPr>
        <w:t>on y a eu accès et qu</w:t>
      </w:r>
      <w:r w:rsidR="004D2AA1">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4D2AA1">
        <w:rPr>
          <w:rFonts w:cs="Arial"/>
          <w:iCs/>
          <w:szCs w:val="22"/>
        </w:rPr>
        <w:t>’</w:t>
      </w:r>
      <w:r w:rsidRPr="00E8642C">
        <w:rPr>
          <w:rFonts w:cs="Arial"/>
          <w:iCs/>
          <w:szCs w:val="22"/>
        </w:rPr>
        <w:t>appartiennent pas à quelqu</w:t>
      </w:r>
      <w:r w:rsidR="004D2AA1">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4D2AA1">
        <w:rPr>
          <w:rFonts w:cs="Arial"/>
          <w:iCs/>
          <w:szCs w:val="22"/>
        </w:rPr>
        <w:t>’</w:t>
      </w:r>
      <w:r w:rsidRPr="00E8642C">
        <w:rPr>
          <w:rFonts w:cs="Arial"/>
          <w:iCs/>
          <w:szCs w:val="22"/>
        </w:rPr>
        <w:t>un détenteur de connaissances traditionnelles qui est identifiable pourrait encore être requis et les dispositions du partage des avantages rendues applicables même lorsqu</w:t>
      </w:r>
      <w:r w:rsidR="004D2AA1">
        <w:rPr>
          <w:rFonts w:cs="Arial"/>
          <w:iCs/>
          <w:szCs w:val="22"/>
        </w:rPr>
        <w:t>’</w:t>
      </w:r>
      <w:r w:rsidRPr="00E8642C">
        <w:rPr>
          <w:rFonts w:cs="Arial"/>
          <w:iCs/>
          <w:szCs w:val="22"/>
        </w:rPr>
        <w:t>un changement d</w:t>
      </w:r>
      <w:r w:rsidR="004D2AA1">
        <w:rPr>
          <w:rFonts w:cs="Arial"/>
          <w:iCs/>
          <w:szCs w:val="22"/>
        </w:rPr>
        <w:t>’</w:t>
      </w:r>
      <w:r w:rsidRPr="00E8642C">
        <w:rPr>
          <w:rFonts w:cs="Arial"/>
          <w:iCs/>
          <w:szCs w:val="22"/>
        </w:rPr>
        <w:t>utilisation est discernable d</w:t>
      </w:r>
      <w:r w:rsidR="004D2AA1">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4D2AA1">
        <w:rPr>
          <w:rFonts w:cs="Arial"/>
          <w:iCs/>
          <w:szCs w:val="22"/>
        </w:rPr>
        <w:t>’</w:t>
      </w:r>
      <w:r w:rsidRPr="00E8642C">
        <w:rPr>
          <w:rFonts w:cs="Arial"/>
          <w:iCs/>
          <w:szCs w:val="22"/>
        </w:rPr>
        <w:t>un détenteur n</w:t>
      </w:r>
      <w:r w:rsidR="004D2AA1">
        <w:rPr>
          <w:rFonts w:cs="Arial"/>
          <w:iCs/>
          <w:szCs w:val="22"/>
        </w:rPr>
        <w:t>’</w:t>
      </w:r>
      <w:r w:rsidRPr="00E8642C">
        <w:rPr>
          <w:rFonts w:cs="Arial"/>
          <w:iCs/>
          <w:szCs w:val="22"/>
        </w:rPr>
        <w:t>est pas identifiable, l</w:t>
      </w:r>
      <w:r w:rsidR="004D2AA1">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r w:rsidRPr="00E8642C">
        <w:t>Registres de savoirs traditionnels</w:t>
      </w:r>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4D2AA1">
        <w:rPr>
          <w:rFonts w:cs="Arial"/>
          <w:szCs w:val="22"/>
        </w:rPr>
        <w:t>’</w:t>
      </w:r>
      <w:r w:rsidRPr="00E8642C">
        <w:rPr>
          <w:rFonts w:cs="Arial"/>
          <w:szCs w:val="22"/>
        </w:rPr>
        <w:t xml:space="preserve">un acte quelconque du gouvernement mais se fondent plutôt sur des droits préexistants, </w:t>
      </w:r>
      <w:r w:rsidR="004D2AA1">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4D2AA1">
        <w:rPr>
          <w:rFonts w:cs="Arial"/>
          <w:szCs w:val="22"/>
        </w:rPr>
        <w:t>’</w:t>
      </w:r>
      <w:r w:rsidRPr="00E8642C">
        <w:rPr>
          <w:rFonts w:cs="Arial"/>
          <w:szCs w:val="22"/>
        </w:rPr>
        <w:t>enregistrement n</w:t>
      </w:r>
      <w:r w:rsidR="004D2AA1">
        <w:rPr>
          <w:rFonts w:cs="Arial"/>
          <w:szCs w:val="22"/>
        </w:rPr>
        <w:t>’</w:t>
      </w:r>
      <w:r w:rsidRPr="00E8642C">
        <w:rPr>
          <w:rFonts w:cs="Arial"/>
          <w:szCs w:val="22"/>
        </w:rPr>
        <w:t>ait pas d</w:t>
      </w:r>
      <w:r w:rsidR="004D2AA1">
        <w:rPr>
          <w:rFonts w:cs="Arial"/>
          <w:szCs w:val="22"/>
        </w:rPr>
        <w:t>’</w:t>
      </w:r>
      <w:r w:rsidRPr="00E8642C">
        <w:rPr>
          <w:rFonts w:cs="Arial"/>
          <w:szCs w:val="22"/>
        </w:rPr>
        <w:t>incidence sur l</w:t>
      </w:r>
      <w:r w:rsidR="004D2AA1">
        <w:rPr>
          <w:rFonts w:cs="Arial"/>
          <w:szCs w:val="22"/>
        </w:rPr>
        <w:t>’</w:t>
      </w:r>
      <w:r w:rsidRPr="00E8642C">
        <w:rPr>
          <w:rFonts w:cs="Arial"/>
          <w:szCs w:val="22"/>
        </w:rPr>
        <w:t>existence de ces droits, il peut être utilisé pour aider les examinateurs de brevets à analyser l</w:t>
      </w:r>
      <w:r w:rsidR="004D2AA1">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4D2AA1">
        <w:rPr>
          <w:rFonts w:cs="Arial"/>
          <w:szCs w:val="22"/>
        </w:rPr>
        <w:t>’</w:t>
      </w:r>
      <w:r w:rsidRPr="00E8642C">
        <w:rPr>
          <w:rFonts w:cs="Arial"/>
          <w:szCs w:val="22"/>
        </w:rPr>
        <w:t>Internet, il est important de mettre en place un mécanisme qui permette d</w:t>
      </w:r>
      <w:r w:rsidR="004D2AA1">
        <w:rPr>
          <w:rFonts w:cs="Arial"/>
          <w:szCs w:val="22"/>
        </w:rPr>
        <w:t>’</w:t>
      </w:r>
      <w:r w:rsidRPr="00E8642C">
        <w:rPr>
          <w:rFonts w:cs="Arial"/>
          <w:szCs w:val="22"/>
        </w:rPr>
        <w:t>assurer que les dates d</w:t>
      </w:r>
      <w:r w:rsidR="004D2AA1">
        <w:rPr>
          <w:rFonts w:cs="Arial"/>
          <w:szCs w:val="22"/>
        </w:rPr>
        <w:t>’</w:t>
      </w:r>
      <w:r w:rsidRPr="00E8642C">
        <w:rPr>
          <w:rFonts w:cs="Arial"/>
          <w:szCs w:val="22"/>
        </w:rPr>
        <w:t>entrée des savoirs traditionnels sont valides lorsque des recherches relatives à la nouveauté et à l</w:t>
      </w:r>
      <w:r w:rsidR="004D2AA1">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4D2AA1">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4D2AA1">
        <w:rPr>
          <w:rFonts w:cs="Arial"/>
          <w:szCs w:val="22"/>
        </w:rPr>
        <w:t>’</w:t>
      </w:r>
      <w:r w:rsidRPr="00E8642C">
        <w:rPr>
          <w:rFonts w:cs="Arial"/>
          <w:szCs w:val="22"/>
        </w:rPr>
        <w:t>octroi de droits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des droits de propriété exclusifs) au détenteur des savoirs traditionnels afin d</w:t>
      </w:r>
      <w:r w:rsidR="004D2AA1">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4D2AA1">
        <w:rPr>
          <w:rFonts w:cs="Arial"/>
          <w:szCs w:val="22"/>
        </w:rPr>
        <w:t>’</w:t>
      </w:r>
      <w:r w:rsidRPr="00E8642C">
        <w:rPr>
          <w:rFonts w:cs="Arial"/>
          <w:szCs w:val="22"/>
        </w:rPr>
        <w:t>une loi ou d</w:t>
      </w:r>
      <w:r w:rsidR="004D2AA1">
        <w:rPr>
          <w:rFonts w:cs="Arial"/>
          <w:szCs w:val="22"/>
        </w:rPr>
        <w:t>’</w:t>
      </w:r>
      <w:r w:rsidRPr="00E8642C">
        <w:rPr>
          <w:rFonts w:cs="Arial"/>
          <w:szCs w:val="22"/>
        </w:rPr>
        <w:t>un règlement qui définit clairement de quelle manière se déroule l</w:t>
      </w:r>
      <w:r w:rsidR="004D2AA1">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cet égard, ces registres peuvent davantage être sujets à 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4D2AA1">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4D2AA1">
        <w:rPr>
          <w:rFonts w:cs="Arial"/>
          <w:iCs/>
          <w:szCs w:val="22"/>
        </w:rPr>
        <w:t>’</w:t>
      </w:r>
      <w:r w:rsidRPr="00E8642C">
        <w:rPr>
          <w:rFonts w:cs="Arial"/>
          <w:iCs/>
          <w:szCs w:val="22"/>
        </w:rPr>
        <w:t>Indecopi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4D2AA1">
        <w:rPr>
          <w:rFonts w:cs="Arial"/>
          <w:iCs/>
          <w:szCs w:val="22"/>
        </w:rPr>
        <w:t> :</w:t>
      </w:r>
      <w:r w:rsidRPr="00E8642C">
        <w:rPr>
          <w:rFonts w:cs="Arial"/>
          <w:iCs/>
          <w:szCs w:val="22"/>
        </w:rPr>
        <w:t xml:space="preserve"> a) le Registre national public des savoirs collectifs des peuples autochtones;  b)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r w:rsidRPr="00E8642C">
        <w:t>Règlement extrajudiciaire des litiges</w:t>
      </w:r>
    </w:p>
    <w:p w:rsidR="00DD607D" w:rsidRPr="00E8642C" w:rsidRDefault="00DD607D" w:rsidP="00EF6794">
      <w:pPr>
        <w:rPr>
          <w:b/>
          <w:szCs w:val="22"/>
        </w:rPr>
      </w:pPr>
    </w:p>
    <w:p w:rsidR="00AA3C26" w:rsidRDefault="00DD607D" w:rsidP="00AA3C26">
      <w:pPr>
        <w:autoSpaceDE w:val="0"/>
        <w:autoSpaceDN w:val="0"/>
        <w:adjustRightInd w:val="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4D2AA1">
        <w:rPr>
          <w:rFonts w:cs="Arial"/>
          <w:szCs w:val="22"/>
        </w:rPr>
        <w:t>’</w:t>
      </w:r>
      <w:r w:rsidRPr="00E8642C">
        <w:rPr>
          <w:rFonts w:cs="Arial"/>
          <w:szCs w:val="22"/>
        </w:rPr>
        <w:t>attache à résoudre les litiges de manière non conflictuelle afin d</w:t>
      </w:r>
      <w:r w:rsidR="004D2AA1">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5A7440">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4D2AA1">
        <w:rPr>
          <w:rFonts w:cs="Arial"/>
          <w:szCs w:val="22"/>
        </w:rPr>
        <w:t>’</w:t>
      </w:r>
      <w:r w:rsidRPr="00E8642C">
        <w:rPr>
          <w:rFonts w:cs="Arial"/>
          <w:szCs w:val="22"/>
        </w:rPr>
        <w:t>action en justice et l</w:t>
      </w:r>
      <w:r w:rsidR="004D2AA1">
        <w:rPr>
          <w:rFonts w:cs="Arial"/>
          <w:szCs w:val="22"/>
        </w:rPr>
        <w:t>’</w:t>
      </w:r>
      <w:r w:rsidRPr="00E8642C">
        <w:rPr>
          <w:rFonts w:cs="Arial"/>
          <w:szCs w:val="22"/>
        </w:rPr>
        <w:t>octroi d</w:t>
      </w:r>
      <w:r w:rsidR="004D2AA1">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4D2AA1">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2A7EBB" w:rsidRDefault="002A7EBB" w:rsidP="00AA3C26">
      <w:pPr>
        <w:autoSpaceDE w:val="0"/>
        <w:autoSpaceDN w:val="0"/>
        <w:adjustRightInd w:val="0"/>
        <w:rPr>
          <w:rFonts w:cs="Arial"/>
          <w:b/>
          <w:bCs/>
          <w:snapToGrid w:val="0"/>
          <w:szCs w:val="22"/>
          <w:lang w:eastAsia="en-US"/>
        </w:rPr>
      </w:pPr>
    </w:p>
    <w:p w:rsidR="00DD607D" w:rsidRPr="00E8642C" w:rsidRDefault="00DD607D" w:rsidP="00EF6794">
      <w:pPr>
        <w:pStyle w:val="Heading2"/>
        <w:keepLines/>
        <w:spacing w:line="240" w:lineRule="auto"/>
      </w:pPr>
      <w:r w:rsidRPr="00E8642C">
        <w:t>Rémunération équitable</w:t>
      </w:r>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4D2AA1">
        <w:rPr>
          <w:rFonts w:cs="Arial"/>
          <w:szCs w:val="22"/>
        </w:rPr>
        <w:t>’</w:t>
      </w:r>
      <w:r w:rsidRPr="00E8642C">
        <w:rPr>
          <w:rFonts w:cs="Arial"/>
          <w:szCs w:val="22"/>
        </w:rPr>
        <w:t xml:space="preserve">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4D2AA1">
        <w:rPr>
          <w:rFonts w:cs="Arial"/>
          <w:szCs w:val="22"/>
        </w:rPr>
        <w:t>’</w:t>
      </w:r>
      <w:r w:rsidRPr="00E8642C">
        <w:rPr>
          <w:rFonts w:cs="Arial"/>
          <w:szCs w:val="22"/>
        </w:rPr>
        <w:t>autorisation du titulaire de droit d</w:t>
      </w:r>
      <w:r w:rsidR="004D2AA1">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4D2AA1">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4D2AA1">
        <w:rPr>
          <w:rFonts w:cs="Arial"/>
          <w:szCs w:val="22"/>
        </w:rPr>
        <w:t>’</w:t>
      </w:r>
      <w:r w:rsidRPr="00E8642C">
        <w:rPr>
          <w:rFonts w:cs="Arial"/>
          <w:szCs w:val="22"/>
        </w:rPr>
        <w:t>application de ce droit ou, pour autant qu</w:t>
      </w:r>
      <w:r w:rsidR="004D2AA1">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Réputation</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Selon le Black</w:t>
      </w:r>
      <w:r w:rsidR="004D2AA1">
        <w:rPr>
          <w:rFonts w:cs="Arial"/>
          <w:szCs w:val="22"/>
        </w:rPr>
        <w:t>’</w:t>
      </w:r>
      <w:r w:rsidRPr="00E8642C">
        <w:rPr>
          <w:rFonts w:cs="Arial"/>
          <w:szCs w:val="22"/>
        </w:rPr>
        <w:t>s Law Dictionary, le terme “réputation” renvoie à l</w:t>
      </w:r>
      <w:r w:rsidR="004D2AA1">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4D2AA1">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4D2AA1">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4D2AA1">
        <w:rPr>
          <w:rFonts w:cs="Arial"/>
          <w:szCs w:val="22"/>
        </w:rPr>
        <w:t>’</w:t>
      </w:r>
      <w:r w:rsidRPr="00E8642C">
        <w:rPr>
          <w:rFonts w:cs="Arial"/>
          <w:szCs w:val="22"/>
        </w:rPr>
        <w:t>auteur n</w:t>
      </w:r>
      <w:r w:rsidR="004D2AA1">
        <w:rPr>
          <w:rFonts w:cs="Arial"/>
          <w:szCs w:val="22"/>
        </w:rPr>
        <w:t>’</w:t>
      </w:r>
      <w:r w:rsidRPr="00E8642C">
        <w:rPr>
          <w:rFonts w:cs="Arial"/>
          <w:szCs w:val="22"/>
        </w:rPr>
        <w:t>apprécie pas ce qui a été fait à son œuvre, l</w:t>
      </w:r>
      <w:r w:rsidR="004D2AA1">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r w:rsidRPr="00E8642C">
        <w:t>Respect mutuel</w:t>
      </w:r>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4D2AA1">
        <w:rPr>
          <w:rFonts w:cs="Arial"/>
          <w:szCs w:val="22"/>
        </w:rPr>
        <w:t>’</w:t>
      </w:r>
      <w:r w:rsidRPr="00E8642C">
        <w:rPr>
          <w:rFonts w:cs="Arial"/>
          <w:szCs w:val="22"/>
        </w:rPr>
        <w:t>une vis</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vis de l</w:t>
      </w:r>
      <w:r w:rsidR="004D2AA1">
        <w:rPr>
          <w:rFonts w:cs="Arial"/>
          <w:szCs w:val="22"/>
        </w:rPr>
        <w:t>’</w:t>
      </w:r>
      <w:r w:rsidRPr="00E8642C">
        <w:rPr>
          <w:rFonts w:cs="Arial"/>
          <w:szCs w:val="22"/>
        </w:rPr>
        <w:t>autre et qui agissent dans le cadre d</w:t>
      </w:r>
      <w:r w:rsidR="004D2AA1">
        <w:rPr>
          <w:rFonts w:cs="Arial"/>
          <w:szCs w:val="22"/>
        </w:rPr>
        <w:t>’</w:t>
      </w:r>
      <w:r w:rsidRPr="00E8642C">
        <w:rPr>
          <w:rFonts w:cs="Arial"/>
          <w:szCs w:val="22"/>
        </w:rPr>
        <w:t>une relation de réciprocité (Oxford English Dictionary).</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Ressources biologiques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4D2AA1">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5A7440">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4D2AA1">
        <w:rPr>
          <w:rFonts w:cs="Arial"/>
          <w:iCs/>
          <w:szCs w:val="22"/>
        </w:rPr>
        <w:t>’</w:t>
      </w:r>
      <w:r w:rsidRPr="00E8642C">
        <w:rPr>
          <w:rFonts w:cs="Arial"/>
          <w:iCs/>
          <w:szCs w:val="22"/>
        </w:rPr>
        <w:t>autres instruments juridiques de propriété intellectuelle n</w:t>
      </w:r>
      <w:r w:rsidR="004D2AA1">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4D2AA1">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5A7440">
        <w:rPr>
          <w:rFonts w:cs="Arial"/>
          <w:szCs w:val="22"/>
        </w:rPr>
        <w:noBreakHyphen/>
      </w:r>
      <w:r w:rsidRPr="00E8642C">
        <w:rPr>
          <w:rFonts w:cs="Arial"/>
          <w:szCs w:val="22"/>
        </w:rPr>
        <w:t>Unis d</w:t>
      </w:r>
      <w:r w:rsidR="004D2AA1">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rPr>
          <w:rStyle w:val="Strong"/>
          <w:b/>
        </w:rPr>
      </w:pPr>
      <w:r w:rsidRPr="00E8642C">
        <w:rPr>
          <w:rStyle w:val="Strong"/>
          <w:b/>
        </w:rPr>
        <w:t>Ressources génétiques</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4D2AA1">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le “</w:t>
      </w:r>
      <w:r w:rsidRPr="00E8642C">
        <w:rPr>
          <w:rFonts w:cs="Arial"/>
          <w:iCs/>
          <w:szCs w:val="22"/>
        </w:rPr>
        <w:t>germoplasme de végétaux, d</w:t>
      </w:r>
      <w:r w:rsidR="004D2AA1">
        <w:rPr>
          <w:rFonts w:cs="Arial"/>
          <w:iCs/>
          <w:szCs w:val="22"/>
        </w:rPr>
        <w:t>’</w:t>
      </w:r>
      <w:r w:rsidRPr="00E8642C">
        <w:rPr>
          <w:rFonts w:cs="Arial"/>
          <w:iCs/>
          <w:szCs w:val="22"/>
        </w:rPr>
        <w:t>animaux ou d</w:t>
      </w:r>
      <w:r w:rsidR="004D2AA1">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4D2AA1">
        <w:rPr>
          <w:rFonts w:cs="Arial"/>
          <w:iCs/>
          <w:szCs w:val="22"/>
        </w:rPr>
        <w:t>’</w:t>
      </w:r>
      <w:r w:rsidRPr="00E8642C">
        <w:rPr>
          <w:rFonts w:cs="Arial"/>
          <w:iCs/>
          <w:szCs w:val="22"/>
        </w:rPr>
        <w:t>élevage, il s</w:t>
      </w:r>
      <w:r w:rsidR="004D2AA1">
        <w:rPr>
          <w:rFonts w:cs="Arial"/>
          <w:iCs/>
          <w:szCs w:val="22"/>
        </w:rPr>
        <w:t>’</w:t>
      </w:r>
      <w:r w:rsidRPr="00E8642C">
        <w:rPr>
          <w:rFonts w:cs="Arial"/>
          <w:iCs/>
          <w:szCs w:val="22"/>
        </w:rPr>
        <w:t>agit de la somme des combinaisons génétiques produites au cours du processus d</w:t>
      </w:r>
      <w:r w:rsidR="004D2AA1">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4D2AA1">
        <w:rPr>
          <w:rFonts w:cs="Arial"/>
          <w:snapToGrid w:val="0"/>
          <w:szCs w:val="22"/>
        </w:rPr>
        <w:t>’</w:t>
      </w:r>
      <w:r w:rsidRPr="00E8642C">
        <w:rPr>
          <w:rFonts w:cs="Arial"/>
          <w:snapToGrid w:val="0"/>
          <w:szCs w:val="22"/>
        </w:rPr>
        <w:t>autres instruments juridiques font référence aux ressources génétiques dans des termes différents</w:t>
      </w:r>
      <w:r w:rsidR="004D2AA1">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Traité international sur les ressources phytogénétiques pour l</w:t>
      </w:r>
      <w:r w:rsidR="004D2AA1">
        <w:rPr>
          <w:rFonts w:cs="Arial"/>
          <w:i/>
          <w:iCs/>
          <w:szCs w:val="22"/>
        </w:rPr>
        <w:t>’</w:t>
      </w:r>
      <w:r w:rsidRPr="00E8642C">
        <w:rPr>
          <w:rFonts w:cs="Arial"/>
          <w:i/>
          <w:iCs/>
          <w:szCs w:val="22"/>
        </w:rPr>
        <w:t>alimentation et l</w:t>
      </w:r>
      <w:r w:rsidR="004D2AA1">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w:t>
      </w:r>
      <w:r w:rsidRPr="00E8642C">
        <w:rPr>
          <w:rFonts w:cs="Arial"/>
          <w:iCs/>
          <w:szCs w:val="22"/>
        </w:rPr>
        <w:t>définit les “ressources phytogénétiques” comme “le matériel d</w:t>
      </w:r>
      <w:r w:rsidR="004D2AA1">
        <w:rPr>
          <w:rFonts w:cs="Arial"/>
          <w:iCs/>
          <w:szCs w:val="22"/>
        </w:rPr>
        <w:t>’</w:t>
      </w:r>
      <w:r w:rsidRPr="00E8642C">
        <w:rPr>
          <w:rFonts w:cs="Arial"/>
          <w:iCs/>
          <w:szCs w:val="22"/>
        </w:rPr>
        <w:t xml:space="preserve">origine végétale, </w:t>
      </w:r>
      <w:r w:rsidR="004D2AA1">
        <w:rPr>
          <w:rFonts w:cs="Arial"/>
          <w:iCs/>
          <w:szCs w:val="22"/>
        </w:rPr>
        <w:t>y compris</w:t>
      </w:r>
      <w:r w:rsidRPr="00E8642C">
        <w:rPr>
          <w:rFonts w:cs="Arial"/>
          <w:iCs/>
          <w:szCs w:val="22"/>
        </w:rPr>
        <w:t xml:space="preserve"> le matériel de reproduction et de multiplication végétative, contenant des unités fonctionnelles de l</w:t>
      </w:r>
      <w:r w:rsidR="004D2AA1">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pour la collecte et le transfert de matériel phytogénétique</w:t>
      </w:r>
      <w:r w:rsidRPr="00E8642C">
        <w:rPr>
          <w:rFonts w:cs="Arial"/>
          <w:iCs/>
          <w:szCs w:val="22"/>
        </w:rPr>
        <w:t xml:space="preserve"> (1993)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w:t>
      </w:r>
      <w:r w:rsidRPr="00E8642C">
        <w:rPr>
          <w:rFonts w:cs="Arial"/>
          <w:iCs/>
          <w:szCs w:val="22"/>
        </w:rPr>
        <w:t xml:space="preserve"> définit les ressources phytogénétiques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2A7EBB">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article 2.1)a) de </w:t>
      </w:r>
      <w:r w:rsidRPr="00E8642C">
        <w:rPr>
          <w:rFonts w:cs="Arial"/>
          <w:i/>
          <w:szCs w:val="22"/>
        </w:rPr>
        <w:t>l</w:t>
      </w:r>
      <w:r w:rsidR="004D2AA1">
        <w:rPr>
          <w:rFonts w:cs="Arial"/>
          <w:i/>
          <w:szCs w:val="22"/>
        </w:rPr>
        <w:t>’</w:t>
      </w:r>
      <w:r w:rsidRPr="00E8642C">
        <w:rPr>
          <w:rFonts w:cs="Arial"/>
          <w:i/>
          <w:szCs w:val="22"/>
        </w:rPr>
        <w:t>Engagement international sur les ressources phytogénétiques</w:t>
      </w:r>
      <w:r w:rsidRPr="00E8642C">
        <w:rPr>
          <w:rFonts w:cs="Arial"/>
          <w:szCs w:val="22"/>
        </w:rPr>
        <w:t xml:space="preserve"> (1983)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4D2AA1">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4D2AA1">
        <w:rPr>
          <w:rFonts w:cs="Arial"/>
          <w:iCs/>
          <w:szCs w:val="22"/>
        </w:rPr>
        <w:t>’</w:t>
      </w:r>
      <w:r w:rsidRPr="00E8642C">
        <w:rPr>
          <w:rFonts w:cs="Arial"/>
          <w:iCs/>
          <w:szCs w:val="22"/>
        </w:rPr>
        <w:t>élite et mutants)</w:t>
      </w:r>
      <w:r w:rsidRPr="00E8642C">
        <w:rPr>
          <w:rFonts w:cs="Arial"/>
          <w:szCs w:val="22"/>
        </w:rPr>
        <w:t>”.  L</w:t>
      </w:r>
      <w:r w:rsidR="004D2AA1">
        <w:rPr>
          <w:rFonts w:cs="Arial"/>
          <w:szCs w:val="22"/>
        </w:rPr>
        <w:t>’</w:t>
      </w:r>
      <w:r w:rsidRPr="00E8642C">
        <w:rPr>
          <w:rFonts w:cs="Arial"/>
          <w:szCs w:val="22"/>
        </w:rPr>
        <w:t>Engagement international ne mentionne pas les “unités fonctionnelles de l</w:t>
      </w:r>
      <w:r w:rsidR="004D2AA1">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Sacré</w:t>
      </w:r>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4D2AA1">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4D2AA1">
        <w:rPr>
          <w:rFonts w:cs="Arial"/>
          <w:szCs w:val="22"/>
          <w:lang w:eastAsia="zh-CN"/>
        </w:rPr>
        <w:t>’</w:t>
      </w:r>
      <w:r w:rsidRPr="00E8642C">
        <w:rPr>
          <w:rFonts w:cs="Arial"/>
          <w:szCs w:val="22"/>
          <w:lang w:eastAsia="zh-CN"/>
        </w:rPr>
        <w:t>animaux, de minéraux et de micro</w:t>
      </w:r>
      <w:r w:rsidR="005A7440">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4D2AA1">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5A7440">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4D2AA1">
        <w:rPr>
          <w:rFonts w:cs="Arial"/>
          <w:i/>
          <w:szCs w:val="22"/>
          <w:lang w:eastAsia="zh-CN"/>
        </w:rPr>
        <w:t>’</w:t>
      </w:r>
      <w:r w:rsidRPr="00E8642C">
        <w:rPr>
          <w:rFonts w:cs="Arial"/>
          <w:i/>
          <w:szCs w:val="22"/>
          <w:lang w:eastAsia="zh-CN"/>
        </w:rPr>
        <w:t>OMPI sur les missions d</w:t>
      </w:r>
      <w:r w:rsidR="004D2AA1">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4D2AA1">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4D2AA1">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4D2AA1">
        <w:rPr>
          <w:rFonts w:cs="Arial"/>
          <w:szCs w:val="22"/>
          <w:lang w:eastAsia="zh-CN"/>
        </w:rPr>
        <w:t>’</w:t>
      </w:r>
      <w:r w:rsidRPr="00E8642C">
        <w:rPr>
          <w:rFonts w:cs="Arial"/>
          <w:szCs w:val="22"/>
          <w:lang w:eastAsia="zh-CN"/>
        </w:rPr>
        <w:t>Afrique occidentale bien qu</w:t>
      </w:r>
      <w:r w:rsidR="004D2AA1">
        <w:rPr>
          <w:rFonts w:cs="Arial"/>
          <w:szCs w:val="22"/>
          <w:lang w:eastAsia="zh-CN"/>
        </w:rPr>
        <w:t>’</w:t>
      </w:r>
      <w:r w:rsidRPr="00E8642C">
        <w:rPr>
          <w:rFonts w:cs="Arial"/>
          <w:szCs w:val="22"/>
          <w:lang w:eastAsia="zh-CN"/>
        </w:rPr>
        <w:t>il soit admis qu</w:t>
      </w:r>
      <w:r w:rsidR="004D2AA1">
        <w:rPr>
          <w:rFonts w:cs="Arial"/>
          <w:szCs w:val="22"/>
          <w:lang w:eastAsia="zh-CN"/>
        </w:rPr>
        <w:t>’</w:t>
      </w:r>
      <w:r w:rsidRPr="00E8642C">
        <w:rPr>
          <w:rFonts w:cs="Arial"/>
          <w:szCs w:val="22"/>
          <w:lang w:eastAsia="zh-CN"/>
        </w:rPr>
        <w:t>ils ne puissent pas faire l</w:t>
      </w:r>
      <w:r w:rsidR="004D2AA1">
        <w:rPr>
          <w:rFonts w:cs="Arial"/>
          <w:szCs w:val="22"/>
          <w:lang w:eastAsia="zh-CN"/>
        </w:rPr>
        <w:t>’</w:t>
      </w:r>
      <w:r w:rsidRPr="00E8642C">
        <w:rPr>
          <w:rFonts w:cs="Arial"/>
          <w:szCs w:val="22"/>
          <w:lang w:eastAsia="zh-CN"/>
        </w:rPr>
        <w:t>objet d</w:t>
      </w:r>
      <w:r w:rsidR="004D2AA1">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4D2AA1">
        <w:rPr>
          <w:rFonts w:cs="Arial"/>
          <w:szCs w:val="22"/>
          <w:lang w:eastAsia="zh-CN"/>
        </w:rPr>
        <w:t>’</w:t>
      </w:r>
      <w:r w:rsidRPr="00E8642C">
        <w:rPr>
          <w:rFonts w:cs="Arial"/>
          <w:szCs w:val="22"/>
          <w:lang w:eastAsia="zh-CN"/>
        </w:rPr>
        <w:t xml:space="preserve">un </w:t>
      </w:r>
      <w:r w:rsidR="004D2AA1">
        <w:rPr>
          <w:rFonts w:cs="Arial"/>
          <w:szCs w:val="22"/>
          <w:lang w:eastAsia="zh-CN"/>
        </w:rPr>
        <w:t>‘</w:t>
      </w:r>
      <w:r w:rsidRPr="00E8642C">
        <w:rPr>
          <w:rFonts w:cs="Arial"/>
          <w:szCs w:val="22"/>
          <w:lang w:eastAsia="zh-CN"/>
        </w:rPr>
        <w:t>livre</w:t>
      </w:r>
      <w:r w:rsidR="004D2AA1">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2A7EBB">
      <w:pPr>
        <w:keepNext/>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4D2AA1">
        <w:rPr>
          <w:rFonts w:cs="Arial"/>
          <w:szCs w:val="22"/>
          <w:lang w:eastAsia="zh-CN"/>
        </w:rPr>
        <w:t> :</w:t>
      </w:r>
    </w:p>
    <w:p w:rsidR="00DD607D" w:rsidRPr="00E8642C" w:rsidRDefault="00DD607D" w:rsidP="002A7EBB">
      <w:pPr>
        <w:keepNext/>
        <w:rPr>
          <w:rFonts w:cs="Arial"/>
          <w:szCs w:val="22"/>
          <w:lang w:eastAsia="zh-CN"/>
        </w:rPr>
      </w:pP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4D2AA1">
        <w:rPr>
          <w:rFonts w:cs="Arial"/>
          <w:szCs w:val="22"/>
          <w:lang w:eastAsia="zh-CN"/>
        </w:rPr>
        <w:t> :</w:t>
      </w:r>
      <w:r w:rsidRPr="00E8642C">
        <w:rPr>
          <w:rFonts w:cs="Arial"/>
          <w:szCs w:val="22"/>
          <w:lang w:eastAsia="zh-CN"/>
        </w:rPr>
        <w:t xml:space="preserve"> que faut</w:t>
      </w:r>
      <w:r w:rsidR="005A7440">
        <w:rPr>
          <w:rFonts w:cs="Arial"/>
          <w:szCs w:val="22"/>
          <w:lang w:eastAsia="zh-CN"/>
        </w:rPr>
        <w:noBreakHyphen/>
      </w:r>
      <w:r w:rsidRPr="00E8642C">
        <w:rPr>
          <w:rFonts w:cs="Arial"/>
          <w:szCs w:val="22"/>
          <w:lang w:eastAsia="zh-CN"/>
        </w:rPr>
        <w:t>il entendre par traditionnel, que faut</w:t>
      </w:r>
      <w:r w:rsidR="005A7440">
        <w:rPr>
          <w:rFonts w:cs="Arial"/>
          <w:szCs w:val="22"/>
          <w:lang w:eastAsia="zh-CN"/>
        </w:rPr>
        <w:noBreakHyphen/>
      </w:r>
      <w:r w:rsidRPr="00E8642C">
        <w:rPr>
          <w:rFonts w:cs="Arial"/>
          <w:szCs w:val="22"/>
          <w:lang w:eastAsia="zh-CN"/>
        </w:rPr>
        <w:t>il entendre par savoirs et que faut</w:t>
      </w:r>
      <w:r w:rsidR="005A7440">
        <w:rPr>
          <w:rFonts w:cs="Arial"/>
          <w:szCs w:val="22"/>
          <w:lang w:eastAsia="zh-CN"/>
        </w:rPr>
        <w:noBreakHyphen/>
      </w:r>
      <w:r w:rsidRPr="00E8642C">
        <w:rPr>
          <w:rFonts w:cs="Arial"/>
          <w:szCs w:val="22"/>
          <w:lang w:eastAsia="zh-CN"/>
        </w:rPr>
        <w:t>il protéger?  C</w:t>
      </w:r>
      <w:r w:rsidR="004D2AA1">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4D2AA1">
        <w:rPr>
          <w:rFonts w:cs="Arial"/>
          <w:szCs w:val="22"/>
          <w:lang w:eastAsia="zh-CN"/>
        </w:rPr>
        <w:t>’</w:t>
      </w:r>
      <w:r w:rsidRPr="00E8642C">
        <w:rPr>
          <w:rFonts w:cs="Arial"/>
          <w:szCs w:val="22"/>
          <w:lang w:eastAsia="zh-CN"/>
        </w:rPr>
        <w:t>aucuns pensaient qu</w:t>
      </w:r>
      <w:r w:rsidR="004D2AA1">
        <w:rPr>
          <w:rFonts w:cs="Arial"/>
          <w:szCs w:val="22"/>
          <w:lang w:eastAsia="zh-CN"/>
        </w:rPr>
        <w:t>’</w:t>
      </w:r>
      <w:r w:rsidRPr="00E8642C">
        <w:rPr>
          <w:rFonts w:cs="Arial"/>
          <w:szCs w:val="22"/>
          <w:lang w:eastAsia="zh-CN"/>
        </w:rPr>
        <w:t>il fallait inclure la spiritualité ou les religions dans les savoirs traditionnels alors que d</w:t>
      </w:r>
      <w:r w:rsidR="004D2AA1">
        <w:rPr>
          <w:rFonts w:cs="Arial"/>
          <w:szCs w:val="22"/>
          <w:lang w:eastAsia="zh-CN"/>
        </w:rPr>
        <w:t>’</w:t>
      </w:r>
      <w:r w:rsidRPr="00E8642C">
        <w:rPr>
          <w:rFonts w:cs="Arial"/>
          <w:szCs w:val="22"/>
          <w:lang w:eastAsia="zh-CN"/>
        </w:rPr>
        <w:t>autres étaient eux d</w:t>
      </w:r>
      <w:r w:rsidR="004D2AA1">
        <w:rPr>
          <w:rFonts w:cs="Arial"/>
          <w:szCs w:val="22"/>
          <w:lang w:eastAsia="zh-CN"/>
        </w:rPr>
        <w:t>’</w:t>
      </w:r>
      <w:r w:rsidRPr="00E8642C">
        <w:rPr>
          <w:rFonts w:cs="Arial"/>
          <w:szCs w:val="22"/>
          <w:lang w:eastAsia="zh-CN"/>
        </w:rPr>
        <w:t>avis qu</w:t>
      </w:r>
      <w:r w:rsidR="004D2AA1">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4D2AA1">
        <w:rPr>
          <w:rFonts w:cs="Arial"/>
          <w:szCs w:val="22"/>
          <w:lang w:eastAsia="zh-CN"/>
        </w:rPr>
        <w:t>’</w:t>
      </w:r>
      <w:r w:rsidRPr="00E8642C">
        <w:rPr>
          <w:rFonts w:cs="Arial"/>
          <w:szCs w:val="22"/>
          <w:lang w:eastAsia="zh-CN"/>
        </w:rPr>
        <w:t>il est indiqué ci</w:t>
      </w:r>
      <w:r w:rsidR="005A7440">
        <w:rPr>
          <w:rFonts w:cs="Arial"/>
          <w:szCs w:val="22"/>
          <w:lang w:eastAsia="zh-CN"/>
        </w:rPr>
        <w:noBreakHyphen/>
      </w:r>
      <w:r w:rsidRPr="00E8642C">
        <w:rPr>
          <w:rFonts w:cs="Arial"/>
          <w:szCs w:val="22"/>
          <w:lang w:eastAsia="zh-CN"/>
        </w:rPr>
        <w:t>dessus et dans le document “Projet d</w:t>
      </w:r>
      <w:r w:rsidR="004D2AA1">
        <w:rPr>
          <w:rFonts w:cs="Arial"/>
          <w:szCs w:val="22"/>
          <w:lang w:eastAsia="zh-CN"/>
        </w:rPr>
        <w:t>’</w:t>
      </w:r>
      <w:r w:rsidRPr="00E8642C">
        <w:rPr>
          <w:rFonts w:cs="Arial"/>
          <w:szCs w:val="22"/>
          <w:lang w:eastAsia="zh-CN"/>
        </w:rPr>
        <w:t>analyse des lacunes y relatives</w:t>
      </w:r>
      <w:r w:rsidR="004D2AA1">
        <w:rPr>
          <w:rFonts w:cs="Arial"/>
          <w:szCs w:val="22"/>
          <w:lang w:eastAsia="zh-CN"/>
        </w:rPr>
        <w:t> :</w:t>
      </w:r>
      <w:r w:rsidRPr="00E8642C">
        <w:rPr>
          <w:rFonts w:cs="Arial"/>
          <w:szCs w:val="22"/>
          <w:lang w:eastAsia="zh-CN"/>
        </w:rPr>
        <w:t xml:space="preserve"> version révisée” (WIPO/GRTKF/IC/13/5(b) Rev.), les savoirs traditionnels non divulgués peuvent être protégés en tant qu</w:t>
      </w:r>
      <w:r w:rsidR="004D2AA1">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4D2AA1">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Sauvegarde</w:t>
      </w:r>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4D2AA1">
        <w:rPr>
          <w:rFonts w:cs="Arial"/>
          <w:szCs w:val="22"/>
        </w:rPr>
        <w:t> :</w:t>
      </w:r>
      <w:r w:rsidRPr="00E8642C">
        <w:rPr>
          <w:rFonts w:cs="Arial"/>
          <w:szCs w:val="22"/>
        </w:rPr>
        <w:t xml:space="preserve"> “mesures visant à assurer la viabilité du patrimoine culturel immatériel, </w:t>
      </w:r>
      <w:r w:rsidR="004D2AA1">
        <w:rPr>
          <w:rFonts w:cs="Arial"/>
          <w:szCs w:val="22"/>
        </w:rPr>
        <w:t>y compris</w:t>
      </w:r>
      <w:r w:rsidRPr="00E8642C">
        <w:rPr>
          <w:rFonts w:cs="Arial"/>
          <w:szCs w:val="22"/>
        </w:rPr>
        <w:t xml:space="preserve"> l</w:t>
      </w:r>
      <w:r w:rsidR="004D2AA1">
        <w:rPr>
          <w:rFonts w:cs="Arial"/>
          <w:szCs w:val="22"/>
        </w:rPr>
        <w:t>’</w:t>
      </w:r>
      <w:r w:rsidRPr="00E8642C">
        <w:rPr>
          <w:rFonts w:cs="Arial"/>
          <w:szCs w:val="22"/>
        </w:rPr>
        <w:t>identification, la documentation, la recherche, la préservation, la protection, la promotion, la mise en valeur, la transmission, essentiellement par l</w:t>
      </w:r>
      <w:r w:rsidR="004D2AA1">
        <w:rPr>
          <w:rFonts w:cs="Arial"/>
          <w:szCs w:val="22"/>
        </w:rPr>
        <w:t>’</w:t>
      </w:r>
      <w:r w:rsidRPr="00E8642C">
        <w:rPr>
          <w:rFonts w:cs="Arial"/>
          <w:szCs w:val="22"/>
        </w:rPr>
        <w:t>éducation formelle et non formelle, ainsi que la revitalisation des différents aspects de ce patrimoine”.  La sauvegarde se rapporte à l</w:t>
      </w:r>
      <w:r w:rsidR="004D2AA1">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Savoirs autochtones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5A7440">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C21AB4">
      <w:pPr>
        <w:pStyle w:val="Heading2"/>
        <w:spacing w:line="240" w:lineRule="auto"/>
      </w:pPr>
      <w:r w:rsidRPr="00E8642C">
        <w:t>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4D2AA1">
        <w:rPr>
          <w:rFonts w:cs="Arial"/>
          <w:szCs w:val="22"/>
        </w:rPr>
        <w:t>’</w:t>
      </w:r>
      <w:r w:rsidRPr="00E8642C">
        <w:rPr>
          <w:rFonts w:cs="Arial"/>
          <w:szCs w:val="22"/>
        </w:rPr>
        <w:t>existe aucune définition internationalement acceptée de l</w:t>
      </w:r>
      <w:r w:rsidR="004D2AA1">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4D2AA1">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 xml:space="preserve">expression “savoirs traditionnels” au sens général vise le contenu des savoirs proprement dits ainsi que les expressions culturelles traditionnelles, </w:t>
      </w:r>
      <w:r w:rsidR="004D2AA1">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4D2AA1">
        <w:rPr>
          <w:rFonts w:cs="Arial"/>
          <w:szCs w:val="22"/>
        </w:rPr>
        <w:t>’</w:t>
      </w:r>
      <w:r w:rsidRPr="00E8642C">
        <w:rPr>
          <w:rFonts w:cs="Arial"/>
          <w:szCs w:val="22"/>
        </w:rPr>
        <w:t>expression “savoirs traditionnels” est utilisée au sens strict et s</w:t>
      </w:r>
      <w:r w:rsidR="004D2AA1">
        <w:rPr>
          <w:rFonts w:cs="Arial"/>
          <w:szCs w:val="22"/>
        </w:rPr>
        <w:t>’</w:t>
      </w:r>
      <w:r w:rsidRPr="00E8642C">
        <w:rPr>
          <w:rFonts w:cs="Arial"/>
          <w:szCs w:val="22"/>
        </w:rPr>
        <w:t>entend des savoirs résultant d</w:t>
      </w:r>
      <w:r w:rsidR="004D2AA1">
        <w:rPr>
          <w:rFonts w:cs="Arial"/>
          <w:szCs w:val="22"/>
        </w:rPr>
        <w:t>’</w:t>
      </w:r>
      <w:r w:rsidRPr="00E8642C">
        <w:rPr>
          <w:rFonts w:cs="Arial"/>
          <w:szCs w:val="22"/>
        </w:rPr>
        <w:t>une activité intellectuelle dans un contexte traditionnel, et comprend le savoir</w:t>
      </w:r>
      <w:r w:rsidR="005A7440">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4D2AA1">
        <w:rPr>
          <w:rFonts w:cs="Arial"/>
          <w:szCs w:val="22"/>
        </w:rPr>
        <w:t>y compris :</w:t>
      </w:r>
      <w:r w:rsidRPr="00E8642C">
        <w:rPr>
          <w:rFonts w:cs="Arial"/>
          <w:szCs w:val="22"/>
        </w:rPr>
        <w:t xml:space="preserve"> savoirs agricoles;  les savoirs scientifiques;  les savoirs techniques;  les savoirs écologiques;  les savoirs médicaux, </w:t>
      </w:r>
      <w:r w:rsidR="004D2AA1">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Savoirs traditionnels codifiés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4D2AA1">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4D2AA1">
        <w:rPr>
          <w:rFonts w:cs="Arial"/>
        </w:rPr>
        <w:t>’</w:t>
      </w:r>
      <w:r w:rsidRPr="00E8642C">
        <w:rPr>
          <w:rFonts w:cs="Arial"/>
        </w:rPr>
        <w:t>Équipe Médecine traditionnelle de l</w:t>
      </w:r>
      <w:r w:rsidR="004D2AA1">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4D2AA1">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nsi, en Asie du Sud, les systèmes de savoirs codifiés comprennent la médecine ayurvédique, codifiée dans 54 livres faisant autorité, le système Siddha, codifié dans 29 livres faisant autorité, et le système Unani Tibb,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4D2AA1">
        <w:rPr>
          <w:rFonts w:cs="Arial"/>
          <w:szCs w:val="22"/>
        </w:rPr>
        <w:t>à savoir</w:t>
      </w:r>
      <w:r w:rsidRPr="00E8642C">
        <w:rPr>
          <w:rFonts w:cs="Arial"/>
          <w:szCs w:val="22"/>
        </w:rPr>
        <w:t xml:space="preserve"> que les savoirs traditionnels se répartissaient en deux catégories principales</w:t>
      </w:r>
      <w:r w:rsidR="004D2AA1">
        <w:rPr>
          <w:rFonts w:cs="Arial"/>
          <w:szCs w:val="22"/>
        </w:rPr>
        <w:t> :</w:t>
      </w:r>
      <w:r w:rsidRPr="00E8642C">
        <w:rPr>
          <w:rFonts w:cs="Arial"/>
          <w:szCs w:val="22"/>
        </w:rPr>
        <w:t xml:space="preserve"> i) les savoirs traditionnels codifiés,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r w:rsidRPr="00E8642C">
        <w:t>Savoirs traditionnels divulgués</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4D2AA1">
        <w:rPr>
          <w:rFonts w:cs="Arial"/>
          <w:iCs/>
          <w:szCs w:val="22"/>
        </w:rPr>
        <w:t>’</w:t>
      </w:r>
      <w:r w:rsidRPr="00E8642C">
        <w:rPr>
          <w:rFonts w:cs="Arial"/>
          <w:iCs/>
          <w:szCs w:val="22"/>
        </w:rPr>
        <w:t xml:space="preserve">appartenant pas à la communauté autochtone ou locale considérée comme le </w:t>
      </w:r>
      <w:r w:rsidR="004D2AA1">
        <w:rPr>
          <w:rFonts w:cs="Arial"/>
          <w:iCs/>
          <w:szCs w:val="22"/>
        </w:rPr>
        <w:t>‘</w:t>
      </w:r>
      <w:r w:rsidRPr="00E8642C">
        <w:rPr>
          <w:rFonts w:cs="Arial"/>
          <w:iCs/>
          <w:szCs w:val="22"/>
        </w:rPr>
        <w:t>détenteur</w:t>
      </w:r>
      <w:r w:rsidR="004D2AA1">
        <w:rPr>
          <w:rFonts w:cs="Arial"/>
          <w:iCs/>
          <w:szCs w:val="22"/>
        </w:rPr>
        <w:t>’</w:t>
      </w:r>
      <w:r w:rsidRPr="00E8642C">
        <w:rPr>
          <w:rFonts w:cs="Arial"/>
          <w:iCs/>
          <w:szCs w:val="22"/>
        </w:rPr>
        <w:t xml:space="preserve"> du savoir traditionnel;  ces savoirs traditionnels peuvent être largement accessibles au public sur un support physique, l</w:t>
      </w:r>
      <w:r w:rsidR="004D2AA1">
        <w:rPr>
          <w:rFonts w:cs="Arial"/>
          <w:iCs/>
          <w:szCs w:val="22"/>
        </w:rPr>
        <w:t>’</w:t>
      </w:r>
      <w:r w:rsidRPr="00E8642C">
        <w:rPr>
          <w:rFonts w:cs="Arial"/>
          <w:iCs/>
          <w:szCs w:val="22"/>
        </w:rPr>
        <w:t>Internet ou d</w:t>
      </w:r>
      <w:r w:rsidR="004D2AA1">
        <w:rPr>
          <w:rFonts w:cs="Arial"/>
          <w:iCs/>
          <w:szCs w:val="22"/>
        </w:rPr>
        <w:t>’</w:t>
      </w:r>
      <w:r w:rsidRPr="00E8642C">
        <w:rPr>
          <w:rFonts w:cs="Arial"/>
          <w:iCs/>
          <w:szCs w:val="22"/>
        </w:rPr>
        <w:t>autres types de télécommunications ou d</w:t>
      </w:r>
      <w:r w:rsidR="004D2AA1">
        <w:rPr>
          <w:rFonts w:cs="Arial"/>
          <w:iCs/>
          <w:szCs w:val="22"/>
        </w:rPr>
        <w:t>’</w:t>
      </w:r>
      <w:r w:rsidRPr="00E8642C">
        <w:rPr>
          <w:rFonts w:cs="Arial"/>
          <w:iCs/>
          <w:szCs w:val="22"/>
        </w:rPr>
        <w:t>enregistrements;  ces savoirs peuvent être divulgués à des tiers ou à des personnes n</w:t>
      </w:r>
      <w:r w:rsidR="004D2AA1">
        <w:rPr>
          <w:rFonts w:cs="Arial"/>
          <w:iCs/>
          <w:szCs w:val="22"/>
        </w:rPr>
        <w:t>’</w:t>
      </w:r>
      <w:r w:rsidRPr="00E8642C">
        <w:rPr>
          <w:rFonts w:cs="Arial"/>
          <w:iCs/>
          <w:szCs w:val="22"/>
        </w:rPr>
        <w:t>appartenant pas aux communautés autochtones et locales dont sont issus ces savoirs, avec ou sans l</w:t>
      </w:r>
      <w:r w:rsidR="004D2AA1">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r w:rsidRPr="00E8642C">
        <w:t>Secret</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4D2AA1">
        <w:rPr>
          <w:rFonts w:cs="Arial"/>
          <w:szCs w:val="22"/>
        </w:rPr>
        <w:t>’</w:t>
      </w:r>
      <w:r w:rsidRPr="00E8642C">
        <w:rPr>
          <w:rFonts w:cs="Arial"/>
          <w:szCs w:val="22"/>
        </w:rPr>
        <w:t>est pas porté à la connaissance de tiers ou n</w:t>
      </w:r>
      <w:r w:rsidR="004D2AA1">
        <w:rPr>
          <w:rFonts w:cs="Arial"/>
          <w:szCs w:val="22"/>
        </w:rPr>
        <w:t>’</w:t>
      </w:r>
      <w:r w:rsidRPr="00E8642C">
        <w:rPr>
          <w:rFonts w:cs="Arial"/>
          <w:szCs w:val="22"/>
        </w:rPr>
        <w:t>est partagé qu</w:t>
      </w:r>
      <w:r w:rsidR="004D2AA1">
        <w:rPr>
          <w:rFonts w:cs="Arial"/>
          <w:szCs w:val="22"/>
        </w:rPr>
        <w:t>’</w:t>
      </w:r>
      <w:r w:rsidRPr="00E8642C">
        <w:rPr>
          <w:rFonts w:cs="Arial"/>
          <w:szCs w:val="22"/>
        </w:rPr>
        <w:t>avec les personnes concernées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5A7440">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Source de ressources génétiques</w:t>
      </w:r>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4D2AA1">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4D2AA1">
        <w:rPr>
          <w:rFonts w:cs="Arial"/>
          <w:iCs/>
          <w:szCs w:val="22"/>
        </w:rPr>
        <w:t>’</w:t>
      </w:r>
      <w:r w:rsidRPr="00E8642C">
        <w:rPr>
          <w:rFonts w:cs="Arial"/>
          <w:iCs/>
          <w:szCs w:val="22"/>
        </w:rPr>
        <w:t>entendre au sens le plus large possible</w:t>
      </w:r>
      <w:r w:rsidRPr="00E8642C">
        <w:rPr>
          <w:rFonts w:cs="Arial"/>
          <w:szCs w:val="22"/>
        </w:rPr>
        <w:t>”, étant donné qu</w:t>
      </w:r>
      <w:r w:rsidR="004D2AA1">
        <w:rPr>
          <w:rFonts w:cs="Arial"/>
          <w:szCs w:val="22"/>
        </w:rPr>
        <w:t>’</w:t>
      </w:r>
      <w:r w:rsidRPr="00E8642C">
        <w:rPr>
          <w:rFonts w:cs="Arial"/>
          <w:szCs w:val="22"/>
        </w:rPr>
        <w:t>une “</w:t>
      </w:r>
      <w:r w:rsidRPr="00E8642C">
        <w:rPr>
          <w:rFonts w:cs="Arial"/>
          <w:iCs/>
          <w:szCs w:val="22"/>
        </w:rPr>
        <w:t>multitude d</w:t>
      </w:r>
      <w:r w:rsidR="004D2AA1">
        <w:rPr>
          <w:rFonts w:cs="Arial"/>
          <w:iCs/>
          <w:szCs w:val="22"/>
        </w:rPr>
        <w:t>’</w:t>
      </w:r>
      <w:r w:rsidRPr="00E8642C">
        <w:rPr>
          <w:rFonts w:cs="Arial"/>
          <w:iCs/>
          <w:szCs w:val="22"/>
        </w:rPr>
        <w:t>entités peuvent intervenir dans l</w:t>
      </w:r>
      <w:r w:rsidR="004D2AA1">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4D2AA1">
        <w:rPr>
          <w:rFonts w:cs="Arial"/>
          <w:iCs/>
          <w:szCs w:val="22"/>
        </w:rPr>
        <w:t>’</w:t>
      </w:r>
      <w:r w:rsidRPr="00E8642C">
        <w:rPr>
          <w:rFonts w:cs="Arial"/>
          <w:iCs/>
          <w:szCs w:val="22"/>
        </w:rPr>
        <w:t>entité compétente pour 1) octroyer l</w:t>
      </w:r>
      <w:r w:rsidR="004D2AA1">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4D2AA1">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4D2AA1">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r w:rsidRPr="00E8642C">
        <w:rPr>
          <w:i/>
        </w:rPr>
        <w:t>Sui generis</w:t>
      </w:r>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w:t>
      </w:r>
      <w:r w:rsidRPr="00E8642C">
        <w:rPr>
          <w:rFonts w:cs="Arial"/>
          <w:i/>
          <w:iCs/>
          <w:szCs w:val="22"/>
        </w:rPr>
        <w:t>sui generis</w:t>
      </w:r>
      <w:r w:rsidRPr="00E8642C">
        <w:rPr>
          <w:rFonts w:cs="Arial"/>
          <w:szCs w:val="22"/>
        </w:rPr>
        <w:t>” de la manière suivante</w:t>
      </w:r>
      <w:r w:rsidR="004D2AA1">
        <w:rPr>
          <w:rFonts w:cs="Arial"/>
          <w:szCs w:val="22"/>
        </w:rPr>
        <w:t> :</w:t>
      </w:r>
      <w:r w:rsidRPr="00E8642C">
        <w:rPr>
          <w:rFonts w:cs="Arial"/>
          <w:szCs w:val="22"/>
        </w:rPr>
        <w:t xml:space="preserve"> “</w:t>
      </w:r>
      <w:r w:rsidRPr="00E8642C">
        <w:rPr>
          <w:rFonts w:cs="Arial"/>
          <w:i/>
          <w:iCs/>
          <w:szCs w:val="22"/>
        </w:rPr>
        <w:t xml:space="preserve">[Du latin </w:t>
      </w:r>
      <w:r w:rsidR="004D2AA1">
        <w:rPr>
          <w:rFonts w:cs="Arial"/>
          <w:i/>
          <w:iCs/>
          <w:szCs w:val="22"/>
        </w:rPr>
        <w:t>‘</w:t>
      </w:r>
      <w:r w:rsidRPr="00E8642C">
        <w:rPr>
          <w:rFonts w:cs="Arial"/>
          <w:i/>
          <w:iCs/>
          <w:szCs w:val="22"/>
        </w:rPr>
        <w:t>de son espèce</w:t>
      </w:r>
      <w:r w:rsidR="004D2AA1">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4D2AA1">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4D2AA1">
        <w:rPr>
          <w:rFonts w:cs="Arial"/>
          <w:iCs/>
          <w:szCs w:val="22"/>
        </w:rPr>
        <w:t>’</w:t>
      </w:r>
      <w:r w:rsidRPr="00E8642C">
        <w:rPr>
          <w:rFonts w:cs="Arial"/>
          <w:iCs/>
          <w:szCs w:val="22"/>
        </w:rPr>
        <w:t>auteur si son contenu n</w:t>
      </w:r>
      <w:r w:rsidR="004D2AA1">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4D2AA1">
        <w:rPr>
          <w:rFonts w:cs="Arial"/>
          <w:szCs w:val="22"/>
        </w:rPr>
        <w:t>’</w:t>
      </w:r>
      <w:r w:rsidRPr="00E8642C">
        <w:rPr>
          <w:rFonts w:cs="Arial"/>
          <w:szCs w:val="22"/>
        </w:rPr>
        <w:t>obtenteur qui font l</w:t>
      </w:r>
      <w:r w:rsidR="004D2AA1">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4D2AA1">
        <w:rPr>
          <w:rFonts w:cs="Arial"/>
          <w:szCs w:val="22"/>
        </w:rPr>
        <w:t>Convention UPOV</w:t>
      </w:r>
      <w:r w:rsidRPr="00E8642C">
        <w:rPr>
          <w:rFonts w:cs="Arial"/>
          <w:szCs w:val="22"/>
        </w:rPr>
        <w:t>”) et la protection des droits de propriété intellectuelle en matière de circuits intégrés faisant l</w:t>
      </w:r>
      <w:r w:rsidR="004D2AA1">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Traité international sur les ressources phytogénétiques pour l</w:t>
      </w:r>
      <w:r w:rsidR="004D2AA1">
        <w:t>’</w:t>
      </w:r>
      <w:r w:rsidRPr="00E8642C">
        <w:t>alimentation et l</w:t>
      </w:r>
      <w:r w:rsidR="004D2AA1">
        <w:t>’</w:t>
      </w:r>
      <w:r w:rsidRPr="00E8642C">
        <w:t>agriculture</w:t>
      </w:r>
    </w:p>
    <w:p w:rsidR="00DD607D" w:rsidRPr="00E8642C" w:rsidRDefault="00DD607D" w:rsidP="00EF6794"/>
    <w:p w:rsidR="00DD607D" w:rsidRPr="00E8642C" w:rsidRDefault="00DD607D" w:rsidP="00EF6794">
      <w:r w:rsidRPr="00E8642C">
        <w:t>Le Traité international sur les ressources phytogénétiques pour l</w:t>
      </w:r>
      <w:r w:rsidR="004D2AA1">
        <w:t>’</w:t>
      </w:r>
      <w:r w:rsidRPr="00E8642C">
        <w:t>alimentation et l</w:t>
      </w:r>
      <w:r w:rsidR="004D2AA1">
        <w:t>’</w:t>
      </w:r>
      <w:r w:rsidRPr="00E8642C">
        <w:t>agriculture (Traité international) a été adopté à la trente</w:t>
      </w:r>
      <w:r w:rsidR="004D2AA1">
        <w:t> et unième session</w:t>
      </w:r>
      <w:r w:rsidRPr="00E8642C">
        <w:t xml:space="preserve"> de la Conférence de l</w:t>
      </w:r>
      <w:r w:rsidR="004D2AA1">
        <w:t>’</w:t>
      </w:r>
      <w:r w:rsidRPr="00E8642C">
        <w:t xml:space="preserve">Organisation des </w:t>
      </w:r>
      <w:r w:rsidR="004D2AA1">
        <w:t>Nations Unies</w:t>
      </w:r>
      <w:r w:rsidRPr="00E8642C">
        <w:t xml:space="preserve"> pour l</w:t>
      </w:r>
      <w:r w:rsidR="004D2AA1">
        <w:t>’</w:t>
      </w:r>
      <w:r w:rsidRPr="00E8642C">
        <w:t>alimentation et l</w:t>
      </w:r>
      <w:r w:rsidR="004D2AA1">
        <w:t>’</w:t>
      </w:r>
      <w:r w:rsidRPr="00E8642C">
        <w:t>agriculture le 3 novembre 2001 et il est entré en vigueur en 2004.  Ce traité a pour objet</w:t>
      </w:r>
      <w:r w:rsidR="004D2AA1">
        <w:t> :</w:t>
      </w:r>
      <w:r w:rsidRPr="00E8642C">
        <w:t xml:space="preserve"> 1) de reconnaître l</w:t>
      </w:r>
      <w:r w:rsidR="004D2AA1">
        <w:t>’</w:t>
      </w:r>
      <w:r w:rsidRPr="00E8642C">
        <w:t>énorme contribution des agriculteurs à la diversité des plantes qui nourrissent le monde;  2) de mettre en place un système mondial permettant aux agriculteurs, aux obtenteurs et aux chercheurs d</w:t>
      </w:r>
      <w:r w:rsidR="004D2AA1">
        <w:t>’</w:t>
      </w:r>
      <w:r w:rsidRPr="00E8642C">
        <w:t>avoir accès au matériel phytogénétique;  et 3) de faire en sorte que les destinataires partagent les avantages qu</w:t>
      </w:r>
      <w:r w:rsidR="004D2AA1">
        <w:t>’</w:t>
      </w:r>
      <w:r w:rsidRPr="00E8642C">
        <w:t>ils tirent de l</w:t>
      </w:r>
      <w:r w:rsidR="004D2AA1">
        <w:t>’</w:t>
      </w:r>
      <w:r w:rsidRPr="00E8642C">
        <w:t>utilisation de ces ressources génétiques avec les pays d</w:t>
      </w:r>
      <w:r w:rsidR="004D2AA1">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r w:rsidRPr="00E8642C">
        <w:t>Utilisation</w:t>
      </w:r>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4D2AA1">
        <w:rPr>
          <w:rFonts w:cs="Arial"/>
          <w:szCs w:val="22"/>
          <w:lang w:eastAsia="zh-CN"/>
        </w:rPr>
        <w:t>’</w:t>
      </w:r>
      <w:r w:rsidRPr="00E8642C">
        <w:rPr>
          <w:rFonts w:cs="Arial"/>
          <w:szCs w:val="22"/>
          <w:lang w:eastAsia="zh-CN"/>
        </w:rPr>
        <w:t>article 2.c) comme suit</w:t>
      </w:r>
      <w:r w:rsidR="004D2AA1">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4D2AA1">
        <w:rPr>
          <w:rFonts w:cs="Arial"/>
          <w:szCs w:val="22"/>
        </w:rPr>
        <w:t>’</w:t>
      </w:r>
      <w:r w:rsidRPr="00E8642C">
        <w:rPr>
          <w:rFonts w:cs="Arial"/>
          <w:szCs w:val="22"/>
        </w:rPr>
        <w:t>application de la biotechnologie, conformément à la définition fournie à l</w:t>
      </w:r>
      <w:r w:rsidR="004D2AA1">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Utilisation des expressions culturelles traditionnelles/savoirs traditionnels</w:t>
      </w:r>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4D2AA1">
        <w:t>’</w:t>
      </w:r>
      <w:r w:rsidRPr="00E8642C">
        <w:t>usage coutumier, l</w:t>
      </w:r>
      <w:r w:rsidR="004D2AA1">
        <w:t>’</w:t>
      </w:r>
      <w:r w:rsidRPr="00E8642C">
        <w:t>usage loyal et l</w:t>
      </w:r>
      <w:r w:rsidR="004D2AA1">
        <w:t>’</w:t>
      </w:r>
      <w:r w:rsidRPr="00E8642C">
        <w:t>usage de la médecine traditionnelle à des fins domestiques et de santé publique, et l</w:t>
      </w:r>
      <w:r w:rsidR="004D2AA1">
        <w:t>’</w:t>
      </w:r>
      <w:r w:rsidRPr="00E8642C">
        <w:t>utilisation à des fins de recherche et d</w:t>
      </w:r>
      <w:r w:rsidR="004D2AA1">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w:t>
      </w:r>
      <w:r w:rsidR="004D2AA1">
        <w:rPr>
          <w:rFonts w:cs="Arial"/>
          <w:szCs w:val="22"/>
        </w:rPr>
        <w:t>’</w:t>
      </w:r>
      <w:r w:rsidRPr="00E8642C">
        <w:rPr>
          <w:rFonts w:cs="Arial"/>
          <w:szCs w:val="22"/>
        </w:rPr>
        <w:t>“utilisation commerciale” de la manière suivante</w:t>
      </w:r>
      <w:r w:rsidR="004D2AA1">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5A7440">
        <w:rPr>
          <w:rFonts w:cs="Arial"/>
          <w:iCs/>
          <w:szCs w:val="22"/>
        </w:rPr>
        <w:noBreakHyphen/>
      </w:r>
      <w:r w:rsidRPr="00E8642C">
        <w:rPr>
          <w:rFonts w:cs="Arial"/>
          <w:iCs/>
          <w:szCs w:val="22"/>
        </w:rPr>
        <w:t>ci</w:t>
      </w:r>
      <w:r w:rsidRPr="00E8642C">
        <w:rPr>
          <w:rFonts w:cs="Arial"/>
          <w:szCs w:val="22"/>
        </w:rPr>
        <w:t>”.  L</w:t>
      </w:r>
      <w:r w:rsidR="004D2AA1">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4D2AA1">
        <w:rPr>
          <w:rFonts w:cs="Arial"/>
          <w:szCs w:val="22"/>
        </w:rPr>
        <w:t>’</w:t>
      </w:r>
      <w:r w:rsidRPr="00E8642C">
        <w:rPr>
          <w:rFonts w:cs="Arial"/>
          <w:szCs w:val="22"/>
        </w:rPr>
        <w:t>usage coutumier comme “</w:t>
      </w:r>
      <w:r w:rsidRPr="00E8642C">
        <w:rPr>
          <w:rFonts w:cs="Arial"/>
          <w:iCs/>
          <w:szCs w:val="22"/>
        </w:rPr>
        <w:t>l</w:t>
      </w:r>
      <w:r w:rsidR="004D2AA1">
        <w:rPr>
          <w:rFonts w:cs="Arial"/>
          <w:iCs/>
          <w:szCs w:val="22"/>
        </w:rPr>
        <w:t>’</w:t>
      </w:r>
      <w:r w:rsidRPr="00E8642C">
        <w:rPr>
          <w:rFonts w:cs="Arial"/>
          <w:iCs/>
          <w:szCs w:val="22"/>
        </w:rPr>
        <w:t>utilisation qui est faite de savoirs traditionnels ou d</w:t>
      </w:r>
      <w:r w:rsidR="004D2AA1">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4D2AA1">
        <w:rPr>
          <w:rFonts w:cs="Arial"/>
          <w:snapToGrid w:val="0"/>
          <w:szCs w:val="22"/>
        </w:rPr>
        <w:t>’</w:t>
      </w:r>
      <w:r w:rsidRPr="00E8642C">
        <w:rPr>
          <w:rFonts w:cs="Arial"/>
          <w:snapToGrid w:val="0"/>
          <w:szCs w:val="22"/>
        </w:rPr>
        <w:t>expression “utilisation coutumière continue” renvoie à la persistance et à la nature vivante de l</w:t>
      </w:r>
      <w:r w:rsidR="004D2AA1">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4D2AA1">
        <w:rPr>
          <w:rFonts w:cs="Arial"/>
          <w:szCs w:val="22"/>
        </w:rPr>
        <w:t>’</w:t>
      </w:r>
      <w:r w:rsidRPr="00E8642C">
        <w:rPr>
          <w:rFonts w:cs="Arial"/>
          <w:szCs w:val="22"/>
        </w:rPr>
        <w:t>auteur, le Black</w:t>
      </w:r>
      <w:r w:rsidR="004D2AA1">
        <w:rPr>
          <w:rFonts w:cs="Arial"/>
          <w:szCs w:val="22"/>
        </w:rPr>
        <w:t>’</w:t>
      </w:r>
      <w:r w:rsidRPr="00E8642C">
        <w:rPr>
          <w:rFonts w:cs="Arial"/>
          <w:szCs w:val="22"/>
        </w:rPr>
        <w:t>s Law Dictionary définit le terme “usage loyal” de la manière suivante</w:t>
      </w:r>
      <w:r w:rsidR="004D2AA1">
        <w:rPr>
          <w:rFonts w:cs="Arial"/>
          <w:szCs w:val="22"/>
        </w:rPr>
        <w:t> :</w:t>
      </w:r>
      <w:r w:rsidRPr="00E8642C">
        <w:rPr>
          <w:rFonts w:cs="Arial"/>
          <w:szCs w:val="22"/>
        </w:rPr>
        <w:t xml:space="preserve"> “</w:t>
      </w:r>
      <w:r w:rsidRPr="00E8642C">
        <w:rPr>
          <w:rFonts w:cs="Arial"/>
          <w:iCs/>
          <w:szCs w:val="22"/>
        </w:rPr>
        <w:t>[tout] usage raisonnable et limité d</w:t>
      </w:r>
      <w:r w:rsidR="004D2AA1">
        <w:rPr>
          <w:rFonts w:cs="Arial"/>
          <w:iCs/>
          <w:szCs w:val="22"/>
        </w:rPr>
        <w:t>’</w:t>
      </w:r>
      <w:r w:rsidRPr="00E8642C">
        <w:rPr>
          <w:rFonts w:cs="Arial"/>
          <w:iCs/>
          <w:szCs w:val="22"/>
        </w:rPr>
        <w:t>une œuvre protégée par le droit d</w:t>
      </w:r>
      <w:r w:rsidR="004D2AA1">
        <w:rPr>
          <w:rFonts w:cs="Arial"/>
          <w:iCs/>
          <w:szCs w:val="22"/>
        </w:rPr>
        <w:t>’</w:t>
      </w:r>
      <w:r w:rsidRPr="00E8642C">
        <w:rPr>
          <w:rFonts w:cs="Arial"/>
          <w:iCs/>
          <w:szCs w:val="22"/>
        </w:rPr>
        <w:t>auteur sans l</w:t>
      </w:r>
      <w:r w:rsidR="004D2AA1">
        <w:rPr>
          <w:rFonts w:cs="Arial"/>
          <w:iCs/>
          <w:szCs w:val="22"/>
        </w:rPr>
        <w:t>’</w:t>
      </w:r>
      <w:r w:rsidRPr="00E8642C">
        <w:rPr>
          <w:rFonts w:cs="Arial"/>
          <w:iCs/>
          <w:szCs w:val="22"/>
        </w:rPr>
        <w:t>autorisation de son auteur, comme le fait de citer un livre dans la critique d</w:t>
      </w:r>
      <w:r w:rsidR="004D2AA1">
        <w:rPr>
          <w:rFonts w:cs="Arial"/>
          <w:iCs/>
          <w:szCs w:val="22"/>
        </w:rPr>
        <w:t>’</w:t>
      </w:r>
      <w:r w:rsidRPr="00E8642C">
        <w:rPr>
          <w:rFonts w:cs="Arial"/>
          <w:iCs/>
          <w:szCs w:val="22"/>
        </w:rPr>
        <w:t>un livre ou d</w:t>
      </w:r>
      <w:r w:rsidR="004D2AA1">
        <w:rPr>
          <w:rFonts w:cs="Arial"/>
          <w:iCs/>
          <w:szCs w:val="22"/>
        </w:rPr>
        <w:t>’</w:t>
      </w:r>
      <w:r w:rsidRPr="00E8642C">
        <w:rPr>
          <w:rFonts w:cs="Arial"/>
          <w:iCs/>
          <w:szCs w:val="22"/>
        </w:rPr>
        <w:t>utiliser des parties d</w:t>
      </w:r>
      <w:r w:rsidR="004D2AA1">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4D2AA1">
        <w:rPr>
          <w:rFonts w:cs="Arial"/>
          <w:iCs/>
          <w:szCs w:val="22"/>
        </w:rPr>
        <w:t> :</w:t>
      </w:r>
      <w:r w:rsidRPr="00E8642C">
        <w:rPr>
          <w:rFonts w:cs="Arial"/>
          <w:iCs/>
          <w:szCs w:val="22"/>
        </w:rPr>
        <w:t xml:space="preserve"> 1) le but et le caractère de l</w:t>
      </w:r>
      <w:r w:rsidR="004D2AA1">
        <w:rPr>
          <w:rFonts w:cs="Arial"/>
          <w:iCs/>
          <w:szCs w:val="22"/>
        </w:rPr>
        <w:t>’</w:t>
      </w:r>
      <w:r w:rsidRPr="00E8642C">
        <w:rPr>
          <w:rFonts w:cs="Arial"/>
          <w:iCs/>
          <w:szCs w:val="22"/>
        </w:rPr>
        <w:t>utilisation, 2) la nature de l</w:t>
      </w:r>
      <w:r w:rsidR="004D2AA1">
        <w:rPr>
          <w:rFonts w:cs="Arial"/>
          <w:iCs/>
          <w:szCs w:val="22"/>
        </w:rPr>
        <w:t>’</w:t>
      </w:r>
      <w:r w:rsidRPr="00E8642C">
        <w:rPr>
          <w:rFonts w:cs="Arial"/>
          <w:iCs/>
          <w:szCs w:val="22"/>
        </w:rPr>
        <w:t>œuvre protégée par le droit d</w:t>
      </w:r>
      <w:r w:rsidR="004D2AA1">
        <w:rPr>
          <w:rFonts w:cs="Arial"/>
          <w:iCs/>
          <w:szCs w:val="22"/>
        </w:rPr>
        <w:t>’</w:t>
      </w:r>
      <w:r w:rsidRPr="00E8642C">
        <w:rPr>
          <w:rFonts w:cs="Arial"/>
          <w:iCs/>
          <w:szCs w:val="22"/>
        </w:rPr>
        <w:t>auteur, 3) la part de l</w:t>
      </w:r>
      <w:r w:rsidR="004D2AA1">
        <w:rPr>
          <w:rFonts w:cs="Arial"/>
          <w:iCs/>
          <w:szCs w:val="22"/>
        </w:rPr>
        <w:t>’</w:t>
      </w:r>
      <w:r w:rsidRPr="00E8642C">
        <w:rPr>
          <w:rFonts w:cs="Arial"/>
          <w:iCs/>
          <w:szCs w:val="22"/>
        </w:rPr>
        <w:t>œuvre utilisée et 4) l</w:t>
      </w:r>
      <w:r w:rsidR="004D2AA1">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“ménager”</w:t>
      </w:r>
      <w:r w:rsidRPr="00E8642C">
        <w:rPr>
          <w:rFonts w:cs="Arial"/>
          <w:iCs/>
          <w:szCs w:val="22"/>
        </w:rPr>
        <w:t xml:space="preserve"> de la manière suivante</w:t>
      </w:r>
      <w:r w:rsidR="004D2AA1">
        <w:rPr>
          <w:rFonts w:cs="Arial"/>
          <w:iCs/>
          <w:szCs w:val="22"/>
        </w:rPr>
        <w:t> :</w:t>
      </w:r>
      <w:r w:rsidRPr="00E8642C">
        <w:rPr>
          <w:rFonts w:cs="Arial"/>
          <w:iCs/>
          <w:szCs w:val="22"/>
        </w:rPr>
        <w:t xml:space="preserve"> “[a]ppartenant à la maison ou à la famille;  domestique</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article 1 de la Déclaration de Doha sur l</w:t>
      </w:r>
      <w:r w:rsidR="004D2AA1">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4D2AA1">
        <w:rPr>
          <w:rFonts w:cs="Arial"/>
          <w:iCs/>
          <w:szCs w:val="22"/>
        </w:rPr>
        <w:t>’</w:t>
      </w:r>
      <w:r w:rsidRPr="00E8642C">
        <w:rPr>
          <w:rFonts w:cs="Arial"/>
          <w:iCs/>
          <w:szCs w:val="22"/>
        </w:rPr>
        <w:t xml:space="preserve">autres épidémies”.  </w:t>
      </w:r>
      <w:r w:rsidRPr="00E8642C">
        <w:rPr>
          <w:rFonts w:cs="Arial"/>
          <w:szCs w:val="22"/>
        </w:rPr>
        <w:t>L</w:t>
      </w:r>
      <w:r w:rsidR="004D2AA1">
        <w:rPr>
          <w:rFonts w:cs="Arial"/>
          <w:szCs w:val="22"/>
        </w:rPr>
        <w:t>’</w:t>
      </w:r>
      <w:r w:rsidRPr="00E8642C">
        <w:rPr>
          <w:rFonts w:cs="Arial"/>
          <w:szCs w:val="22"/>
        </w:rPr>
        <w:t xml:space="preserve">article 5.c) ajoute que </w:t>
      </w:r>
      <w:r w:rsidRPr="00E8642C">
        <w:rPr>
          <w:rFonts w:cs="Arial"/>
          <w:iCs/>
          <w:szCs w:val="22"/>
        </w:rPr>
        <w:t>“[c]haque Membre a le droit de déterminer ce qui constitue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 xml:space="preserve">extrême urgence, étant entendu que les crises dans le domaine de la santé publique, </w:t>
      </w:r>
      <w:r w:rsidR="004D2AA1">
        <w:rPr>
          <w:rFonts w:cs="Arial"/>
          <w:iCs/>
          <w:szCs w:val="22"/>
        </w:rPr>
        <w:t>y compris</w:t>
      </w:r>
      <w:r w:rsidRPr="00E8642C">
        <w:rPr>
          <w:rFonts w:cs="Arial"/>
          <w:iCs/>
          <w:szCs w:val="22"/>
        </w:rPr>
        <w:t xml:space="preserve"> celles qui sont liées au VIH/SIDA, à la tuberculose, au paludisme et à d</w:t>
      </w:r>
      <w:r w:rsidR="004D2AA1">
        <w:rPr>
          <w:rFonts w:cs="Arial"/>
          <w:iCs/>
          <w:szCs w:val="22"/>
        </w:rPr>
        <w:t>’</w:t>
      </w:r>
      <w:r w:rsidRPr="00E8642C">
        <w:rPr>
          <w:rFonts w:cs="Arial"/>
          <w:iCs/>
          <w:szCs w:val="22"/>
        </w:rPr>
        <w:t>autres épidémies, peuvent représenter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4D2AA1">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Dans le domaine des brevets, le Black</w:t>
      </w:r>
      <w:r w:rsidR="004D2AA1">
        <w:rPr>
          <w:rFonts w:cs="Arial"/>
          <w:szCs w:val="22"/>
        </w:rPr>
        <w:t>’</w:t>
      </w:r>
      <w:r w:rsidRPr="00E8642C">
        <w:rPr>
          <w:rFonts w:cs="Arial"/>
          <w:szCs w:val="22"/>
        </w:rPr>
        <w:t>s Law Dictionary définit l</w:t>
      </w:r>
      <w:r w:rsidR="004D2AA1">
        <w:rPr>
          <w:rFonts w:cs="Arial"/>
          <w:szCs w:val="22"/>
        </w:rPr>
        <w:t>’</w:t>
      </w:r>
      <w:r w:rsidRPr="00E8642C">
        <w:rPr>
          <w:rFonts w:cs="Arial"/>
          <w:szCs w:val="22"/>
        </w:rPr>
        <w:t>expression “défense au titre de l</w:t>
      </w:r>
      <w:r w:rsidR="004D2AA1">
        <w:rPr>
          <w:rFonts w:cs="Arial"/>
          <w:szCs w:val="22"/>
        </w:rPr>
        <w:t>’</w:t>
      </w:r>
      <w:r w:rsidRPr="00E8642C">
        <w:rPr>
          <w:rFonts w:cs="Arial"/>
          <w:szCs w:val="22"/>
        </w:rPr>
        <w:t>usage expérimental” de la manière suivante</w:t>
      </w:r>
      <w:r w:rsidR="004D2AA1">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4D2AA1">
        <w:rPr>
          <w:rFonts w:cs="Arial"/>
          <w:iCs/>
          <w:szCs w:val="22"/>
        </w:rPr>
        <w:t>’</w:t>
      </w:r>
      <w:r w:rsidRPr="00E8642C">
        <w:rPr>
          <w:rFonts w:cs="Arial"/>
          <w:iCs/>
          <w:szCs w:val="22"/>
        </w:rPr>
        <w:t>utilisation de l</w:t>
      </w:r>
      <w:r w:rsidR="004D2AA1">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4D2AA1">
        <w:rPr>
          <w:rFonts w:cs="Arial"/>
          <w:iCs/>
          <w:szCs w:val="22"/>
        </w:rPr>
        <w:t>’</w:t>
      </w:r>
      <w:r w:rsidRPr="00E8642C">
        <w:rPr>
          <w:rFonts w:cs="Arial"/>
          <w:iCs/>
          <w:szCs w:val="22"/>
        </w:rPr>
        <w:t>il soit encore reconnu, ce moyen de défense est très limité et ne s</w:t>
      </w:r>
      <w:r w:rsidR="004D2AA1">
        <w:rPr>
          <w:rFonts w:cs="Arial"/>
          <w:iCs/>
          <w:szCs w:val="22"/>
        </w:rPr>
        <w:t>’</w:t>
      </w:r>
      <w:r w:rsidRPr="00E8642C">
        <w:rPr>
          <w:rFonts w:cs="Arial"/>
          <w:iCs/>
          <w:szCs w:val="22"/>
        </w:rPr>
        <w:t>applique aujourd</w:t>
      </w:r>
      <w:r w:rsidR="004D2AA1">
        <w:rPr>
          <w:rFonts w:cs="Arial"/>
          <w:iCs/>
          <w:szCs w:val="22"/>
        </w:rPr>
        <w:t>’</w:t>
      </w:r>
      <w:r w:rsidRPr="00E8642C">
        <w:rPr>
          <w:rFonts w:cs="Arial"/>
          <w:iCs/>
          <w:szCs w:val="22"/>
        </w:rPr>
        <w:t>hui plus qu</w:t>
      </w:r>
      <w:r w:rsidR="004D2AA1">
        <w:rPr>
          <w:rFonts w:cs="Arial"/>
          <w:iCs/>
          <w:szCs w:val="22"/>
        </w:rPr>
        <w:t>’</w:t>
      </w:r>
      <w:r w:rsidRPr="00E8642C">
        <w:rPr>
          <w:rFonts w:cs="Arial"/>
          <w:iCs/>
          <w:szCs w:val="22"/>
        </w:rPr>
        <w:t>au domaine de la recherche visant à tester les revendications de l</w:t>
      </w:r>
      <w:r w:rsidR="004D2AA1">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Utilisation illicite</w:t>
      </w:r>
      <w:r w:rsidRPr="00E8642C">
        <w:rPr>
          <w:rStyle w:val="FootnoteReference"/>
          <w:b w:val="0"/>
          <w:bCs w:val="0"/>
          <w:caps/>
        </w:rPr>
        <w:footnoteReference w:id="172"/>
      </w:r>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Dans le domaine des brevets, le Black</w:t>
      </w:r>
      <w:r w:rsidR="004D2AA1">
        <w:rPr>
          <w:rFonts w:cs="Arial"/>
          <w:szCs w:val="22"/>
        </w:rPr>
        <w:t>’</w:t>
      </w:r>
      <w:r w:rsidRPr="00E8642C">
        <w:rPr>
          <w:rFonts w:cs="Arial"/>
          <w:szCs w:val="22"/>
        </w:rPr>
        <w:t>s Law Dictionary définit le terme “utilisation illicite” de la manière suivante</w:t>
      </w:r>
      <w:r w:rsidR="004D2AA1">
        <w:rPr>
          <w:rFonts w:cs="Arial"/>
          <w:szCs w:val="22"/>
        </w:rPr>
        <w:t> :</w:t>
      </w:r>
      <w:r w:rsidRPr="00E8642C">
        <w:rPr>
          <w:rFonts w:cs="Arial"/>
          <w:szCs w:val="22"/>
        </w:rPr>
        <w:t xml:space="preserve"> “</w:t>
      </w:r>
      <w:r w:rsidRPr="00E8642C">
        <w:rPr>
          <w:rFonts w:cs="Arial"/>
          <w:iCs/>
          <w:szCs w:val="22"/>
        </w:rPr>
        <w:t>utilisation d</w:t>
      </w:r>
      <w:r w:rsidR="004D2AA1">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4D2AA1">
        <w:rPr>
          <w:rFonts w:cs="Arial"/>
          <w:szCs w:val="22"/>
        </w:rPr>
        <w:t>’</w:t>
      </w:r>
      <w:r w:rsidRPr="00E8642C">
        <w:rPr>
          <w:rFonts w:cs="Arial"/>
          <w:szCs w:val="22"/>
        </w:rPr>
        <w:t>une manière générale, il la définit comme une utilisation impropre, d</w:t>
      </w:r>
      <w:r w:rsidR="004D2AA1">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4D2AA1">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4D2AA1">
        <w:rPr>
          <w:rFonts w:cs="Arial"/>
          <w:szCs w:val="22"/>
        </w:rPr>
        <w:t>’</w:t>
      </w:r>
      <w:r w:rsidRPr="00E8642C">
        <w:rPr>
          <w:rFonts w:cs="Arial"/>
          <w:szCs w:val="22"/>
        </w:rPr>
        <w:t>objet ou la fonction même d</w:t>
      </w:r>
      <w:r w:rsidR="004D2AA1">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4D2AA1">
        <w:rPr>
          <w:lang w:val="fr-CH"/>
        </w:rPr>
        <w:t>’</w:t>
      </w:r>
      <w:r w:rsidRPr="00AE5852">
        <w:rPr>
          <w:lang w:val="fr-CH"/>
        </w:rPr>
        <w:t>annexe et du document]</w:t>
      </w:r>
    </w:p>
    <w:sectPr w:rsidR="00AA3C26" w:rsidRPr="00AE5852" w:rsidSect="00DC26CA">
      <w:headerReference w:type="default" r:id="rId15"/>
      <w:footerReference w:type="default" r:id="rId16"/>
      <w:headerReference w:type="first" r:id="rId17"/>
      <w:footerReference w:type="first" r:id="rId18"/>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87" w:rsidRDefault="00171C87">
      <w:r>
        <w:separator/>
      </w:r>
    </w:p>
    <w:p w:rsidR="00171C87" w:rsidRDefault="00171C87"/>
  </w:endnote>
  <w:endnote w:type="continuationSeparator" w:id="0">
    <w:p w:rsidR="00171C87" w:rsidRDefault="00171C87">
      <w:r>
        <w:continuationSeparator/>
      </w:r>
    </w:p>
    <w:p w:rsidR="00171C87" w:rsidRDefault="00171C87"/>
  </w:endnote>
  <w:endnote w:type="continuationNotice" w:id="1">
    <w:p w:rsidR="00171C87" w:rsidRDefault="00171C87"/>
    <w:p w:rsidR="00171C87" w:rsidRDefault="00171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BC" w:rsidRDefault="000C34BC">
    <w:pPr>
      <w:pStyle w:val="Footer"/>
    </w:pPr>
  </w:p>
  <w:p w:rsidR="00AD42C0" w:rsidRDefault="00AD42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BC" w:rsidRDefault="000C34BC">
    <w:pPr>
      <w:pStyle w:val="Footer"/>
    </w:pPr>
  </w:p>
  <w:p w:rsidR="00AD42C0" w:rsidRDefault="00AD42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BC" w:rsidRDefault="000C34BC">
    <w:pPr>
      <w:pStyle w:val="Footer"/>
    </w:pPr>
  </w:p>
  <w:p w:rsidR="00AD42C0" w:rsidRDefault="00AD42C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7" w:rsidRDefault="00171C87">
    <w:pPr>
      <w:pStyle w:val="Footer"/>
    </w:pPr>
  </w:p>
  <w:p w:rsidR="00171C87" w:rsidRDefault="00171C8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7" w:rsidRPr="008576A7" w:rsidRDefault="00171C87"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87" w:rsidRDefault="00171C87">
      <w:r>
        <w:separator/>
      </w:r>
    </w:p>
    <w:p w:rsidR="00171C87" w:rsidRDefault="00171C87"/>
  </w:footnote>
  <w:footnote w:type="continuationSeparator" w:id="0">
    <w:p w:rsidR="00171C87" w:rsidRDefault="00171C87">
      <w:r>
        <w:separator/>
      </w:r>
    </w:p>
    <w:p w:rsidR="00171C87" w:rsidRDefault="00171C87" w:rsidP="00BD4DE0">
      <w:pPr>
        <w:spacing w:after="60"/>
      </w:pPr>
      <w:r w:rsidRPr="009D30E6">
        <w:rPr>
          <w:sz w:val="17"/>
          <w:szCs w:val="17"/>
        </w:rPr>
        <w:t>[Suite de la note de la page précédente]</w:t>
      </w:r>
    </w:p>
    <w:p w:rsidR="00171C87" w:rsidRDefault="00171C87"/>
  </w:footnote>
  <w:footnote w:type="continuationNotice" w:id="1">
    <w:p w:rsidR="00171C87" w:rsidRPr="009D30E6" w:rsidRDefault="00171C87" w:rsidP="00BD4DE0">
      <w:pPr>
        <w:spacing w:before="60"/>
        <w:jc w:val="right"/>
        <w:rPr>
          <w:sz w:val="17"/>
          <w:szCs w:val="17"/>
        </w:rPr>
      </w:pPr>
      <w:r w:rsidRPr="009D30E6">
        <w:rPr>
          <w:sz w:val="17"/>
          <w:szCs w:val="17"/>
        </w:rPr>
        <w:t>[Suite de la note page suivante]</w:t>
      </w:r>
    </w:p>
    <w:p w:rsidR="00171C87" w:rsidRDefault="00171C87"/>
  </w:footnote>
  <w:footnote w:id="2">
    <w:p w:rsidR="00171C87" w:rsidRPr="00E55DB1" w:rsidRDefault="00171C87"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55DB1">
        <w:rPr>
          <w:rStyle w:val="FooterChar"/>
          <w:rFonts w:cs="Arial"/>
          <w:noProof/>
          <w:sz w:val="18"/>
          <w:szCs w:val="18"/>
          <w:lang w:val="fr-FR"/>
        </w:rPr>
        <w:t>septième session du comité (document WIPO/GRTKF/IC/17/12).</w:t>
      </w:r>
    </w:p>
  </w:footnote>
  <w:footnote w:id="3">
    <w:p w:rsidR="00171C87" w:rsidRPr="00E55DB1" w:rsidRDefault="00171C87">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noBreakHyphen/>
      </w:r>
      <w:r w:rsidRPr="00E55DB1">
        <w:rPr>
          <w:rStyle w:val="FooterChar"/>
          <w:rFonts w:cs="Arial"/>
          <w:noProof/>
          <w:sz w:val="18"/>
          <w:szCs w:val="18"/>
          <w:lang w:val="fr-FR"/>
        </w:rPr>
        <w:t>neuvième session du comité (document WIPO/GRTKF/IC/19/12).</w:t>
      </w:r>
    </w:p>
  </w:footnote>
  <w:footnote w:id="4">
    <w:p w:rsidR="00171C87" w:rsidRPr="00E55DB1" w:rsidRDefault="00171C87"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171C87" w:rsidRPr="00E55DB1" w:rsidRDefault="00171C87"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l’accès aux ressources génétiques et le partage juste et équitable des avantages résultant de leur utilisation.</w:t>
      </w:r>
    </w:p>
  </w:footnote>
  <w:footnote w:id="6">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171C87" w:rsidRPr="00E55DB1" w:rsidRDefault="00171C87"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 w:history="1">
        <w:r w:rsidRPr="00E55DB1">
          <w:rPr>
            <w:rStyle w:val="Hyperlink"/>
            <w:rFonts w:cs="Arial"/>
            <w:noProof/>
            <w:color w:val="auto"/>
            <w:sz w:val="18"/>
            <w:szCs w:val="18"/>
            <w:u w:val="none"/>
          </w:rPr>
          <w:t>http://www.wipo.int/tk/en/databases/contracts/index.html</w:t>
        </w:r>
      </w:hyperlink>
      <w:r w:rsidRPr="00E55DB1">
        <w:rPr>
          <w:rFonts w:cs="Arial"/>
          <w:noProof/>
          <w:sz w:val="18"/>
          <w:szCs w:val="18"/>
        </w:rPr>
        <w:t>.</w:t>
      </w:r>
    </w:p>
  </w:footnote>
  <w:footnote w:id="8">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2" w:history="1">
        <w:r w:rsidRPr="00E55DB1">
          <w:rPr>
            <w:rStyle w:val="Hyperlink"/>
            <w:rFonts w:cs="Arial"/>
            <w:noProof/>
            <w:color w:val="auto"/>
            <w:sz w:val="18"/>
            <w:szCs w:val="18"/>
            <w:u w:val="none"/>
          </w:rPr>
          <w:t>http://www.fao.org/3/a-be623e.pdf</w:t>
        </w:r>
      </w:hyperlink>
      <w:r w:rsidRPr="00E55DB1">
        <w:rPr>
          <w:rFonts w:cs="Arial"/>
          <w:noProof/>
          <w:sz w:val="18"/>
          <w:szCs w:val="18"/>
        </w:rPr>
        <w:t>.</w:t>
      </w:r>
    </w:p>
  </w:footnote>
  <w:footnote w:id="9">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l’OMPI, 2008, page 20.</w:t>
      </w:r>
    </w:p>
  </w:footnote>
  <w:footnote w:id="11">
    <w:p w:rsidR="00171C87" w:rsidRPr="00E55DB1" w:rsidRDefault="00171C87"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103 du titre 35 du Code des États</w:t>
      </w:r>
      <w:r>
        <w:rPr>
          <w:rFonts w:cs="Arial"/>
          <w:sz w:val="18"/>
          <w:szCs w:val="18"/>
        </w:rPr>
        <w:noBreakHyphen/>
      </w:r>
      <w:r w:rsidRPr="00E55DB1">
        <w:rPr>
          <w:rFonts w:cs="Arial"/>
          <w:sz w:val="18"/>
          <w:szCs w:val="18"/>
        </w:rPr>
        <w:t xml:space="preserve">Unis d’Amérique, disponible à l’adresse </w:t>
      </w:r>
      <w:hyperlink r:id="rId3"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171C87" w:rsidRPr="00E55DB1" w:rsidRDefault="00171C87"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d’auteur et les droits connexes administrés par l’OMPI et Glossaire du droit d’auteur et des droits connexes, page 264.</w:t>
      </w:r>
    </w:p>
  </w:footnote>
  <w:footnote w:id="13">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L’édition utilisée aux fins du présent document est la dixième édition, de Bryan A. Garner.</w:t>
      </w:r>
    </w:p>
  </w:footnote>
  <w:footnote w:id="14">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171C87" w:rsidRPr="00E55DB1" w:rsidRDefault="00171C87"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page 293.</w:t>
      </w:r>
    </w:p>
  </w:footnote>
  <w:footnote w:id="17">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2 du document OMPI/GRTKF/IC/2/3;  la base de données en ligne figure à l’adresse </w:t>
      </w:r>
      <w:hyperlink r:id="rId4" w:history="1">
        <w:r w:rsidRPr="00E55DB1">
          <w:rPr>
            <w:rStyle w:val="Hyperlink"/>
            <w:rFonts w:cs="Arial"/>
            <w:noProof/>
            <w:color w:val="auto"/>
            <w:sz w:val="18"/>
            <w:szCs w:val="18"/>
            <w:u w:val="none"/>
          </w:rPr>
          <w:t>http://www.wipo.int/tk/en/databases/contracts/index.html</w:t>
        </w:r>
      </w:hyperlink>
      <w:r w:rsidRPr="00E55DB1">
        <w:rPr>
          <w:rFonts w:cs="Arial"/>
          <w:noProof/>
          <w:sz w:val="18"/>
          <w:szCs w:val="18"/>
        </w:rPr>
        <w:t>.</w:t>
      </w:r>
    </w:p>
  </w:footnote>
  <w:footnote w:id="18">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noBreakHyphen/>
      </w:r>
      <w:r w:rsidRPr="00E55DB1">
        <w:rPr>
          <w:rFonts w:cs="Arial"/>
          <w:noProof/>
          <w:sz w:val="18"/>
          <w:szCs w:val="18"/>
        </w:rPr>
        <w:t>septième session du comité (document WIPO/GRTKF/IC/17/12).</w:t>
      </w:r>
    </w:p>
  </w:footnote>
  <w:footnote w:id="20">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plus d’informations, on peut consulter le site </w:t>
      </w:r>
      <w:hyperlink r:id="rId5"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2">
    <w:p w:rsidR="00171C87" w:rsidRPr="00E55DB1" w:rsidRDefault="00171C87"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Déclaration de la FAO sur les biotechnologies, disponible à l’adresse </w:t>
      </w:r>
      <w:hyperlink r:id="rId6" w:history="1">
        <w:r w:rsidRPr="00E55DB1">
          <w:rPr>
            <w:rStyle w:val="Hyperlink"/>
            <w:rFonts w:cs="Arial"/>
            <w:noProof/>
            <w:color w:val="auto"/>
            <w:sz w:val="18"/>
            <w:szCs w:val="18"/>
            <w:u w:val="none"/>
          </w:rPr>
          <w:t>http://www.fao.org/biotech/fao-statement-on-biotechnology/fr/</w:t>
        </w:r>
      </w:hyperlink>
      <w:r w:rsidRPr="00E55DB1">
        <w:rPr>
          <w:rFonts w:cs="Arial"/>
          <w:sz w:val="18"/>
          <w:szCs w:val="18"/>
        </w:rPr>
        <w:t>.</w:t>
      </w:r>
    </w:p>
  </w:footnote>
  <w:footnote w:id="23">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la définition et la définition sous forme de liste à l’adresse </w:t>
      </w:r>
      <w:hyperlink r:id="rId7"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171C87" w:rsidRPr="00E55DB1" w:rsidRDefault="00171C87"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 289.</w:t>
      </w:r>
    </w:p>
  </w:footnote>
  <w:footnote w:id="25">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l’OMPI.</w:t>
      </w:r>
    </w:p>
  </w:footnote>
  <w:footnote w:id="26">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7">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de plus d’informations, on peut consulter le site </w:t>
      </w:r>
      <w:hyperlink r:id="rId8"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l’OMPI.</w:t>
      </w:r>
    </w:p>
  </w:footnote>
  <w:footnote w:id="29">
    <w:p w:rsidR="00171C87" w:rsidRPr="00E55DB1" w:rsidRDefault="00171C87"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55DB1">
        <w:rPr>
          <w:rFonts w:cs="Arial"/>
          <w:noProof/>
          <w:sz w:val="18"/>
          <w:szCs w:val="18"/>
        </w:rPr>
        <w:t>Bas pour l’UNESCO (document TER/CH/2002/WD/4), 2002.</w:t>
      </w:r>
    </w:p>
  </w:footnote>
  <w:footnote w:id="30">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UNEP/CBD/WS-CB/LAC/1/INF/5.</w:t>
      </w:r>
    </w:p>
  </w:footnote>
  <w:footnote w:id="31">
    <w:p w:rsidR="00171C87" w:rsidRPr="00E55DB1" w:rsidRDefault="00171C87"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171C87" w:rsidRPr="00E55DB1" w:rsidRDefault="00171C87"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171C87" w:rsidRPr="00E55DB1" w:rsidRDefault="00171C87"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Filmmaker’s guide to Working with Indigenous People, Culture and Concepts,</w:t>
      </w:r>
      <w:r w:rsidRPr="00E55DB1">
        <w:rPr>
          <w:rFonts w:cs="Arial"/>
          <w:noProof/>
          <w:sz w:val="18"/>
          <w:szCs w:val="18"/>
          <w:lang w:val="en-US"/>
        </w:rPr>
        <w:t xml:space="preserve"> page 51.</w:t>
      </w:r>
    </w:p>
  </w:footnote>
  <w:footnote w:id="38">
    <w:p w:rsidR="00171C87" w:rsidRPr="00E55DB1" w:rsidRDefault="00171C87"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Nino Pires de Carvalho, From the Shaman’s Hut to the Patent Office : A Road Under Construction.  </w:t>
      </w:r>
      <w:r w:rsidRPr="00E55DB1">
        <w:rPr>
          <w:sz w:val="18"/>
          <w:lang w:val="fr-CH"/>
        </w:rPr>
        <w:t>Chapitre</w:t>
      </w:r>
      <w:r w:rsidRPr="00E55DB1">
        <w:rPr>
          <w:rFonts w:cs="Arial"/>
          <w:noProof/>
          <w:sz w:val="18"/>
          <w:szCs w:val="18"/>
        </w:rPr>
        <w:t> 18 de Biodiversity and the Law, page 244.</w:t>
      </w:r>
    </w:p>
  </w:footnote>
  <w:footnote w:id="40">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171C87" w:rsidRPr="00E55DB1" w:rsidRDefault="00171C87"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27 du document WIPO/GRTKF/IC/4/8 intitulé “Éléments constitutifs d’un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171C87" w:rsidRPr="00E55DB1" w:rsidRDefault="00171C87"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45">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171C87" w:rsidRPr="00E55DB1" w:rsidRDefault="00171C87"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171C87" w:rsidRPr="00E55DB1" w:rsidRDefault="00171C87"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9" w:history="1">
        <w:r w:rsidRPr="00E55DB1">
          <w:rPr>
            <w:rStyle w:val="Hyperlink"/>
            <w:rFonts w:cs="Arial"/>
            <w:color w:val="auto"/>
            <w:sz w:val="18"/>
            <w:szCs w:val="18"/>
            <w:u w:val="none"/>
          </w:rPr>
          <w:t>http://www.un.org/fr/universal-declaration-human-rights/</w:t>
        </w:r>
      </w:hyperlink>
      <w:r w:rsidRPr="00E55DB1">
        <w:rPr>
          <w:rFonts w:cs="Arial"/>
          <w:sz w:val="18"/>
          <w:szCs w:val="18"/>
        </w:rPr>
        <w:t>.</w:t>
      </w:r>
    </w:p>
  </w:footnote>
  <w:footnote w:id="50">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1999), “Savoirs traditionnels : besoins et attentes en matière de propriété intellectuelle”, p. 26.</w:t>
      </w:r>
    </w:p>
  </w:footnote>
  <w:footnote w:id="51">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171C87" w:rsidRPr="00E55DB1" w:rsidRDefault="00171C87"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l’UNESCO (2005).</w:t>
      </w:r>
    </w:p>
  </w:footnote>
  <w:footnote w:id="53">
    <w:p w:rsidR="00171C87" w:rsidRPr="00E55DB1" w:rsidRDefault="00171C87"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171C87" w:rsidRPr="00E55DB1" w:rsidRDefault="00171C87"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0" w:history="1">
        <w:r w:rsidRPr="00E55DB1">
          <w:rPr>
            <w:rStyle w:val="Hyperlink"/>
            <w:rFonts w:cs="Arial"/>
            <w:noProof/>
            <w:color w:val="auto"/>
            <w:sz w:val="18"/>
            <w:szCs w:val="18"/>
            <w:u w:val="none"/>
          </w:rPr>
          <w:t>http://www.wipo.int/pct/fr/texts/glossary.html#D</w:t>
        </w:r>
      </w:hyperlink>
      <w:r w:rsidRPr="00E55DB1">
        <w:rPr>
          <w:rFonts w:cs="Arial"/>
          <w:noProof/>
          <w:sz w:val="18"/>
          <w:szCs w:val="18"/>
        </w:rPr>
        <w:t>.</w:t>
      </w:r>
    </w:p>
  </w:footnote>
  <w:footnote w:id="56">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w:t>
      </w:r>
    </w:p>
  </w:footnote>
  <w:footnote w:id="60">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171C87" w:rsidRPr="00E55DB1" w:rsidRDefault="00171C87"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 : Implications of Customary Laws and Practices, Research Planning Workshop, Cuzco (Pérou), 20 – 25 mai 2005.</w:t>
      </w:r>
    </w:p>
  </w:footnote>
  <w:footnote w:id="62">
    <w:p w:rsidR="00171C87" w:rsidRPr="00E55DB1" w:rsidRDefault="00171C87"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 xml:space="preserve">Customary Law, Traditional Knowledge and Intellectual Property : An Outline of the Issues (2013) </w:t>
      </w:r>
      <w:hyperlink r:id="rId11" w:history="1">
        <w:r w:rsidRPr="00E55DB1">
          <w:rPr>
            <w:rStyle w:val="Hyperlink"/>
            <w:rFonts w:cs="Arial"/>
            <w:noProof/>
            <w:color w:val="auto"/>
            <w:sz w:val="18"/>
            <w:szCs w:val="18"/>
            <w:u w:val="none"/>
            <w:lang w:val="en-US"/>
          </w:rPr>
          <w:t>http://www.wipo.int/export/sites/www/tk/en/resources/pdf/overview_customary_law.pdf</w:t>
        </w:r>
      </w:hyperlink>
      <w:r w:rsidRPr="00E55DB1">
        <w:rPr>
          <w:rFonts w:cs="Arial"/>
          <w:noProof/>
          <w:sz w:val="18"/>
          <w:szCs w:val="18"/>
          <w:lang w:val="en-US"/>
        </w:rPr>
        <w:t>.</w:t>
      </w:r>
    </w:p>
  </w:footnote>
  <w:footnote w:id="63">
    <w:p w:rsidR="00171C87" w:rsidRPr="00E55DB1" w:rsidRDefault="00171C87"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171C87" w:rsidRPr="00E55DB1" w:rsidRDefault="00171C87"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12"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13"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4"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w:t>
      </w:r>
    </w:p>
  </w:footnote>
  <w:footnote w:id="66">
    <w:p w:rsidR="00171C87" w:rsidRPr="00E55DB1" w:rsidRDefault="00171C87"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la loi japonaise sur les brevets à l’adresse </w:t>
      </w:r>
      <w:hyperlink r:id="rId15" w:history="1">
        <w:r w:rsidRPr="00E55DB1">
          <w:rPr>
            <w:rStyle w:val="Hyperlink"/>
            <w:rFonts w:cs="Arial"/>
            <w:color w:val="auto"/>
            <w:sz w:val="18"/>
            <w:szCs w:val="18"/>
            <w:u w:val="none"/>
          </w:rPr>
          <w:t>http://www.wipo.int/wipolex/fr/details.jsp?id=16061</w:t>
        </w:r>
      </w:hyperlink>
      <w:r w:rsidRPr="00E55DB1">
        <w:rPr>
          <w:rFonts w:cs="Arial"/>
          <w:sz w:val="18"/>
          <w:szCs w:val="18"/>
        </w:rPr>
        <w:t>.</w:t>
      </w:r>
    </w:p>
  </w:footnote>
  <w:footnote w:id="67">
    <w:p w:rsidR="00171C87" w:rsidRPr="00E55DB1" w:rsidRDefault="00171C87"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d’auteur et droits voisins, étude présentée par M. Pierre Sirinelli (page 2 du document WCT</w:t>
      </w:r>
      <w:r>
        <w:rPr>
          <w:rFonts w:cs="Arial"/>
          <w:bCs/>
          <w:noProof/>
          <w:sz w:val="18"/>
          <w:szCs w:val="18"/>
        </w:rPr>
        <w:noBreakHyphen/>
      </w:r>
      <w:r w:rsidRPr="00E55DB1">
        <w:rPr>
          <w:rFonts w:cs="Arial"/>
          <w:bCs/>
          <w:noProof/>
          <w:sz w:val="18"/>
          <w:szCs w:val="18"/>
        </w:rPr>
        <w:t>WPPT/IMP/1) (1999).</w:t>
      </w:r>
    </w:p>
  </w:footnote>
  <w:footnote w:id="68">
    <w:p w:rsidR="00171C87" w:rsidRPr="00E55DB1" w:rsidRDefault="00171C87"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l’annexe du document WO/GA/32/8.</w:t>
      </w:r>
    </w:p>
  </w:footnote>
  <w:footnote w:id="70">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l’annexe I du document WIPO/GRTKF/IC/16/6</w:t>
      </w:r>
      <w:r w:rsidRPr="00E55DB1">
        <w:rPr>
          <w:rFonts w:cs="Arial"/>
          <w:iCs/>
          <w:noProof/>
          <w:sz w:val="18"/>
          <w:szCs w:val="18"/>
        </w:rPr>
        <w:t>.</w:t>
      </w:r>
    </w:p>
  </w:footnote>
  <w:footnote w:id="71">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 xml:space="preserve">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 </w:t>
      </w:r>
      <w:hyperlink r:id="rId16" w:history="1">
        <w:r w:rsidRPr="00E55DB1">
          <w:rPr>
            <w:rStyle w:val="Hyperlink"/>
            <w:rFonts w:cs="Arial"/>
            <w:noProof/>
            <w:color w:val="auto"/>
            <w:sz w:val="18"/>
            <w:szCs w:val="18"/>
            <w:u w:val="none"/>
          </w:rPr>
          <w:t>http://www.wipo.int/publications/fr/details.jsp?id=4194</w:t>
        </w:r>
      </w:hyperlink>
      <w:r w:rsidRPr="00E55DB1">
        <w:rPr>
          <w:rFonts w:cs="Arial"/>
          <w:noProof/>
          <w:sz w:val="18"/>
          <w:szCs w:val="18"/>
        </w:rPr>
        <w:t>.</w:t>
      </w:r>
    </w:p>
  </w:footnote>
  <w:footnote w:id="72">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171C87" w:rsidRPr="00E55DB1" w:rsidRDefault="00171C87"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171C87" w:rsidRPr="00E55DB1" w:rsidRDefault="00171C87"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171C87" w:rsidRPr="00E55DB1" w:rsidRDefault="00171C87"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l’UNESCO (2005).</w:t>
      </w:r>
    </w:p>
  </w:footnote>
  <w:footnote w:id="77">
    <w:p w:rsidR="00171C87" w:rsidRPr="00E55DB1" w:rsidRDefault="00171C87"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171C87" w:rsidRPr="00E55DB1" w:rsidRDefault="00171C87"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171C87" w:rsidRPr="00E55DB1" w:rsidRDefault="00171C87"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171C87" w:rsidRPr="00E55DB1" w:rsidRDefault="00171C87"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2">
    <w:p w:rsidR="00171C87" w:rsidRPr="00E55DB1" w:rsidRDefault="00171C87"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171C87" w:rsidRPr="00E55DB1" w:rsidRDefault="00171C87"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 : Case Studies on Intellectual Property and Traditional Cultural Expressions, OMPI (2003).</w:t>
      </w:r>
    </w:p>
  </w:footnote>
  <w:footnote w:id="84">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noBreakHyphen/>
      </w:r>
      <w:r w:rsidRPr="00E55DB1">
        <w:rPr>
          <w:rFonts w:cs="Arial"/>
          <w:noProof/>
          <w:sz w:val="18"/>
          <w:szCs w:val="18"/>
        </w:rPr>
        <w:t>septième session du comité (document WIPO/GRTKF/IC/17/12).</w:t>
      </w:r>
    </w:p>
  </w:footnote>
  <w:footnote w:id="85">
    <w:p w:rsidR="00171C87" w:rsidRPr="00E55DB1" w:rsidRDefault="00171C87"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171C87" w:rsidRPr="00E55DB1" w:rsidRDefault="00171C87"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7">
    <w:p w:rsidR="00171C87" w:rsidRPr="00E55DB1" w:rsidRDefault="00171C87"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d’auteur et les droits connexes administrés par l’OMPI et le Glossaire du droit d’auteur et des droits connexes, OMPI, page 291.</w:t>
      </w:r>
    </w:p>
  </w:footnote>
  <w:footnote w:id="88">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171C87" w:rsidRPr="00E55DB1" w:rsidRDefault="00171C87"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 xml:space="preserve">Thesaurus de l’UNESCO, disponible à l’adresse </w:t>
      </w:r>
      <w:hyperlink r:id="rId17" w:history="1">
        <w:r w:rsidRPr="00E55DB1">
          <w:rPr>
            <w:rStyle w:val="Hyperlink"/>
            <w:rFonts w:cs="Arial"/>
            <w:noProof/>
            <w:color w:val="auto"/>
            <w:sz w:val="18"/>
            <w:szCs w:val="18"/>
            <w:u w:val="none"/>
            <w:lang w:eastAsia="en-US"/>
          </w:rPr>
          <w:t>http://www.vocabularyserver.com/unesco/en/index.php?tema=2526&amp;/cultural-identity</w:t>
        </w:r>
      </w:hyperlink>
      <w:r w:rsidRPr="00E55DB1">
        <w:rPr>
          <w:rFonts w:cs="Arial"/>
          <w:noProof/>
          <w:sz w:val="18"/>
          <w:szCs w:val="18"/>
        </w:rPr>
        <w:t>.</w:t>
      </w:r>
    </w:p>
  </w:footnote>
  <w:footnote w:id="90">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171C87" w:rsidRPr="00E55DB1" w:rsidRDefault="00171C87"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L’instrument d’aide à la fixation des savoirs traditionnels de l’OMPI est accessible à l’adresse </w:t>
      </w:r>
      <w:hyperlink r:id="rId18" w:history="1">
        <w:r w:rsidRPr="00E55DB1">
          <w:rPr>
            <w:rStyle w:val="Hyperlink"/>
            <w:rFonts w:cs="Arial"/>
            <w:color w:val="auto"/>
            <w:sz w:val="18"/>
            <w:szCs w:val="18"/>
            <w:u w:val="none"/>
          </w:rPr>
          <w:t>http://www.wipo.int/publications/fr/details.jsp?id=4235</w:t>
        </w:r>
      </w:hyperlink>
      <w:r w:rsidRPr="00E55DB1">
        <w:rPr>
          <w:rFonts w:cs="Arial"/>
          <w:sz w:val="18"/>
          <w:szCs w:val="18"/>
        </w:rPr>
        <w:t>.</w:t>
      </w:r>
    </w:p>
  </w:footnote>
  <w:footnote w:id="92">
    <w:p w:rsidR="00171C87" w:rsidRPr="00E55DB1" w:rsidRDefault="00171C87"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l’appendice II des Lignes directrices de Bonn.</w:t>
      </w:r>
    </w:p>
  </w:footnote>
  <w:footnote w:id="97">
    <w:p w:rsidR="00171C87" w:rsidRPr="00E55DB1" w:rsidRDefault="00171C87"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d’auteur et aux droits connexes” (page 2 du document WCT</w:t>
      </w:r>
      <w:r>
        <w:rPr>
          <w:rFonts w:cs="Arial"/>
          <w:bCs/>
          <w:noProof/>
          <w:sz w:val="18"/>
          <w:szCs w:val="18"/>
        </w:rPr>
        <w:noBreakHyphen/>
      </w:r>
      <w:r w:rsidRPr="00E55DB1">
        <w:rPr>
          <w:rFonts w:cs="Arial"/>
          <w:bCs/>
          <w:noProof/>
          <w:sz w:val="18"/>
          <w:szCs w:val="18"/>
        </w:rPr>
        <w:t>WPPT/IMP/1).</w:t>
      </w:r>
    </w:p>
  </w:footnote>
  <w:footnote w:id="98">
    <w:p w:rsidR="00171C87" w:rsidRPr="00E55DB1" w:rsidRDefault="00171C87"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Partie du site Web de l’OMPI consacrée au droit d’auteur et aux droits connexes : </w:t>
      </w:r>
      <w:hyperlink r:id="rId19" w:history="1">
        <w:r w:rsidRPr="00E55DB1">
          <w:rPr>
            <w:rStyle w:val="Hyperlink"/>
            <w:rFonts w:cs="Arial"/>
            <w:iCs/>
            <w:noProof/>
            <w:color w:val="auto"/>
            <w:sz w:val="18"/>
            <w:szCs w:val="18"/>
            <w:u w:val="none"/>
          </w:rPr>
          <w:t>http://www.wipo.int/copyright/fr/limitations/index.html</w:t>
        </w:r>
      </w:hyperlink>
      <w:r w:rsidRPr="00E55DB1">
        <w:rPr>
          <w:rFonts w:cs="Arial"/>
          <w:iCs/>
          <w:noProof/>
          <w:sz w:val="18"/>
          <w:szCs w:val="18"/>
        </w:rPr>
        <w:t>.</w:t>
      </w:r>
    </w:p>
  </w:footnote>
  <w:footnote w:id="99">
    <w:p w:rsidR="00171C87" w:rsidRPr="00E55DB1" w:rsidRDefault="00171C87"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171C87" w:rsidRPr="00E55DB1" w:rsidRDefault="00171C87"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171C87" w:rsidRPr="00E55DB1" w:rsidRDefault="00171C87"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171C87" w:rsidRPr="00E55DB1" w:rsidRDefault="00171C87"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noBreakHyphen/>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noBreakHyphen/>
      </w:r>
      <w:r w:rsidRPr="00E55DB1">
        <w:rPr>
          <w:rFonts w:cs="Arial"/>
          <w:noProof/>
          <w:sz w:val="18"/>
          <w:szCs w:val="18"/>
          <w:lang w:val="en-US"/>
        </w:rPr>
        <w:t>sharing”), page 8.</w:t>
      </w:r>
    </w:p>
  </w:footnote>
  <w:footnote w:id="103">
    <w:p w:rsidR="00171C87" w:rsidRPr="00E55DB1" w:rsidRDefault="00171C87"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t xml:space="preserve">Glossaire du PNUE (Glossary of Terms for Negotiators of Multilateral Environmental Agreements), page 22, disponible à l’adresse </w:t>
      </w:r>
      <w:hyperlink r:id="rId20" w:history="1">
        <w:r w:rsidRPr="00E55DB1">
          <w:rPr>
            <w:rStyle w:val="Hyperlink"/>
            <w:rFonts w:cs="Arial"/>
            <w:color w:val="auto"/>
            <w:sz w:val="18"/>
            <w:szCs w:val="18"/>
            <w:u w:val="none"/>
            <w:lang w:val="en-US"/>
          </w:rPr>
          <w:t>https://www.unenvironment.org/resources/report/glossary-terms-negotiators-multilateral-environmental-agreements</w:t>
        </w:r>
      </w:hyperlink>
      <w:r w:rsidRPr="00E55DB1">
        <w:rPr>
          <w:rFonts w:cs="Arial"/>
          <w:sz w:val="18"/>
          <w:szCs w:val="18"/>
          <w:lang w:val="en-US"/>
        </w:rPr>
        <w:t>.</w:t>
      </w:r>
    </w:p>
  </w:footnote>
  <w:footnote w:id="104">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l’OMS pour la recherche et l’évaluation relatives à la médecine traditionnelle (WHO/EDM/TRM/2000.1), page 1.</w:t>
      </w:r>
    </w:p>
  </w:footnote>
  <w:footnote w:id="105">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l’OMS pour la médecine traditionnelle pour 2002</w:t>
      </w:r>
      <w:r>
        <w:rPr>
          <w:rFonts w:cs="Arial"/>
          <w:noProof/>
          <w:sz w:val="18"/>
          <w:szCs w:val="18"/>
        </w:rPr>
        <w:noBreakHyphen/>
      </w:r>
      <w:r w:rsidRPr="00E55DB1">
        <w:rPr>
          <w:rFonts w:cs="Arial"/>
          <w:noProof/>
          <w:sz w:val="18"/>
          <w:szCs w:val="18"/>
        </w:rPr>
        <w:t>2005, page 7.</w:t>
      </w:r>
    </w:p>
  </w:footnote>
  <w:footnote w:id="106">
    <w:p w:rsidR="00171C87" w:rsidRPr="00E55DB1" w:rsidRDefault="00171C87"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171C87" w:rsidRPr="00E55DB1" w:rsidRDefault="00171C87"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171C87" w:rsidRPr="00E55DB1" w:rsidRDefault="00171C87"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171C87" w:rsidRPr="00E55DB1" w:rsidRDefault="00171C87"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171C87" w:rsidRPr="00E55DB1" w:rsidRDefault="00171C87"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171C87" w:rsidRPr="00E55DB1" w:rsidRDefault="00171C87"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noBreakHyphen/>
      </w:r>
      <w:r w:rsidRPr="00E55DB1">
        <w:rPr>
          <w:rFonts w:cs="Arial"/>
          <w:noProof/>
          <w:sz w:val="18"/>
          <w:szCs w:val="18"/>
        </w:rPr>
        <w:t>Bas pour l’UNESCO,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171C87" w:rsidRPr="00E55DB1" w:rsidRDefault="00171C87"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21"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22"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23"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 xml:space="preserve">.  </w:t>
      </w:r>
    </w:p>
  </w:footnote>
  <w:footnote w:id="115">
    <w:p w:rsidR="00171C87" w:rsidRPr="00E55DB1" w:rsidRDefault="00171C87"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 OMPI</w:t>
      </w:r>
      <w:r w:rsidRPr="00E55DB1">
        <w:rPr>
          <w:rFonts w:cs="Arial"/>
          <w:noProof/>
          <w:sz w:val="18"/>
          <w:szCs w:val="18"/>
        </w:rPr>
        <w:t>.</w:t>
      </w:r>
    </w:p>
  </w:footnote>
  <w:footnote w:id="117">
    <w:p w:rsidR="00171C87" w:rsidRPr="00E55DB1" w:rsidRDefault="00171C87"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l’Accord sur les ADPIC et article 6 du Traité sur le droit d’auteur.</w:t>
      </w:r>
    </w:p>
  </w:footnote>
  <w:footnote w:id="118">
    <w:p w:rsidR="00171C87" w:rsidRPr="00E55DB1" w:rsidRDefault="00171C87"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171C87" w:rsidRPr="00E55DB1" w:rsidRDefault="00171C87"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171C87" w:rsidRPr="00E55DB1" w:rsidRDefault="00171C87"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171C87" w:rsidRPr="00E55DB1" w:rsidRDefault="00171C87"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Glossaire du PNUE (Glossary of Terms for Negotiators of Multilateral Environmental Agreements), page 49, disponible à l’adresse </w:t>
      </w:r>
      <w:hyperlink r:id="rId24" w:history="1">
        <w:r w:rsidRPr="00E55DB1">
          <w:rPr>
            <w:rStyle w:val="Hyperlink"/>
            <w:rFonts w:cs="Arial"/>
            <w:noProof/>
            <w:color w:val="auto"/>
            <w:sz w:val="18"/>
            <w:szCs w:val="18"/>
            <w:u w:val="none"/>
            <w:lang w:val="en-US"/>
          </w:rPr>
          <w:t>http://wedocs.unep.org/handle/20.500.11822/7569</w:t>
        </w:r>
      </w:hyperlink>
      <w:r w:rsidRPr="00E55DB1">
        <w:rPr>
          <w:rFonts w:cs="Arial"/>
          <w:noProof/>
          <w:sz w:val="18"/>
          <w:szCs w:val="18"/>
          <w:lang w:val="en-US"/>
        </w:rPr>
        <w:t>.</w:t>
      </w:r>
    </w:p>
  </w:footnote>
  <w:footnote w:id="123">
    <w:p w:rsidR="00171C87" w:rsidRPr="00E55DB1" w:rsidRDefault="00171C87"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 : Key Principles in Implementing ILO Convention n° 169 (2008).</w:t>
      </w:r>
    </w:p>
  </w:footnote>
  <w:footnote w:id="124">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55DB1">
        <w:rPr>
          <w:rFonts w:cs="Arial"/>
          <w:iCs/>
          <w:noProof/>
          <w:sz w:val="18"/>
          <w:szCs w:val="18"/>
        </w:rPr>
        <w:t xml:space="preserve">(disponible à l’adresse </w:t>
      </w:r>
      <w:hyperlink r:id="rId25"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26"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171C87" w:rsidRPr="00E55DB1" w:rsidRDefault="00171C87"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27" w:history="1">
        <w:r w:rsidRPr="00E55DB1">
          <w:rPr>
            <w:rStyle w:val="Hyperlink"/>
            <w:rFonts w:cs="Arial"/>
            <w:noProof/>
            <w:color w:val="auto"/>
            <w:sz w:val="18"/>
            <w:szCs w:val="18"/>
            <w:u w:val="none"/>
          </w:rPr>
          <w:t>http://www.undp.org/content/undp/en/home/librarypage/environment-energy/local_development/undp-and-indigenous-peoples-a-policy-of-engagement.html</w:t>
        </w:r>
      </w:hyperlink>
      <w:r w:rsidRPr="00E55DB1">
        <w:rPr>
          <w:rFonts w:cs="Arial"/>
          <w:noProof/>
          <w:sz w:val="18"/>
          <w:szCs w:val="18"/>
        </w:rPr>
        <w:t>.</w:t>
      </w:r>
    </w:p>
  </w:footnote>
  <w:footnote w:id="127">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noBreakHyphen/>
      </w:r>
      <w:r w:rsidRPr="00E55DB1">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171C87" w:rsidRPr="00E55DB1" w:rsidRDefault="00171C87"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Customary Law, Traditional Knowledge and Intellectual Property : An Outline of the Issues (2013) </w:t>
      </w:r>
      <w:hyperlink r:id="rId28" w:history="1">
        <w:r w:rsidRPr="00E55DB1">
          <w:rPr>
            <w:rStyle w:val="Hyperlink"/>
            <w:rFonts w:cs="Arial"/>
            <w:noProof/>
            <w:color w:val="auto"/>
            <w:sz w:val="18"/>
            <w:szCs w:val="18"/>
            <w:u w:val="none"/>
            <w:lang w:val="en-US"/>
          </w:rPr>
          <w:t>http://www.wipo.int/export/sites/www/tk/en/resources/pdf/overview_customary_law.pdf</w:t>
        </w:r>
      </w:hyperlink>
      <w:r w:rsidRPr="00E55DB1">
        <w:rPr>
          <w:rFonts w:cs="Arial"/>
          <w:noProof/>
          <w:sz w:val="18"/>
          <w:szCs w:val="18"/>
          <w:lang w:val="en-US"/>
        </w:rPr>
        <w:t>.</w:t>
      </w:r>
    </w:p>
  </w:footnote>
  <w:footnote w:id="129">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171C87" w:rsidRPr="00E55DB1" w:rsidRDefault="00171C87"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l’annexe I du document WIPO/GRTKF/IC/13/5b) Rev. intitulé “Protection des savoirs traditionnels : projet d’analyse des lacunes y relatives : version révisée”.</w:t>
      </w:r>
    </w:p>
  </w:footnote>
  <w:footnote w:id="131">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171C87" w:rsidRPr="00E55DB1" w:rsidRDefault="00171C87"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171C87" w:rsidRPr="00E55DB1" w:rsidRDefault="00171C87"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l’annexe.</w:t>
      </w:r>
    </w:p>
  </w:footnote>
  <w:footnote w:id="137">
    <w:p w:rsidR="00171C87" w:rsidRPr="00E55DB1" w:rsidRDefault="00171C87"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Jane Anderson, “Indigenous Knowledge/Traditional Knowledge and Intellectual Property”, Issues Paper, Centre for the Public Domain, Duke University, 2011, disponible à l’adresse </w:t>
      </w:r>
      <w:hyperlink r:id="rId29" w:history="1">
        <w:r w:rsidRPr="00E55DB1">
          <w:rPr>
            <w:rStyle w:val="Hyperlink"/>
            <w:rFonts w:cs="Arial"/>
            <w:noProof/>
            <w:color w:val="auto"/>
            <w:sz w:val="18"/>
            <w:szCs w:val="18"/>
            <w:u w:val="none"/>
            <w:lang w:val="en-US"/>
          </w:rPr>
          <w:t>http://www.law.duke.edu/cspd/itkpaper</w:t>
        </w:r>
      </w:hyperlink>
      <w:r w:rsidRPr="00E55DB1">
        <w:rPr>
          <w:rFonts w:cs="Arial"/>
          <w:noProof/>
          <w:sz w:val="18"/>
          <w:szCs w:val="18"/>
          <w:lang w:val="en-US"/>
        </w:rPr>
        <w:t>.</w:t>
      </w:r>
    </w:p>
  </w:footnote>
  <w:footnote w:id="143">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page 32.</w:t>
      </w:r>
    </w:p>
  </w:footnote>
  <w:footnote w:id="145">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hyperlink r:id="rId30" w:history="1">
        <w:r w:rsidRPr="00E55DB1">
          <w:rPr>
            <w:rStyle w:val="Hyperlink"/>
            <w:rFonts w:cs="Arial"/>
            <w:noProof/>
            <w:color w:val="auto"/>
            <w:sz w:val="18"/>
            <w:szCs w:val="18"/>
            <w:u w:val="none"/>
          </w:rPr>
          <w:t>http://www.wipo.int/wipolex/fr/details.jsp?id=3420</w:t>
        </w:r>
      </w:hyperlink>
      <w:r w:rsidRPr="00E55DB1">
        <w:rPr>
          <w:rFonts w:cs="Arial"/>
          <w:noProof/>
          <w:sz w:val="18"/>
          <w:szCs w:val="18"/>
        </w:rPr>
        <w:t>.</w:t>
      </w:r>
    </w:p>
  </w:footnote>
  <w:footnote w:id="148">
    <w:p w:rsidR="00171C87" w:rsidRPr="00E55DB1" w:rsidRDefault="00171C87"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Dossier d’information n° 8 de l’OMPI : Le règlement extrajudiciaire des litiges portant sur la propriété intellectuelle et les savoirs traditionnels, les expressions culturelles traditionnelles et les ressources génétiques, consultable à l’adresse </w:t>
      </w:r>
      <w:hyperlink r:id="rId31" w:history="1">
        <w:r w:rsidRPr="00E55DB1">
          <w:rPr>
            <w:rStyle w:val="Hyperlink"/>
            <w:rFonts w:cs="Arial"/>
            <w:color w:val="auto"/>
            <w:sz w:val="18"/>
            <w:szCs w:val="18"/>
            <w:u w:val="none"/>
          </w:rPr>
          <w:t>http://www.wipo.int/publications/fr/details.jsp?id=3877</w:t>
        </w:r>
      </w:hyperlink>
      <w:r w:rsidRPr="00E55DB1">
        <w:rPr>
          <w:rFonts w:cs="Arial"/>
          <w:sz w:val="18"/>
          <w:szCs w:val="18"/>
        </w:rPr>
        <w:t xml:space="preserve">.  </w:t>
      </w:r>
    </w:p>
  </w:footnote>
  <w:footnote w:id="149">
    <w:p w:rsidR="00171C87" w:rsidRPr="00E55DB1" w:rsidRDefault="00171C87"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p>
  </w:footnote>
  <w:footnote w:id="150">
    <w:p w:rsidR="00171C87" w:rsidRPr="00E55DB1" w:rsidRDefault="00171C87"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171C87" w:rsidRPr="00E55DB1" w:rsidRDefault="00171C87"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171C87" w:rsidRPr="00E55DB1" w:rsidRDefault="00171C87"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 : the Protection of Sacred Intangible Traditional Knowledge, 11 Cardozo J. Int’l &amp; Comp.  L. 467, 469 490 (2003).</w:t>
      </w:r>
    </w:p>
  </w:footnote>
  <w:footnote w:id="153">
    <w:p w:rsidR="00171C87" w:rsidRPr="00E55DB1" w:rsidRDefault="00171C87"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54">
    <w:p w:rsidR="00171C87" w:rsidRPr="00E55DB1" w:rsidRDefault="00171C87"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 xml:space="preserve">le Rapport de l’OMPI sur les missions d’enquête consacrées à la propriété intellectuelle et aux savoirs traditionnels </w:t>
      </w:r>
      <w:r w:rsidRPr="00E55DB1">
        <w:rPr>
          <w:rFonts w:cs="Arial"/>
          <w:noProof/>
          <w:sz w:val="18"/>
          <w:szCs w:val="18"/>
        </w:rPr>
        <w:t>(1998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171, disponible à l’adresse </w:t>
      </w:r>
      <w:hyperlink r:id="rId32" w:history="1">
        <w:r w:rsidRPr="00E55DB1">
          <w:rPr>
            <w:rStyle w:val="Hyperlink"/>
            <w:rFonts w:cs="Arial"/>
            <w:color w:val="auto"/>
            <w:sz w:val="18"/>
            <w:szCs w:val="18"/>
            <w:u w:val="none"/>
          </w:rPr>
          <w:t>http://www.wipo.int/edocs/pubdocs/fr/tk/768/wipo_pub_768.pdf</w:t>
        </w:r>
      </w:hyperlink>
      <w:r w:rsidRPr="00E55DB1">
        <w:rPr>
          <w:rFonts w:cs="Arial"/>
          <w:noProof/>
          <w:sz w:val="18"/>
          <w:szCs w:val="18"/>
        </w:rPr>
        <w:t>.</w:t>
      </w:r>
    </w:p>
  </w:footnote>
  <w:footnote w:id="155">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noBreakHyphen/>
      </w:r>
      <w:r w:rsidRPr="00E55DB1">
        <w:rPr>
          <w:rFonts w:cs="Arial"/>
          <w:noProof/>
          <w:sz w:val="18"/>
          <w:szCs w:val="18"/>
        </w:rPr>
        <w:t>Zélande durant la onzième session du comité.  Voir le paragraphe 220 du rapport adopté durant la onzième session (WIPO/GRTKF/IC/11/15).</w:t>
      </w:r>
    </w:p>
  </w:footnote>
  <w:footnote w:id="156">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onzième session du comité.  Voir le paragraphe 296 du rapport adopté durant la onzième session (WIPO/GRTKF/IC/11/15).</w:t>
      </w:r>
    </w:p>
  </w:footnote>
  <w:footnote w:id="157">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171C87" w:rsidRPr="00E55DB1" w:rsidRDefault="00171C87"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Rapport de l’OMPI sur les missions d’enquête consacrées </w:t>
      </w:r>
      <w:r w:rsidRPr="00E55DB1">
        <w:rPr>
          <w:rFonts w:cs="Arial"/>
          <w:iCs/>
          <w:noProof/>
          <w:sz w:val="18"/>
          <w:szCs w:val="18"/>
        </w:rPr>
        <w:t>à la propriété intellectuelle et aux savoirs traditionnels (1998</w:t>
      </w:r>
      <w:r>
        <w:rPr>
          <w:rFonts w:cs="Arial"/>
          <w:iCs/>
          <w:noProof/>
          <w:sz w:val="18"/>
          <w:szCs w:val="18"/>
        </w:rPr>
        <w:noBreakHyphen/>
      </w:r>
      <w:r w:rsidRPr="00E55DB1">
        <w:rPr>
          <w:rFonts w:cs="Arial"/>
          <w:iCs/>
          <w:noProof/>
          <w:sz w:val="18"/>
          <w:szCs w:val="18"/>
        </w:rPr>
        <w:t xml:space="preserve">1999), intitulé “Savoirs traditionnels :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25, disponible à l’adresse </w:t>
      </w:r>
      <w:hyperlink r:id="rId3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160">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noBreakHyphen/>
      </w:r>
      <w:r w:rsidRPr="00E55DB1">
        <w:rPr>
          <w:rFonts w:cs="Arial"/>
          <w:noProof/>
          <w:sz w:val="18"/>
          <w:szCs w:val="18"/>
        </w:rPr>
        <w:t>1800 av. J.</w:t>
      </w:r>
      <w:r>
        <w:rPr>
          <w:rFonts w:cs="Arial"/>
          <w:noProof/>
          <w:sz w:val="18"/>
          <w:szCs w:val="18"/>
        </w:rPr>
        <w:noBreakHyphen/>
      </w:r>
      <w:r w:rsidRPr="00E55DB1">
        <w:rPr>
          <w:rFonts w:cs="Arial"/>
          <w:noProof/>
          <w:sz w:val="18"/>
          <w:szCs w:val="18"/>
        </w:rPr>
        <w:t>C.), mentionnés de très nombreuses fois dans le Rigveda et l’Atharvaveda.</w:t>
      </w:r>
    </w:p>
  </w:footnote>
  <w:footnote w:id="162">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55DB1">
        <w:rPr>
          <w:rFonts w:cs="Arial"/>
          <w:noProof/>
          <w:sz w:val="18"/>
          <w:szCs w:val="18"/>
        </w:rPr>
        <w:t>C.</w:t>
      </w:r>
    </w:p>
  </w:footnote>
  <w:footnote w:id="163">
    <w:p w:rsidR="00171C87" w:rsidRPr="00E55DB1" w:rsidRDefault="00171C87"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 xml:space="preserve">Voir également l’ouvrage de Karin Timmermans et Togi Hutadjulu intitulé </w:t>
      </w:r>
      <w:r w:rsidRPr="00E55DB1">
        <w:rPr>
          <w:rFonts w:cs="Arial"/>
          <w:iCs/>
          <w:noProof/>
          <w:sz w:val="18"/>
          <w:szCs w:val="18"/>
          <w:lang w:val="en-US"/>
        </w:rPr>
        <w:t>“The TRIPs Agreement and Pharmaceuticals : Report of an ASEAN Workshop on the TRIPs Agreement and its Impact on Pharmaceuticals”</w:t>
      </w:r>
      <w:r w:rsidRPr="00E55DB1">
        <w:rPr>
          <w:rFonts w:cs="Arial"/>
          <w:noProof/>
          <w:sz w:val="18"/>
          <w:szCs w:val="18"/>
          <w:lang w:val="en-US"/>
        </w:rPr>
        <w:t>, page 45.</w:t>
      </w:r>
    </w:p>
  </w:footnote>
  <w:footnote w:id="164">
    <w:p w:rsidR="00171C87" w:rsidRPr="00E55DB1" w:rsidRDefault="00171C87"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deuxième session (OMPI/GRTKF/IC/2/16), paragraphe 131.</w:t>
      </w:r>
    </w:p>
  </w:footnote>
  <w:footnote w:id="165">
    <w:p w:rsidR="00171C87" w:rsidRPr="00E55DB1" w:rsidRDefault="00171C87"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171C87" w:rsidRPr="00E55DB1" w:rsidRDefault="00171C87"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171C87" w:rsidRPr="00E55DB1" w:rsidRDefault="00171C87"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169">
    <w:p w:rsidR="00171C87" w:rsidRPr="00E55DB1" w:rsidRDefault="00171C87"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l’article 8 j) de la CDB.</w:t>
      </w:r>
    </w:p>
  </w:footnote>
  <w:footnote w:id="170">
    <w:p w:rsidR="00171C87" w:rsidRPr="00E55DB1" w:rsidRDefault="00171C87"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171C87" w:rsidRPr="00E55DB1" w:rsidRDefault="00171C87"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171C87" w:rsidRPr="00E55DB1" w:rsidRDefault="00171C87"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7" w:rsidRDefault="00171C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171C87" w:rsidRDefault="00171C87">
    <w:pPr>
      <w:pStyle w:val="Header"/>
      <w:ind w:right="360"/>
    </w:pPr>
  </w:p>
  <w:p w:rsidR="00171C87" w:rsidRDefault="00171C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7" w:rsidRDefault="00171C87">
    <w:pPr>
      <w:pStyle w:val="Header"/>
      <w:jc w:val="right"/>
      <w:rPr>
        <w:szCs w:val="22"/>
      </w:rPr>
    </w:pPr>
    <w:r>
      <w:rPr>
        <w:szCs w:val="22"/>
      </w:rPr>
      <w:t>WIPO/GRTKF/IC/3</w:t>
    </w:r>
    <w:r w:rsidR="00046E92">
      <w:rPr>
        <w:szCs w:val="22"/>
      </w:rPr>
      <w:t>8</w:t>
    </w:r>
    <w:r>
      <w:rPr>
        <w:szCs w:val="22"/>
      </w:rPr>
      <w:t>/INF/7</w:t>
    </w:r>
  </w:p>
  <w:p w:rsidR="00171C87" w:rsidRDefault="00171C87">
    <w:pPr>
      <w:pStyle w:val="Header"/>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2A7EBB">
      <w:rPr>
        <w:rStyle w:val="PageNumber"/>
        <w:noProof/>
        <w:szCs w:val="22"/>
      </w:rPr>
      <w:t>2</w:t>
    </w:r>
    <w:r>
      <w:rPr>
        <w:rStyle w:val="PageNumber"/>
        <w:szCs w:val="22"/>
      </w:rPr>
      <w:fldChar w:fldCharType="end"/>
    </w:r>
  </w:p>
  <w:p w:rsidR="00171C87" w:rsidRDefault="00171C87">
    <w:pPr>
      <w:pStyle w:val="Header"/>
      <w:jc w:val="right"/>
    </w:pPr>
  </w:p>
  <w:p w:rsidR="00171C87" w:rsidRDefault="00171C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7" w:rsidRDefault="00171C87">
    <w:pPr>
      <w:pStyle w:val="Header"/>
      <w:jc w:val="right"/>
      <w:rPr>
        <w:szCs w:val="22"/>
      </w:rPr>
    </w:pPr>
    <w:r>
      <w:rPr>
        <w:szCs w:val="22"/>
      </w:rPr>
      <w:t>WIPO/GRTKF/IC/3</w:t>
    </w:r>
    <w:r w:rsidR="00046E92">
      <w:rPr>
        <w:szCs w:val="22"/>
      </w:rPr>
      <w:t>8</w:t>
    </w:r>
    <w:r>
      <w:rPr>
        <w:szCs w:val="22"/>
      </w:rPr>
      <w:t>/INF/7</w:t>
    </w:r>
  </w:p>
  <w:p w:rsidR="00171C87" w:rsidRDefault="00171C87">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2A7EBB">
      <w:rPr>
        <w:rStyle w:val="PageNumber"/>
        <w:noProof/>
        <w:szCs w:val="22"/>
      </w:rPr>
      <w:t>2</w:t>
    </w:r>
    <w:r>
      <w:rPr>
        <w:rStyle w:val="PageNumber"/>
        <w:szCs w:val="22"/>
      </w:rPr>
      <w:fldChar w:fldCharType="end"/>
    </w:r>
  </w:p>
  <w:p w:rsidR="00171C87" w:rsidRDefault="00171C87">
    <w:pPr>
      <w:pStyle w:val="Header"/>
      <w:tabs>
        <w:tab w:val="clear" w:pos="9072"/>
        <w:tab w:val="right" w:pos="9100"/>
      </w:tabs>
      <w:jc w:val="right"/>
      <w:rPr>
        <w:szCs w:val="22"/>
      </w:rPr>
    </w:pPr>
  </w:p>
  <w:p w:rsidR="00171C87" w:rsidRDefault="00171C8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7" w:rsidRPr="001E0485" w:rsidRDefault="00171C87">
    <w:pPr>
      <w:ind w:right="-1"/>
      <w:jc w:val="right"/>
      <w:rPr>
        <w:szCs w:val="22"/>
        <w:lang w:val="en-US"/>
      </w:rPr>
    </w:pPr>
    <w:r w:rsidRPr="001E0485">
      <w:rPr>
        <w:szCs w:val="22"/>
        <w:lang w:val="en-US"/>
      </w:rPr>
      <w:t>WIPO/GRTKF/IC/</w:t>
    </w:r>
    <w:r>
      <w:rPr>
        <w:szCs w:val="22"/>
        <w:lang w:val="en-US"/>
      </w:rPr>
      <w:t>3</w:t>
    </w:r>
    <w:r w:rsidR="000C34BC">
      <w:rPr>
        <w:szCs w:val="22"/>
        <w:lang w:val="en-US"/>
      </w:rPr>
      <w:t>8</w:t>
    </w:r>
    <w:r w:rsidRPr="001E0485">
      <w:rPr>
        <w:szCs w:val="22"/>
        <w:lang w:val="en-US"/>
      </w:rPr>
      <w:t>/INF/7</w:t>
    </w:r>
  </w:p>
  <w:p w:rsidR="00171C87" w:rsidRPr="001E0485" w:rsidRDefault="00171C87">
    <w:pPr>
      <w:pStyle w:val="Header"/>
      <w:jc w:val="right"/>
      <w:rPr>
        <w:szCs w:val="22"/>
        <w:lang w:val="en-US"/>
      </w:rPr>
    </w:pPr>
    <w:r w:rsidRPr="001E0485">
      <w:rPr>
        <w:szCs w:val="22"/>
        <w:lang w:val="en-US"/>
      </w:rPr>
      <w:t>ANNEXE</w:t>
    </w:r>
  </w:p>
  <w:p w:rsidR="00171C87" w:rsidRPr="001E0485" w:rsidRDefault="00171C87">
    <w:pPr>
      <w:pStyle w:val="Header"/>
      <w:jc w:val="right"/>
      <w:rPr>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7FAA"/>
    <w:rsid w:val="00065733"/>
    <w:rsid w:val="0008314B"/>
    <w:rsid w:val="00084DE6"/>
    <w:rsid w:val="00086D5E"/>
    <w:rsid w:val="0008758B"/>
    <w:rsid w:val="000A600A"/>
    <w:rsid w:val="000C0579"/>
    <w:rsid w:val="000C2C9D"/>
    <w:rsid w:val="000C34BC"/>
    <w:rsid w:val="000D2328"/>
    <w:rsid w:val="000D3BAA"/>
    <w:rsid w:val="000E194C"/>
    <w:rsid w:val="000F43F2"/>
    <w:rsid w:val="001002C1"/>
    <w:rsid w:val="001039BD"/>
    <w:rsid w:val="0012692E"/>
    <w:rsid w:val="00144745"/>
    <w:rsid w:val="00153491"/>
    <w:rsid w:val="0015588E"/>
    <w:rsid w:val="00171C87"/>
    <w:rsid w:val="00184603"/>
    <w:rsid w:val="001A0AAE"/>
    <w:rsid w:val="001C33FB"/>
    <w:rsid w:val="001E0485"/>
    <w:rsid w:val="001F7FBB"/>
    <w:rsid w:val="00204A5E"/>
    <w:rsid w:val="00214D43"/>
    <w:rsid w:val="00225416"/>
    <w:rsid w:val="002554A9"/>
    <w:rsid w:val="00263702"/>
    <w:rsid w:val="00285A43"/>
    <w:rsid w:val="002A016C"/>
    <w:rsid w:val="002A7EBB"/>
    <w:rsid w:val="002B36FC"/>
    <w:rsid w:val="002C52C4"/>
    <w:rsid w:val="002C7F2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40085A"/>
    <w:rsid w:val="00422819"/>
    <w:rsid w:val="00423AA2"/>
    <w:rsid w:val="00431983"/>
    <w:rsid w:val="00436E83"/>
    <w:rsid w:val="004401F3"/>
    <w:rsid w:val="00467A45"/>
    <w:rsid w:val="0047417E"/>
    <w:rsid w:val="00492E7E"/>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4EE8"/>
    <w:rsid w:val="005D623B"/>
    <w:rsid w:val="005E6B76"/>
    <w:rsid w:val="00601FC5"/>
    <w:rsid w:val="0061367E"/>
    <w:rsid w:val="006271F4"/>
    <w:rsid w:val="00661DEC"/>
    <w:rsid w:val="006743DF"/>
    <w:rsid w:val="006A102A"/>
    <w:rsid w:val="006A33F8"/>
    <w:rsid w:val="006A3D99"/>
    <w:rsid w:val="006B25AE"/>
    <w:rsid w:val="006C4BAC"/>
    <w:rsid w:val="006D53E0"/>
    <w:rsid w:val="006D55A8"/>
    <w:rsid w:val="006E4D63"/>
    <w:rsid w:val="006F7763"/>
    <w:rsid w:val="007019FF"/>
    <w:rsid w:val="00717A53"/>
    <w:rsid w:val="00717B33"/>
    <w:rsid w:val="007375C9"/>
    <w:rsid w:val="00744AD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B152D"/>
    <w:rsid w:val="008B4120"/>
    <w:rsid w:val="008D4439"/>
    <w:rsid w:val="00902F68"/>
    <w:rsid w:val="009031AF"/>
    <w:rsid w:val="00903B5D"/>
    <w:rsid w:val="00906122"/>
    <w:rsid w:val="00912E24"/>
    <w:rsid w:val="00923DCD"/>
    <w:rsid w:val="00934FDD"/>
    <w:rsid w:val="00940C00"/>
    <w:rsid w:val="009449A2"/>
    <w:rsid w:val="00957D11"/>
    <w:rsid w:val="00972E56"/>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D42C0"/>
    <w:rsid w:val="00AE09FC"/>
    <w:rsid w:val="00AE5194"/>
    <w:rsid w:val="00AE5852"/>
    <w:rsid w:val="00AE6488"/>
    <w:rsid w:val="00AE66F5"/>
    <w:rsid w:val="00AF32FD"/>
    <w:rsid w:val="00B2260F"/>
    <w:rsid w:val="00B354B7"/>
    <w:rsid w:val="00B52385"/>
    <w:rsid w:val="00B65569"/>
    <w:rsid w:val="00B8630C"/>
    <w:rsid w:val="00BA2CDF"/>
    <w:rsid w:val="00BD4DE0"/>
    <w:rsid w:val="00BE4D4C"/>
    <w:rsid w:val="00BE7E0E"/>
    <w:rsid w:val="00C069E2"/>
    <w:rsid w:val="00C10455"/>
    <w:rsid w:val="00C21AB4"/>
    <w:rsid w:val="00C27F71"/>
    <w:rsid w:val="00C33F04"/>
    <w:rsid w:val="00C42572"/>
    <w:rsid w:val="00C430F7"/>
    <w:rsid w:val="00C4686F"/>
    <w:rsid w:val="00C635E5"/>
    <w:rsid w:val="00C66075"/>
    <w:rsid w:val="00C72281"/>
    <w:rsid w:val="00C72D25"/>
    <w:rsid w:val="00C83181"/>
    <w:rsid w:val="00C9238D"/>
    <w:rsid w:val="00CA352C"/>
    <w:rsid w:val="00CD24D4"/>
    <w:rsid w:val="00CE7061"/>
    <w:rsid w:val="00CF577F"/>
    <w:rsid w:val="00D050A0"/>
    <w:rsid w:val="00D05100"/>
    <w:rsid w:val="00D15D42"/>
    <w:rsid w:val="00D337E4"/>
    <w:rsid w:val="00D41D90"/>
    <w:rsid w:val="00D61F7F"/>
    <w:rsid w:val="00D63E89"/>
    <w:rsid w:val="00D67152"/>
    <w:rsid w:val="00D7422E"/>
    <w:rsid w:val="00D81740"/>
    <w:rsid w:val="00D85F2A"/>
    <w:rsid w:val="00D91C97"/>
    <w:rsid w:val="00DA3BB7"/>
    <w:rsid w:val="00DC0787"/>
    <w:rsid w:val="00DC26CA"/>
    <w:rsid w:val="00DC5C9E"/>
    <w:rsid w:val="00DD607D"/>
    <w:rsid w:val="00E0296C"/>
    <w:rsid w:val="00E16C51"/>
    <w:rsid w:val="00E23777"/>
    <w:rsid w:val="00E47710"/>
    <w:rsid w:val="00E55DB1"/>
    <w:rsid w:val="00E578FA"/>
    <w:rsid w:val="00E667D8"/>
    <w:rsid w:val="00E745AA"/>
    <w:rsid w:val="00E8642C"/>
    <w:rsid w:val="00E91306"/>
    <w:rsid w:val="00E94160"/>
    <w:rsid w:val="00EA3636"/>
    <w:rsid w:val="00EA730B"/>
    <w:rsid w:val="00EB3989"/>
    <w:rsid w:val="00EF6794"/>
    <w:rsid w:val="00F017C6"/>
    <w:rsid w:val="00F14F6F"/>
    <w:rsid w:val="00F24435"/>
    <w:rsid w:val="00F25B2F"/>
    <w:rsid w:val="00F26BC9"/>
    <w:rsid w:val="00F41777"/>
    <w:rsid w:val="00F63B33"/>
    <w:rsid w:val="00F665F6"/>
    <w:rsid w:val="00F75BDB"/>
    <w:rsid w:val="00F845B9"/>
    <w:rsid w:val="00F926C9"/>
    <w:rsid w:val="00FC3D53"/>
    <w:rsid w:val="00FC5D5B"/>
    <w:rsid w:val="00FC6E72"/>
    <w:rsid w:val="00FC6FC9"/>
    <w:rsid w:val="00FD5442"/>
    <w:rsid w:val="00FF294E"/>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tkdl.res.in/tkdl/langdefault/common/TKRC.asp?GL=Eng" TargetMode="External"/><Relationship Id="rId13" Type="http://schemas.openxmlformats.org/officeDocument/2006/relationships/hyperlink" Target="https://www.gpo.gov/fdsys/pkg/USCODE-2011-title35/pdf/USCODE-2011-title35-partII-chap14-sec151.pdf" TargetMode="External"/><Relationship Id="rId18" Type="http://schemas.openxmlformats.org/officeDocument/2006/relationships/hyperlink" Target="http://www.wipo.int/publications/fr/details.jsp?id=4235" TargetMode="External"/><Relationship Id="rId26" Type="http://schemas.openxmlformats.org/officeDocument/2006/relationships/hyperlink" Target="http://www.ifad.org/english/indigenous/documents/ip_policy_f.pdf" TargetMode="External"/><Relationship Id="rId3" Type="http://schemas.openxmlformats.org/officeDocument/2006/relationships/hyperlink" Target="https://www.uspto.gov/web/offices/pac/mpep/s2158.html" TargetMode="External"/><Relationship Id="rId21" Type="http://schemas.openxmlformats.org/officeDocument/2006/relationships/hyperlink" Target="https://www.uspto.gov/web/offices/pac/mpep/mpep-9015-appx-l.html%23al_d1fbe1_19797_b0" TargetMode="External"/><Relationship Id="rId7" Type="http://schemas.openxmlformats.org/officeDocument/2006/relationships/hyperlink" Target="http://www.oecd.org/fr/sti/biotech/definitionstatistiquedelabiotechnologiemiseajouren2005.htm" TargetMode="External"/><Relationship Id="rId12" Type="http://schemas.openxmlformats.org/officeDocument/2006/relationships/hyperlink" Target="https://www.uspto.gov/web/offices/pac/mpep/mpep-9015-appx-l.html%23al_d1fbe1_19797_b0" TargetMode="External"/><Relationship Id="rId17" Type="http://schemas.openxmlformats.org/officeDocument/2006/relationships/hyperlink" Target="http://www.vocabularyserver.com/unesco/en/index.php?tema=2526&amp;/cultural-identity" TargetMode="External"/><Relationship Id="rId25" Type="http://schemas.openxmlformats.org/officeDocument/2006/relationships/hyperlink" Target="http://www.fao.org/docrep/013/i1857f/i1857f00.pdf" TargetMode="External"/><Relationship Id="rId33" Type="http://schemas.openxmlformats.org/officeDocument/2006/relationships/hyperlink" Target="http://www.wipo.int/publications/fr/details.jsp?id=283&amp;plang=EN" TargetMode="External"/><Relationship Id="rId2" Type="http://schemas.openxmlformats.org/officeDocument/2006/relationships/hyperlink" Target="http://www.fao.org/3/a-be623e.pdf" TargetMode="External"/><Relationship Id="rId16" Type="http://schemas.openxmlformats.org/officeDocument/2006/relationships/hyperlink" Target="http://www.wipo.int/publications/fr/details.jsp?id=4194" TargetMode="External"/><Relationship Id="rId20" Type="http://schemas.openxmlformats.org/officeDocument/2006/relationships/hyperlink" Target="https://www.unenvironment.org/resources/report/glossary-terms-negotiators-multilateral-environmental-agreements" TargetMode="External"/><Relationship Id="rId29" Type="http://schemas.openxmlformats.org/officeDocument/2006/relationships/hyperlink" Target="http://www.law.duke.edu/cspd/itkpaper" TargetMode="External"/><Relationship Id="rId1" Type="http://schemas.openxmlformats.org/officeDocument/2006/relationships/hyperlink" Target="http://www.wipo.int/tk/en/databases/contracts/index.html" TargetMode="External"/><Relationship Id="rId6" Type="http://schemas.openxmlformats.org/officeDocument/2006/relationships/hyperlink" Target="http://www.fao.org/biotech/fao-statement-on-biotechnology/fr/" TargetMode="External"/><Relationship Id="rId11" Type="http://schemas.openxmlformats.org/officeDocument/2006/relationships/hyperlink" Target="http://www.wipo.int/export/sites/www/tk/en/resources/pdf/overview_customary_law.pdf" TargetMode="External"/><Relationship Id="rId24" Type="http://schemas.openxmlformats.org/officeDocument/2006/relationships/hyperlink" Target="http://wedocs.unep.org/handle/20.500.11822/7569" TargetMode="External"/><Relationship Id="rId32" Type="http://schemas.openxmlformats.org/officeDocument/2006/relationships/hyperlink" Target="http://www.wipo.int/edocs/pubdocs/fr/tk/768/wipo_pub_768.pdf" TargetMode="External"/><Relationship Id="rId5" Type="http://schemas.openxmlformats.org/officeDocument/2006/relationships/hyperlink" Target="http://www.wipo.int/publications/fr/details.jsp?id=283&amp;plang=EN" TargetMode="External"/><Relationship Id="rId15" Type="http://schemas.openxmlformats.org/officeDocument/2006/relationships/hyperlink" Target="http://www.wipo.int/wipolex/fr/details.jsp?id=16061" TargetMode="External"/><Relationship Id="rId23" Type="http://schemas.openxmlformats.org/officeDocument/2006/relationships/hyperlink" Target="https://www.gpo.gov/fdsys/pkg/USCODE-2011-title35/pdf/USCODE-2011-title35-partII-chap11-sec122.pdf" TargetMode="External"/><Relationship Id="rId28" Type="http://schemas.openxmlformats.org/officeDocument/2006/relationships/hyperlink" Target="http://www.wipo.int/export/sites/www/tk/en/resources/pdf/overview_customary_law.pdf" TargetMode="External"/><Relationship Id="rId10" Type="http://schemas.openxmlformats.org/officeDocument/2006/relationships/hyperlink" Target="http://www.wipo.int/pct/fr/texts/glossary.html%23D" TargetMode="External"/><Relationship Id="rId19" Type="http://schemas.openxmlformats.org/officeDocument/2006/relationships/hyperlink" Target="http://www.wipo.int/copyright/fr/limitations/index.html" TargetMode="External"/><Relationship Id="rId31" Type="http://schemas.openxmlformats.org/officeDocument/2006/relationships/hyperlink" Target="http://www.wipo.int/publications/fr/details.jsp?id=3877" TargetMode="External"/><Relationship Id="rId4" Type="http://schemas.openxmlformats.org/officeDocument/2006/relationships/hyperlink" Target="http://www.wipo.int/tk/en/databases/contracts/index.html" TargetMode="External"/><Relationship Id="rId9" Type="http://schemas.openxmlformats.org/officeDocument/2006/relationships/hyperlink" Target="http://www.un.org/fr/universal-declaration-human-rights/" TargetMode="External"/><Relationship Id="rId14" Type="http://schemas.openxmlformats.org/officeDocument/2006/relationships/hyperlink" Target="https://www.gpo.gov/fdsys/pkg/USCODE-2011-title35/pdf/USCODE-2011-title35-partII-chap11-sec122.pdf" TargetMode="External"/><Relationship Id="rId22" Type="http://schemas.openxmlformats.org/officeDocument/2006/relationships/hyperlink" Target="https://www.gpo.gov/fdsys/pkg/USCODE-2011-title35/pdf/USCODE-2011-title35-partII-chap14-sec151.pdf" TargetMode="External"/><Relationship Id="rId27" Type="http://schemas.openxmlformats.org/officeDocument/2006/relationships/hyperlink" Target="http://www.undp.org/content/undp/en/home/librarypage/environment-energy/local_development/undp-and-indigenous-peoples-a-policy-of-engagement.html" TargetMode="External"/><Relationship Id="rId30" Type="http://schemas.openxmlformats.org/officeDocument/2006/relationships/hyperlink" Target="http://www.wipo.int/wipolex/fr/details.jsp?id=3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794B-7443-4F3E-9E20-B79DBEB0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55</Pages>
  <Words>23955</Words>
  <Characters>141087</Characters>
  <Application>Microsoft Office Word</Application>
  <DocSecurity>0</DocSecurity>
  <Lines>1175</Lines>
  <Paragraphs>329</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164713</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ROURE Cécile</cp:lastModifiedBy>
  <cp:revision>34</cp:revision>
  <cp:lastPrinted>2018-01-30T11:57:00Z</cp:lastPrinted>
  <dcterms:created xsi:type="dcterms:W3CDTF">2018-05-02T09:04:00Z</dcterms:created>
  <dcterms:modified xsi:type="dcterms:W3CDTF">2018-10-12T09:15:00Z</dcterms:modified>
</cp:coreProperties>
</file>