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E6862" w:rsidRPr="00AE6862" w:rsidTr="00E86CF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1532D" w:rsidRPr="00AE6862" w:rsidRDefault="00E1532D" w:rsidP="00E86CFD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1532D" w:rsidRPr="00AE6862" w:rsidRDefault="00E1532D" w:rsidP="00E86CFD">
            <w:pPr>
              <w:rPr>
                <w:lang w:val="fr-FR"/>
              </w:rPr>
            </w:pPr>
            <w:r w:rsidRPr="00AE6862">
              <w:rPr>
                <w:noProof/>
                <w:lang w:val="fr-FR" w:eastAsia="fr-FR"/>
              </w:rPr>
              <w:drawing>
                <wp:inline distT="0" distB="0" distL="0" distR="0" wp14:anchorId="04DE3025" wp14:editId="5AE9BBF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1532D" w:rsidRPr="00AE6862" w:rsidRDefault="00E1532D" w:rsidP="00E86CFD">
            <w:pPr>
              <w:jc w:val="right"/>
              <w:rPr>
                <w:lang w:val="fr-FR"/>
              </w:rPr>
            </w:pPr>
            <w:r w:rsidRPr="00AE686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E6862" w:rsidRPr="00AE6862" w:rsidTr="00E86CF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1532D" w:rsidRPr="00AE6862" w:rsidRDefault="00E1532D" w:rsidP="00E1532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AE6862">
              <w:rPr>
                <w:rFonts w:ascii="Arial Black" w:hAnsi="Arial Black"/>
                <w:caps/>
                <w:sz w:val="15"/>
                <w:lang w:val="fr-FR"/>
              </w:rPr>
              <w:t>WIPO</w:t>
            </w:r>
            <w:proofErr w:type="spellEnd"/>
            <w:r w:rsidRPr="00AE6862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AE6862">
              <w:rPr>
                <w:rFonts w:ascii="Arial Black" w:hAnsi="Arial Black"/>
                <w:caps/>
                <w:sz w:val="15"/>
                <w:lang w:val="fr-FR"/>
              </w:rPr>
              <w:t>GRTKF</w:t>
            </w:r>
            <w:proofErr w:type="spellEnd"/>
            <w:r w:rsidRPr="00AE6862">
              <w:rPr>
                <w:rFonts w:ascii="Arial Black" w:hAnsi="Arial Black"/>
                <w:caps/>
                <w:sz w:val="15"/>
                <w:lang w:val="fr-FR"/>
              </w:rPr>
              <w:t>/IC/40/</w:t>
            </w:r>
            <w:bookmarkStart w:id="1" w:name="Code"/>
            <w:bookmarkEnd w:id="1"/>
            <w:proofErr w:type="spellStart"/>
            <w:r w:rsidRPr="00AE6862">
              <w:rPr>
                <w:rFonts w:ascii="Arial Black" w:hAnsi="Arial Black"/>
                <w:caps/>
                <w:sz w:val="15"/>
                <w:lang w:val="fr-FR"/>
              </w:rPr>
              <w:t>INF</w:t>
            </w:r>
            <w:proofErr w:type="spellEnd"/>
            <w:r w:rsidRPr="00AE6862">
              <w:rPr>
                <w:rFonts w:ascii="Arial Black" w:hAnsi="Arial Black"/>
                <w:caps/>
                <w:sz w:val="15"/>
                <w:lang w:val="fr-FR"/>
              </w:rPr>
              <w:t>/5</w:t>
            </w:r>
          </w:p>
        </w:tc>
      </w:tr>
      <w:tr w:rsidR="00AE6862" w:rsidRPr="00AE6862" w:rsidTr="00E86CF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1532D" w:rsidRPr="00AE6862" w:rsidRDefault="00E1532D" w:rsidP="00E86CF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6862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210A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E686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AE6862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AE6862" w:rsidRPr="00AE6862" w:rsidTr="00E86CF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1532D" w:rsidRPr="00AE6862" w:rsidRDefault="00E1532D" w:rsidP="00E1532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6862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210A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E686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AE6862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2210AD" w:rsidRPr="00AE6862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2210A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210AD" w:rsidRPr="00AE6862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 w:rsidR="002210A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210AD" w:rsidRPr="00AE6862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AE6862">
              <w:rPr>
                <w:rFonts w:ascii="Arial Black" w:hAnsi="Arial Black"/>
                <w:caps/>
                <w:sz w:val="15"/>
                <w:lang w:val="fr-FR"/>
              </w:rPr>
              <w:t xml:space="preserve">19 </w:t>
            </w:r>
          </w:p>
        </w:tc>
      </w:tr>
    </w:tbl>
    <w:p w:rsidR="00E1532D" w:rsidRPr="00AE6862" w:rsidRDefault="00E1532D" w:rsidP="00E1532D">
      <w:pPr>
        <w:rPr>
          <w:lang w:val="fr-FR"/>
        </w:rPr>
      </w:pPr>
    </w:p>
    <w:p w:rsidR="00E1532D" w:rsidRPr="00AE6862" w:rsidRDefault="00E1532D" w:rsidP="00E1532D">
      <w:pPr>
        <w:rPr>
          <w:lang w:val="fr-FR"/>
        </w:rPr>
      </w:pPr>
    </w:p>
    <w:p w:rsidR="00E1532D" w:rsidRPr="00AE6862" w:rsidRDefault="00E1532D" w:rsidP="00E1532D">
      <w:pPr>
        <w:rPr>
          <w:lang w:val="fr-FR"/>
        </w:rPr>
      </w:pPr>
    </w:p>
    <w:p w:rsidR="00E1532D" w:rsidRPr="00AE6862" w:rsidRDefault="00E1532D" w:rsidP="00E1532D">
      <w:pPr>
        <w:rPr>
          <w:lang w:val="fr-FR"/>
        </w:rPr>
      </w:pPr>
    </w:p>
    <w:p w:rsidR="00E1532D" w:rsidRPr="00AE6862" w:rsidRDefault="00E1532D" w:rsidP="00E1532D">
      <w:pPr>
        <w:rPr>
          <w:lang w:val="fr-FR"/>
        </w:rPr>
      </w:pPr>
    </w:p>
    <w:p w:rsidR="00E1532D" w:rsidRPr="00AE6862" w:rsidRDefault="00E1532D" w:rsidP="00E1532D">
      <w:pPr>
        <w:rPr>
          <w:b/>
          <w:sz w:val="28"/>
          <w:szCs w:val="28"/>
          <w:lang w:val="fr-FR"/>
        </w:rPr>
      </w:pPr>
      <w:r w:rsidRPr="00AE6862">
        <w:rPr>
          <w:b/>
          <w:sz w:val="28"/>
          <w:szCs w:val="28"/>
          <w:lang w:val="fr-FR"/>
        </w:rPr>
        <w:t xml:space="preserve">Comité </w:t>
      </w:r>
      <w:proofErr w:type="spellStart"/>
      <w:r w:rsidRPr="00AE6862">
        <w:rPr>
          <w:b/>
          <w:sz w:val="28"/>
          <w:szCs w:val="28"/>
          <w:lang w:val="fr-FR"/>
        </w:rPr>
        <w:t>intergouvernemental</w:t>
      </w:r>
      <w:proofErr w:type="spellEnd"/>
      <w:r w:rsidRPr="00AE6862">
        <w:rPr>
          <w:b/>
          <w:sz w:val="28"/>
          <w:szCs w:val="28"/>
          <w:lang w:val="fr-FR"/>
        </w:rPr>
        <w:t xml:space="preserve"> de la propriété intellectuelle relative aux</w:t>
      </w:r>
      <w:r w:rsidR="00AE6862">
        <w:rPr>
          <w:b/>
          <w:sz w:val="28"/>
          <w:szCs w:val="28"/>
          <w:lang w:val="fr-FR"/>
        </w:rPr>
        <w:t> </w:t>
      </w:r>
      <w:r w:rsidRPr="00AE6862">
        <w:rPr>
          <w:b/>
          <w:sz w:val="28"/>
          <w:szCs w:val="28"/>
          <w:lang w:val="fr-FR"/>
        </w:rPr>
        <w:t>ressources génétiques, aux savoirs traditionnels et au folklore</w:t>
      </w:r>
    </w:p>
    <w:p w:rsidR="00E1532D" w:rsidRPr="00AE6862" w:rsidRDefault="00E1532D" w:rsidP="00E1532D">
      <w:pPr>
        <w:rPr>
          <w:lang w:val="fr-FR"/>
        </w:rPr>
      </w:pPr>
    </w:p>
    <w:p w:rsidR="00E1532D" w:rsidRPr="00AE6862" w:rsidRDefault="00E1532D" w:rsidP="00E1532D">
      <w:pPr>
        <w:rPr>
          <w:lang w:val="fr-FR"/>
        </w:rPr>
      </w:pPr>
    </w:p>
    <w:p w:rsidR="00E1532D" w:rsidRPr="00AE6862" w:rsidRDefault="00E1532D" w:rsidP="00E1532D">
      <w:pPr>
        <w:rPr>
          <w:b/>
          <w:sz w:val="24"/>
          <w:szCs w:val="24"/>
          <w:lang w:val="fr-FR"/>
        </w:rPr>
      </w:pPr>
      <w:r w:rsidRPr="00AE6862">
        <w:rPr>
          <w:b/>
          <w:sz w:val="24"/>
          <w:szCs w:val="24"/>
          <w:lang w:val="fr-FR"/>
        </w:rPr>
        <w:t>Quarant</w:t>
      </w:r>
      <w:r w:rsidR="002210AD">
        <w:rPr>
          <w:b/>
          <w:sz w:val="24"/>
          <w:szCs w:val="24"/>
          <w:lang w:val="fr-FR"/>
        </w:rPr>
        <w:t>ième session</w:t>
      </w:r>
    </w:p>
    <w:p w:rsidR="00E1532D" w:rsidRPr="00AE6862" w:rsidRDefault="00E1532D" w:rsidP="00E1532D">
      <w:pPr>
        <w:rPr>
          <w:b/>
          <w:sz w:val="24"/>
          <w:szCs w:val="24"/>
          <w:lang w:val="fr-FR"/>
        </w:rPr>
      </w:pPr>
      <w:r w:rsidRPr="00AE6862">
        <w:rPr>
          <w:b/>
          <w:sz w:val="24"/>
          <w:szCs w:val="24"/>
          <w:lang w:val="fr-FR"/>
        </w:rPr>
        <w:t>Genève, 17 – 21 juin 2019</w:t>
      </w:r>
    </w:p>
    <w:p w:rsidR="00E1532D" w:rsidRPr="00AE6862" w:rsidRDefault="00E1532D" w:rsidP="00E1532D">
      <w:pPr>
        <w:rPr>
          <w:lang w:val="fr-FR"/>
        </w:rPr>
      </w:pPr>
    </w:p>
    <w:p w:rsidR="00E1532D" w:rsidRPr="00AE6862" w:rsidRDefault="00E1532D" w:rsidP="00E1532D">
      <w:pPr>
        <w:rPr>
          <w:lang w:val="fr-FR"/>
        </w:rPr>
      </w:pPr>
    </w:p>
    <w:p w:rsidR="00E1532D" w:rsidRPr="00AE6862" w:rsidRDefault="00E1532D" w:rsidP="00E1532D">
      <w:pPr>
        <w:rPr>
          <w:lang w:val="fr-FR"/>
        </w:rPr>
      </w:pPr>
    </w:p>
    <w:p w:rsidR="00092850" w:rsidRPr="00AE6862" w:rsidRDefault="001F4C32" w:rsidP="001F4C32">
      <w:pPr>
        <w:rPr>
          <w:caps/>
          <w:sz w:val="24"/>
        </w:rPr>
      </w:pPr>
      <w:r w:rsidRPr="00AE6862">
        <w:rPr>
          <w:caps/>
          <w:sz w:val="24"/>
        </w:rPr>
        <w:t>Note d</w:t>
      </w:r>
      <w:r w:rsidR="002210AD">
        <w:rPr>
          <w:caps/>
          <w:sz w:val="24"/>
        </w:rPr>
        <w:t>’</w:t>
      </w:r>
      <w:r w:rsidRPr="00AE6862">
        <w:rPr>
          <w:caps/>
          <w:sz w:val="24"/>
        </w:rPr>
        <w:t>information à l</w:t>
      </w:r>
      <w:r w:rsidR="002210AD">
        <w:rPr>
          <w:caps/>
          <w:sz w:val="24"/>
        </w:rPr>
        <w:t>’</w:t>
      </w:r>
      <w:r w:rsidRPr="00AE6862">
        <w:rPr>
          <w:caps/>
          <w:sz w:val="24"/>
        </w:rPr>
        <w:t>intention du Groupe d</w:t>
      </w:r>
      <w:r w:rsidR="002210AD">
        <w:rPr>
          <w:caps/>
          <w:sz w:val="24"/>
        </w:rPr>
        <w:t>’</w:t>
      </w:r>
      <w:r w:rsidRPr="00AE6862">
        <w:rPr>
          <w:caps/>
          <w:sz w:val="24"/>
        </w:rPr>
        <w:t>experts des communautés autochtones et locales</w:t>
      </w:r>
    </w:p>
    <w:p w:rsidR="00092850" w:rsidRPr="00AE6862" w:rsidRDefault="00092850" w:rsidP="00D264B2"/>
    <w:p w:rsidR="00092850" w:rsidRPr="00AE6862" w:rsidRDefault="001F4C32" w:rsidP="001F4C32">
      <w:pPr>
        <w:rPr>
          <w:i/>
        </w:rPr>
      </w:pPr>
      <w:r w:rsidRPr="00AE6862">
        <w:rPr>
          <w:i/>
        </w:rPr>
        <w:t>Document établi par le Secrétariat</w:t>
      </w:r>
    </w:p>
    <w:p w:rsidR="00092850" w:rsidRPr="00AE6862" w:rsidRDefault="00092850" w:rsidP="00D264B2">
      <w:pPr>
        <w:rPr>
          <w:i/>
        </w:rPr>
      </w:pPr>
    </w:p>
    <w:p w:rsidR="00092850" w:rsidRPr="00AE6862" w:rsidRDefault="00092850" w:rsidP="00D264B2">
      <w:pPr>
        <w:rPr>
          <w:i/>
        </w:rPr>
      </w:pPr>
    </w:p>
    <w:p w:rsidR="00092850" w:rsidRPr="00AE6862" w:rsidRDefault="00092850" w:rsidP="00D264B2">
      <w:pPr>
        <w:rPr>
          <w:i/>
        </w:rPr>
      </w:pPr>
    </w:p>
    <w:p w:rsidR="00092850" w:rsidRPr="00AE6862" w:rsidRDefault="00092850" w:rsidP="00D264B2">
      <w:pPr>
        <w:rPr>
          <w:i/>
        </w:rPr>
      </w:pPr>
    </w:p>
    <w:p w:rsidR="00AE6862" w:rsidRDefault="00FD2FE1" w:rsidP="00AE6862">
      <w:pPr>
        <w:pStyle w:val="ONUMFS"/>
      </w:pPr>
      <w:r w:rsidRPr="00AE6862">
        <w:t>À sa sept</w:t>
      </w:r>
      <w:r w:rsidR="002210AD">
        <w:t>ième session</w:t>
      </w:r>
      <w:r w:rsidRPr="00AE6862">
        <w:t xml:space="preserve">, le Comité </w:t>
      </w:r>
      <w:proofErr w:type="spellStart"/>
      <w:r w:rsidRPr="00AE6862">
        <w:t>intergouvernemental</w:t>
      </w:r>
      <w:proofErr w:type="spellEnd"/>
      <w:r w:rsidRPr="00AE6862">
        <w:t xml:space="preserve"> de la propriété intellectuelle relative aux ressources génétiques, aux savoirs traditionnels et au folklore (ci</w:t>
      </w:r>
      <w:r w:rsidR="002210AD">
        <w:t>-</w:t>
      </w:r>
      <w:r w:rsidRPr="00AE6862">
        <w:t>après dénommé “comité”) est convenu “que, immédiatement avant le début des sessions du comité, une demi</w:t>
      </w:r>
      <w:r w:rsidR="002210AD">
        <w:t>-</w:t>
      </w:r>
      <w:r w:rsidRPr="00AE6862">
        <w:t>journée devra être consacrée à des exposés thématiques présentés sous la présidence d</w:t>
      </w:r>
      <w:r w:rsidR="002210AD">
        <w:t>’</w:t>
      </w:r>
      <w:r w:rsidRPr="00AE6862">
        <w:t>un représentant d</w:t>
      </w:r>
      <w:r w:rsidR="002210AD">
        <w:t>’</w:t>
      </w:r>
      <w:r w:rsidRPr="00AE6862">
        <w:t>une communauté locale ou autochtone”.  Ce genre de réunion est organisé à l</w:t>
      </w:r>
      <w:r w:rsidR="002210AD">
        <w:t>’</w:t>
      </w:r>
      <w:r w:rsidRPr="00AE6862">
        <w:t xml:space="preserve">occasion de chaque session du comité </w:t>
      </w:r>
      <w:r w:rsidR="002210AD" w:rsidRPr="00AE6862">
        <w:t>depuis</w:t>
      </w:r>
      <w:r w:rsidR="002210AD">
        <w:t> </w:t>
      </w:r>
      <w:r w:rsidR="002210AD" w:rsidRPr="00AE6862">
        <w:t>2005</w:t>
      </w:r>
      <w:r w:rsidRPr="00AE6862">
        <w:t>.</w:t>
      </w:r>
    </w:p>
    <w:p w:rsidR="002210AD" w:rsidRDefault="003505F0" w:rsidP="00AE6862">
      <w:pPr>
        <w:pStyle w:val="ONUMFS"/>
      </w:pPr>
      <w:r w:rsidRPr="00AE6862">
        <w:t>Conformément au mandat de l</w:t>
      </w:r>
      <w:r w:rsidR="002210AD">
        <w:t>’</w:t>
      </w:r>
      <w:proofErr w:type="spellStart"/>
      <w:r w:rsidRPr="00AE6862">
        <w:t>IGC</w:t>
      </w:r>
      <w:proofErr w:type="spellEnd"/>
      <w:r w:rsidRPr="00AE6862">
        <w:t xml:space="preserve"> et à son programme de travail pour l</w:t>
      </w:r>
      <w:r w:rsidR="002210AD">
        <w:t>’</w:t>
      </w:r>
      <w:r w:rsidRPr="00AE6862">
        <w:t>exercice biennal</w:t>
      </w:r>
      <w:r w:rsidR="00847E25" w:rsidRPr="00AE6862">
        <w:t> </w:t>
      </w:r>
      <w:r w:rsidRPr="00AE6862">
        <w:t>2018</w:t>
      </w:r>
      <w:r w:rsidR="002210AD">
        <w:t>-</w:t>
      </w:r>
      <w:r w:rsidRPr="00AE6862">
        <w:t>2019, la quarant</w:t>
      </w:r>
      <w:r w:rsidR="002210AD">
        <w:t>ième session</w:t>
      </w:r>
      <w:r w:rsidRPr="00AE6862">
        <w:t xml:space="preserve"> portera principalement sur les savoirs traditionnels et les expressions culturelles traditionnelles, fera le bilan des progrès accomplis et présentera une recommandation à l</w:t>
      </w:r>
      <w:r w:rsidR="002210AD">
        <w:t>’</w:t>
      </w:r>
      <w:r w:rsidRPr="00AE6862">
        <w:t>Assemblée généra</w:t>
      </w:r>
      <w:r w:rsidR="00E27B2F" w:rsidRPr="00AE6862">
        <w:t>le</w:t>
      </w:r>
      <w:r w:rsidR="00E27B2F">
        <w:t xml:space="preserve">.  </w:t>
      </w:r>
      <w:r w:rsidR="00E27B2F" w:rsidRPr="00AE6862">
        <w:t>Le</w:t>
      </w:r>
      <w:r w:rsidRPr="00AE6862">
        <w:t xml:space="preserve"> thème retenu pour cette session </w:t>
      </w:r>
      <w:r w:rsidR="008017C8" w:rsidRPr="00AE6862">
        <w:t>est</w:t>
      </w:r>
      <w:r w:rsidR="002210AD">
        <w:t> :</w:t>
      </w:r>
      <w:r w:rsidRPr="00AE6862">
        <w:t xml:space="preserve"> </w:t>
      </w:r>
      <w:r w:rsidR="00847E25" w:rsidRPr="00AE6862">
        <w:t>“</w:t>
      </w:r>
      <w:r w:rsidR="008017C8" w:rsidRPr="00AE6862">
        <w:t>La p</w:t>
      </w:r>
      <w:r w:rsidRPr="00AE6862">
        <w:t>ropriété intellectuelle</w:t>
      </w:r>
      <w:r w:rsidR="008017C8" w:rsidRPr="00AE6862">
        <w:t xml:space="preserve"> relative aux</w:t>
      </w:r>
      <w:r w:rsidRPr="00AE6862">
        <w:t xml:space="preserve"> savoirs traditionnels et expressions culturelles traditionnelles</w:t>
      </w:r>
      <w:r w:rsidR="002210AD">
        <w:t> :</w:t>
      </w:r>
      <w:r w:rsidRPr="00AE6862">
        <w:t xml:space="preserve"> points de vue des peuples autochtones et des communautés locales sur les objectifs</w:t>
      </w:r>
      <w:r w:rsidR="00847E25" w:rsidRPr="00AE6862">
        <w:t>”</w:t>
      </w:r>
      <w:r w:rsidRPr="00AE6862">
        <w:t>.</w:t>
      </w:r>
    </w:p>
    <w:p w:rsidR="00AE6862" w:rsidRDefault="003505F0" w:rsidP="00AE6862">
      <w:pPr>
        <w:pStyle w:val="ONUMFS"/>
      </w:pPr>
      <w:r w:rsidRPr="00AE6862">
        <w:t>Le programme provisoire de la réunion du groupe d</w:t>
      </w:r>
      <w:r w:rsidR="002210AD">
        <w:t>’</w:t>
      </w:r>
      <w:r w:rsidRPr="00AE6862">
        <w:t>experts pour la quarant</w:t>
      </w:r>
      <w:r w:rsidR="002210AD">
        <w:t>ième session</w:t>
      </w:r>
      <w:r w:rsidRPr="00AE6862">
        <w:t xml:space="preserve"> fait l</w:t>
      </w:r>
      <w:r w:rsidR="002210AD">
        <w:t>’</w:t>
      </w:r>
      <w:r w:rsidRPr="00AE6862">
        <w:t>objet de l</w:t>
      </w:r>
      <w:r w:rsidR="002210AD">
        <w:t>’</w:t>
      </w:r>
      <w:r w:rsidRPr="00AE6862">
        <w:t>annexe du présent document.</w:t>
      </w:r>
    </w:p>
    <w:p w:rsidR="00AE6862" w:rsidRDefault="00AE6862" w:rsidP="00AE6862"/>
    <w:p w:rsidR="00AE6862" w:rsidRDefault="00AE6862" w:rsidP="00AE6862"/>
    <w:p w:rsidR="00092850" w:rsidRPr="00AE6862" w:rsidRDefault="003505F0" w:rsidP="00AE6862">
      <w:pPr>
        <w:pStyle w:val="Endofdocument-Annex"/>
      </w:pPr>
      <w:r w:rsidRPr="00AE6862">
        <w:t>[</w:t>
      </w:r>
      <w:proofErr w:type="spellStart"/>
      <w:r w:rsidRPr="00AE6862">
        <w:t>L</w:t>
      </w:r>
      <w:r w:rsidR="002210AD">
        <w:t>’</w:t>
      </w:r>
      <w:r w:rsidRPr="00AE6862">
        <w:t>annexe</w:t>
      </w:r>
      <w:proofErr w:type="spellEnd"/>
      <w:r w:rsidRPr="00AE6862">
        <w:t xml:space="preserve"> suit]</w:t>
      </w:r>
    </w:p>
    <w:p w:rsidR="00092850" w:rsidRPr="00AE6862" w:rsidRDefault="00092850" w:rsidP="00D264B2"/>
    <w:p w:rsidR="00AE6862" w:rsidRDefault="00AE6862" w:rsidP="003505F0">
      <w:pPr>
        <w:sectPr w:rsidR="00AE6862" w:rsidSect="00AE6862">
          <w:headerReference w:type="default" r:id="rId8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2210AD" w:rsidRDefault="003505F0" w:rsidP="003505F0">
      <w:r w:rsidRPr="00AE6862">
        <w:lastRenderedPageBreak/>
        <w:t>PROGRAMME PROVISOIRE DE LA RÉUNION DU GROUPE D</w:t>
      </w:r>
      <w:r w:rsidR="002210AD">
        <w:t>’</w:t>
      </w:r>
      <w:r w:rsidRPr="00AE6862">
        <w:t>EXPERTS</w:t>
      </w:r>
    </w:p>
    <w:p w:rsidR="00092850" w:rsidRPr="00AE6862" w:rsidRDefault="00092850" w:rsidP="00D264B2"/>
    <w:p w:rsidR="00D264B2" w:rsidRPr="00AE6862" w:rsidRDefault="00D264B2" w:rsidP="00D264B2"/>
    <w:tbl>
      <w:tblPr>
        <w:tblW w:w="5000" w:type="pct"/>
        <w:tblLook w:val="0000" w:firstRow="0" w:lastRow="0" w:firstColumn="0" w:lastColumn="0" w:noHBand="0" w:noVBand="0"/>
      </w:tblPr>
      <w:tblGrid>
        <w:gridCol w:w="2127"/>
        <w:gridCol w:w="7229"/>
      </w:tblGrid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3505F0" w:rsidP="006E1293">
            <w:r w:rsidRPr="00AE6862">
              <w:rPr>
                <w:u w:val="single"/>
              </w:rPr>
              <w:t>Lundi 17</w:t>
            </w:r>
            <w:r w:rsidR="00847E25" w:rsidRPr="00AE6862">
              <w:rPr>
                <w:u w:val="single"/>
              </w:rPr>
              <w:t> </w:t>
            </w:r>
            <w:r w:rsidRPr="00AE6862">
              <w:rPr>
                <w:u w:val="single"/>
              </w:rPr>
              <w:t>juin</w:t>
            </w:r>
            <w:r w:rsidR="00847E25" w:rsidRPr="00AE6862">
              <w:rPr>
                <w:u w:val="single"/>
              </w:rPr>
              <w:t> </w:t>
            </w:r>
            <w:r w:rsidRPr="00AE6862">
              <w:rPr>
                <w:u w:val="single"/>
              </w:rPr>
              <w:t>2019</w:t>
            </w:r>
          </w:p>
        </w:tc>
        <w:tc>
          <w:tcPr>
            <w:tcW w:w="7229" w:type="dxa"/>
            <w:shd w:val="clear" w:color="auto" w:fill="auto"/>
          </w:tcPr>
          <w:p w:rsidR="00D264B2" w:rsidRPr="00AE6862" w:rsidRDefault="00D264B2" w:rsidP="006E1293"/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D264B2" w:rsidP="006E1293">
            <w:pPr>
              <w:rPr>
                <w:u w:val="single"/>
              </w:rPr>
            </w:pPr>
          </w:p>
        </w:tc>
        <w:tc>
          <w:tcPr>
            <w:tcW w:w="7229" w:type="dxa"/>
            <w:shd w:val="clear" w:color="auto" w:fill="auto"/>
          </w:tcPr>
          <w:p w:rsidR="00D264B2" w:rsidRPr="00AE6862" w:rsidRDefault="00D264B2" w:rsidP="006E1293"/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3505F0" w:rsidP="006E1293">
            <w:r w:rsidRPr="00AE6862">
              <w:t>11</w:t>
            </w:r>
            <w:r w:rsidR="008017C8" w:rsidRPr="00AE6862">
              <w:rPr>
                <w:rFonts w:ascii="Arial Unicode MS" w:eastAsia="Times New Roman" w:hAnsi="Arial Unicode MS" w:cs="Arial Unicode MS"/>
                <w:szCs w:val="22"/>
                <w:lang w:eastAsia="fr-CH"/>
              </w:rPr>
              <w:t> </w:t>
            </w:r>
            <w:r w:rsidR="006E1293">
              <w:rPr>
                <w:rFonts w:ascii="Arial Unicode MS" w:eastAsia="Times New Roman" w:hAnsi="Arial Unicode MS" w:cs="Arial Unicode MS"/>
                <w:szCs w:val="22"/>
                <w:lang w:eastAsia="fr-CH"/>
              </w:rPr>
              <w:t>h 00</w:t>
            </w:r>
            <w:r w:rsidR="00D264B2" w:rsidRPr="00AE6862"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D264B2" w:rsidRPr="00AE6862" w:rsidRDefault="003505F0" w:rsidP="006E1293">
            <w:r w:rsidRPr="00AE6862">
              <w:t>Ouverture</w:t>
            </w:r>
          </w:p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D264B2" w:rsidP="006E1293"/>
        </w:tc>
        <w:tc>
          <w:tcPr>
            <w:tcW w:w="7229" w:type="dxa"/>
            <w:shd w:val="clear" w:color="auto" w:fill="auto"/>
          </w:tcPr>
          <w:p w:rsidR="00D264B2" w:rsidRPr="00AE6862" w:rsidRDefault="00D264B2" w:rsidP="006E1293"/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D264B2" w:rsidP="006E1293"/>
        </w:tc>
        <w:tc>
          <w:tcPr>
            <w:tcW w:w="7229" w:type="dxa"/>
            <w:shd w:val="clear" w:color="auto" w:fill="auto"/>
          </w:tcPr>
          <w:p w:rsidR="00D264B2" w:rsidRPr="00AE6862" w:rsidRDefault="003505F0" w:rsidP="006E1293">
            <w:r w:rsidRPr="00AE6862">
              <w:t>Président – (à désigner par le Forum consultatif des peuples autochtones de l</w:t>
            </w:r>
            <w:r w:rsidR="002210AD">
              <w:t>’</w:t>
            </w:r>
            <w:r w:rsidRPr="00AE6862">
              <w:t>OMPI)</w:t>
            </w:r>
          </w:p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D264B2" w:rsidP="006E1293"/>
        </w:tc>
        <w:tc>
          <w:tcPr>
            <w:tcW w:w="7229" w:type="dxa"/>
            <w:shd w:val="clear" w:color="auto" w:fill="auto"/>
          </w:tcPr>
          <w:p w:rsidR="00D264B2" w:rsidRPr="00AE6862" w:rsidRDefault="00D264B2" w:rsidP="006E1293"/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8017C8" w:rsidP="006E1293">
            <w:r w:rsidRPr="00AE6862">
              <w:t>11 </w:t>
            </w:r>
            <w:r w:rsidR="006E1293">
              <w:t>h 00</w:t>
            </w:r>
            <w:r w:rsidR="003505F0" w:rsidRPr="00AE6862">
              <w:t xml:space="preserve"> – 11 </w:t>
            </w:r>
            <w:r w:rsidR="006E1293">
              <w:t>h</w:t>
            </w:r>
            <w:r w:rsidR="003505F0" w:rsidRPr="00AE6862">
              <w:t> 15</w:t>
            </w:r>
          </w:p>
        </w:tc>
        <w:tc>
          <w:tcPr>
            <w:tcW w:w="7229" w:type="dxa"/>
            <w:shd w:val="clear" w:color="auto" w:fill="auto"/>
          </w:tcPr>
          <w:p w:rsidR="00D264B2" w:rsidRPr="00AE6862" w:rsidRDefault="00D84851" w:rsidP="006E1293">
            <w:r w:rsidRPr="00AE6862">
              <w:t>M</w:t>
            </w:r>
            <w:r w:rsidR="007F315C" w:rsidRPr="00AE6862">
              <w:t>.</w:t>
            </w:r>
            <w:r w:rsidR="00847E25" w:rsidRPr="00AE6862">
              <w:t> </w:t>
            </w:r>
            <w:r w:rsidRPr="00AE6862">
              <w:t>W</w:t>
            </w:r>
            <w:r w:rsidR="007F315C" w:rsidRPr="00AE6862">
              <w:t xml:space="preserve">ilton </w:t>
            </w:r>
            <w:proofErr w:type="spellStart"/>
            <w:r w:rsidRPr="00AE6862">
              <w:t>L</w:t>
            </w:r>
            <w:r w:rsidR="007F315C" w:rsidRPr="00AE6862">
              <w:t>ittlechild</w:t>
            </w:r>
            <w:proofErr w:type="spellEnd"/>
            <w:r w:rsidR="007F315C" w:rsidRPr="00AE6862">
              <w:t>, chef cri et avocat, a travaillé sur le plan national et international pour faire progresser les droits des autochton</w:t>
            </w:r>
            <w:r w:rsidR="00E27B2F" w:rsidRPr="00AE6862">
              <w:t>es</w:t>
            </w:r>
            <w:r w:rsidR="00E27B2F">
              <w:t xml:space="preserve">.  </w:t>
            </w:r>
            <w:r w:rsidR="00E27B2F" w:rsidRPr="00AE6862">
              <w:t>Le</w:t>
            </w:r>
            <w:r w:rsidR="007F315C" w:rsidRPr="00AE6862">
              <w:t xml:space="preserve"> chef </w:t>
            </w:r>
            <w:proofErr w:type="spellStart"/>
            <w:r w:rsidR="007F315C" w:rsidRPr="00AE6862">
              <w:t>Littlechild</w:t>
            </w:r>
            <w:proofErr w:type="spellEnd"/>
            <w:r w:rsidR="007F315C" w:rsidRPr="00AE6862">
              <w:t xml:space="preserve"> a été député, vice</w:t>
            </w:r>
            <w:r w:rsidR="002210AD">
              <w:t>-</w:t>
            </w:r>
            <w:r w:rsidR="007F315C" w:rsidRPr="00AE6862">
              <w:t>président de l</w:t>
            </w:r>
            <w:r w:rsidR="002210AD">
              <w:t>’</w:t>
            </w:r>
            <w:proofErr w:type="spellStart"/>
            <w:r w:rsidR="007F315C" w:rsidRPr="00AE6862">
              <w:t>Indigenous</w:t>
            </w:r>
            <w:proofErr w:type="spellEnd"/>
            <w:r w:rsidR="007F315C" w:rsidRPr="00AE6862">
              <w:t xml:space="preserve"> </w:t>
            </w:r>
            <w:proofErr w:type="spellStart"/>
            <w:r w:rsidR="007F315C" w:rsidRPr="00AE6862">
              <w:t>Parliament</w:t>
            </w:r>
            <w:proofErr w:type="spellEnd"/>
            <w:r w:rsidR="007F315C" w:rsidRPr="00AE6862">
              <w:t xml:space="preserve"> of the </w:t>
            </w:r>
            <w:proofErr w:type="spellStart"/>
            <w:r w:rsidR="008017C8" w:rsidRPr="00AE6862">
              <w:t>Americas</w:t>
            </w:r>
            <w:proofErr w:type="spellEnd"/>
            <w:r w:rsidR="008017C8" w:rsidRPr="00AE6862">
              <w:t xml:space="preserve"> et</w:t>
            </w:r>
            <w:r w:rsidR="007F315C" w:rsidRPr="00AE6862">
              <w:t xml:space="preserve"> représentant nord</w:t>
            </w:r>
            <w:r w:rsidR="002210AD">
              <w:t>-</w:t>
            </w:r>
            <w:r w:rsidR="007F315C" w:rsidRPr="00AE6862">
              <w:t>américain auprès de l</w:t>
            </w:r>
            <w:r w:rsidR="002210AD">
              <w:t>’</w:t>
            </w:r>
            <w:r w:rsidR="007F315C" w:rsidRPr="00AE6862">
              <w:t>Instance permanente sur les que</w:t>
            </w:r>
            <w:bookmarkStart w:id="5" w:name="_GoBack"/>
            <w:bookmarkEnd w:id="5"/>
            <w:r w:rsidR="007F315C" w:rsidRPr="00AE6862">
              <w:t xml:space="preserve">stions autochtones des </w:t>
            </w:r>
            <w:r w:rsidR="002210AD">
              <w:t>Nations Unies</w:t>
            </w:r>
            <w:r w:rsidR="007F315C" w:rsidRPr="00AE6862">
              <w:t>, ainsi que président du Mécanisme d</w:t>
            </w:r>
            <w:r w:rsidR="002210AD">
              <w:t>’</w:t>
            </w:r>
            <w:r w:rsidR="007F315C" w:rsidRPr="00AE6862">
              <w:t xml:space="preserve">experts des </w:t>
            </w:r>
            <w:r w:rsidR="002210AD">
              <w:t>Nations Unies</w:t>
            </w:r>
            <w:r w:rsidR="007F315C" w:rsidRPr="00AE6862">
              <w:t xml:space="preserve"> sur les droits des peuples autochtones et de la Commission on First Nations and Métis </w:t>
            </w:r>
            <w:proofErr w:type="spellStart"/>
            <w:r w:rsidR="007F315C" w:rsidRPr="00AE6862">
              <w:t>Peoples</w:t>
            </w:r>
            <w:proofErr w:type="spellEnd"/>
            <w:r w:rsidR="007F315C" w:rsidRPr="00AE6862">
              <w:t xml:space="preserve"> and Justice </w:t>
            </w:r>
            <w:proofErr w:type="spellStart"/>
            <w:r w:rsidR="007F315C" w:rsidRPr="00AE6862">
              <w:t>Reform</w:t>
            </w:r>
            <w:proofErr w:type="spellEnd"/>
            <w:r w:rsidR="007F315C" w:rsidRPr="00AE6862">
              <w:t>.</w:t>
            </w:r>
          </w:p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D264B2" w:rsidP="006E1293"/>
        </w:tc>
        <w:tc>
          <w:tcPr>
            <w:tcW w:w="7229" w:type="dxa"/>
            <w:shd w:val="clear" w:color="auto" w:fill="auto"/>
          </w:tcPr>
          <w:p w:rsidR="00D264B2" w:rsidRPr="00AE6862" w:rsidRDefault="00D264B2" w:rsidP="006E1293"/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7F315C" w:rsidP="006E1293">
            <w:r w:rsidRPr="00AE6862">
              <w:t>11 </w:t>
            </w:r>
            <w:r w:rsidR="006E1293">
              <w:t>h</w:t>
            </w:r>
            <w:r w:rsidRPr="00AE6862">
              <w:t> 15 – 11 </w:t>
            </w:r>
            <w:r w:rsidR="006E1293">
              <w:t>h</w:t>
            </w:r>
            <w:r w:rsidRPr="00AE6862">
              <w:t> 30</w:t>
            </w:r>
          </w:p>
        </w:tc>
        <w:tc>
          <w:tcPr>
            <w:tcW w:w="7229" w:type="dxa"/>
            <w:shd w:val="clear" w:color="auto" w:fill="auto"/>
          </w:tcPr>
          <w:p w:rsidR="00092850" w:rsidRPr="00AE6862" w:rsidRDefault="00627CFA" w:rsidP="006E1293">
            <w:r w:rsidRPr="00AE6862">
              <w:t>Mme</w:t>
            </w:r>
            <w:r w:rsidR="00847E25" w:rsidRPr="00AE6862">
              <w:t> </w:t>
            </w:r>
            <w:r w:rsidRPr="00AE6862">
              <w:t>Lucy</w:t>
            </w:r>
            <w:r w:rsidR="00847E25" w:rsidRPr="00AE6862">
              <w:t> </w:t>
            </w:r>
            <w:proofErr w:type="spellStart"/>
            <w:r w:rsidR="008017C8" w:rsidRPr="00AE6862">
              <w:t>Mulenkei</w:t>
            </w:r>
            <w:proofErr w:type="spellEnd"/>
            <w:r w:rsidR="008017C8" w:rsidRPr="00AE6862">
              <w:t xml:space="preserve"> est</w:t>
            </w:r>
            <w:r w:rsidRPr="00AE6862">
              <w:t xml:space="preserve"> membre du peuple </w:t>
            </w:r>
            <w:proofErr w:type="spellStart"/>
            <w:r w:rsidRPr="00AE6862">
              <w:t>Maasa</w:t>
            </w:r>
            <w:r w:rsidR="00847E25" w:rsidRPr="00AE6862">
              <w:t>i</w:t>
            </w:r>
            <w:proofErr w:type="spellEnd"/>
            <w:r w:rsidRPr="00AE6862">
              <w:t xml:space="preserve"> du Ken</w:t>
            </w:r>
            <w:r w:rsidR="00E27B2F" w:rsidRPr="00AE6862">
              <w:t>ya</w:t>
            </w:r>
            <w:r w:rsidR="00E27B2F">
              <w:t xml:space="preserve">.  </w:t>
            </w:r>
            <w:r w:rsidR="00E27B2F" w:rsidRPr="00AE6862">
              <w:t>El</w:t>
            </w:r>
            <w:r w:rsidRPr="00AE6862">
              <w:t>le est directrice exécutive de l</w:t>
            </w:r>
            <w:r w:rsidR="002210AD">
              <w:t>’</w:t>
            </w:r>
            <w:proofErr w:type="spellStart"/>
            <w:r w:rsidRPr="00AE6862">
              <w:t>Indigenous</w:t>
            </w:r>
            <w:proofErr w:type="spellEnd"/>
            <w:r w:rsidRPr="00AE6862">
              <w:t xml:space="preserve"> Information Network (</w:t>
            </w:r>
            <w:proofErr w:type="spellStart"/>
            <w:r w:rsidRPr="00AE6862">
              <w:t>IIN</w:t>
            </w:r>
            <w:proofErr w:type="spellEnd"/>
            <w:r w:rsidRPr="00AE6862">
              <w:t>) au Kenya</w:t>
            </w:r>
            <w:r w:rsidR="008017C8" w:rsidRPr="00AE6862">
              <w:t xml:space="preserve"> et</w:t>
            </w:r>
            <w:r w:rsidRPr="00AE6862">
              <w:t xml:space="preserve"> travaille avec l</w:t>
            </w:r>
            <w:r w:rsidR="002210AD">
              <w:t>’</w:t>
            </w:r>
            <w:r w:rsidRPr="00AE6862">
              <w:t>Organisation africaine des femmes autochtones de la région de l</w:t>
            </w:r>
            <w:r w:rsidR="002210AD">
              <w:t>’</w:t>
            </w:r>
            <w:r w:rsidRPr="00AE6862">
              <w:t>Afrique de l</w:t>
            </w:r>
            <w:r w:rsidR="002210AD">
              <w:t>’</w:t>
            </w:r>
            <w:r w:rsidRPr="00AE6862">
              <w:t>Est (</w:t>
            </w:r>
            <w:proofErr w:type="spellStart"/>
            <w:r w:rsidRPr="00AE6862">
              <w:t>AIWO</w:t>
            </w:r>
            <w:proofErr w:type="spellEnd"/>
            <w:r w:rsidRPr="00AE6862">
              <w:t>) et le Réseau des femmes autochtones pour la biodiversité (</w:t>
            </w:r>
            <w:proofErr w:type="spellStart"/>
            <w:r w:rsidRPr="00AE6862">
              <w:t>IWBN</w:t>
            </w:r>
            <w:proofErr w:type="spellEnd"/>
            <w:r w:rsidRPr="00AE6862">
              <w:t>) pour l</w:t>
            </w:r>
            <w:r w:rsidR="002210AD">
              <w:t>’</w:t>
            </w:r>
            <w:r w:rsidRPr="00AE6862">
              <w:t>Afrique, et elle a été nommée coordinatrice du Forum international autochtone sur la biodiversité, représentant l</w:t>
            </w:r>
            <w:r w:rsidR="002210AD">
              <w:t>’</w:t>
            </w:r>
            <w:r w:rsidRPr="00AE6862">
              <w:t>Afrique.</w:t>
            </w:r>
          </w:p>
          <w:p w:rsidR="00D264B2" w:rsidRPr="00AE6862" w:rsidRDefault="00D264B2" w:rsidP="006E1293"/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627CFA" w:rsidP="006E1293">
            <w:r w:rsidRPr="00AE6862">
              <w:t>11 </w:t>
            </w:r>
            <w:r w:rsidR="006E1293">
              <w:t>h</w:t>
            </w:r>
            <w:r w:rsidRPr="00AE6862">
              <w:t> 30 – 11 </w:t>
            </w:r>
            <w:r w:rsidR="006E1293">
              <w:t>h</w:t>
            </w:r>
            <w:r w:rsidRPr="00AE6862">
              <w:t> 45</w:t>
            </w:r>
          </w:p>
        </w:tc>
        <w:tc>
          <w:tcPr>
            <w:tcW w:w="7229" w:type="dxa"/>
            <w:shd w:val="clear" w:color="auto" w:fill="auto"/>
          </w:tcPr>
          <w:p w:rsidR="002210AD" w:rsidRDefault="00627CFA" w:rsidP="006E1293">
            <w:pPr>
              <w:rPr>
                <w:bCs/>
                <w:szCs w:val="22"/>
              </w:rPr>
            </w:pPr>
            <w:r w:rsidRPr="00AE6862">
              <w:rPr>
                <w:bCs/>
                <w:szCs w:val="22"/>
              </w:rPr>
              <w:t>Mme</w:t>
            </w:r>
            <w:r w:rsidR="00847E25" w:rsidRPr="00AE6862">
              <w:rPr>
                <w:bCs/>
                <w:szCs w:val="22"/>
              </w:rPr>
              <w:t> </w:t>
            </w:r>
            <w:proofErr w:type="spellStart"/>
            <w:r w:rsidRPr="00AE6862">
              <w:rPr>
                <w:bCs/>
                <w:szCs w:val="22"/>
              </w:rPr>
              <w:t>Valmaine</w:t>
            </w:r>
            <w:proofErr w:type="spellEnd"/>
            <w:r w:rsidRPr="00AE6862">
              <w:rPr>
                <w:bCs/>
                <w:szCs w:val="22"/>
              </w:rPr>
              <w:t xml:space="preserve"> </w:t>
            </w:r>
            <w:proofErr w:type="spellStart"/>
            <w:r w:rsidRPr="00AE6862">
              <w:rPr>
                <w:bCs/>
                <w:szCs w:val="22"/>
              </w:rPr>
              <w:t>Toki</w:t>
            </w:r>
            <w:proofErr w:type="spellEnd"/>
            <w:r w:rsidRPr="00AE6862">
              <w:rPr>
                <w:bCs/>
                <w:szCs w:val="22"/>
              </w:rPr>
              <w:t xml:space="preserve">, descendante du peuple </w:t>
            </w:r>
            <w:proofErr w:type="spellStart"/>
            <w:r w:rsidRPr="00AE6862">
              <w:rPr>
                <w:bCs/>
                <w:szCs w:val="22"/>
              </w:rPr>
              <w:t>Ngapuhi</w:t>
            </w:r>
            <w:proofErr w:type="spellEnd"/>
            <w:r w:rsidRPr="00AE6862">
              <w:rPr>
                <w:bCs/>
                <w:szCs w:val="22"/>
              </w:rPr>
              <w:t xml:space="preserve"> </w:t>
            </w:r>
            <w:proofErr w:type="spellStart"/>
            <w:r w:rsidRPr="00AE6862">
              <w:rPr>
                <w:bCs/>
                <w:szCs w:val="22"/>
              </w:rPr>
              <w:t>Ngati</w:t>
            </w:r>
            <w:proofErr w:type="spellEnd"/>
            <w:r w:rsidRPr="00AE6862">
              <w:rPr>
                <w:bCs/>
                <w:szCs w:val="22"/>
              </w:rPr>
              <w:t xml:space="preserve"> Wai </w:t>
            </w:r>
            <w:proofErr w:type="spellStart"/>
            <w:r w:rsidRPr="00AE6862">
              <w:rPr>
                <w:bCs/>
                <w:szCs w:val="22"/>
              </w:rPr>
              <w:t>Ngat</w:t>
            </w:r>
            <w:proofErr w:type="spellEnd"/>
            <w:r w:rsidRPr="00AE6862">
              <w:rPr>
                <w:bCs/>
                <w:szCs w:val="22"/>
              </w:rPr>
              <w:t xml:space="preserve"> </w:t>
            </w:r>
            <w:proofErr w:type="spellStart"/>
            <w:r w:rsidRPr="00AE6862">
              <w:rPr>
                <w:bCs/>
                <w:szCs w:val="22"/>
              </w:rPr>
              <w:t>Whatua</w:t>
            </w:r>
            <w:proofErr w:type="spellEnd"/>
            <w:r w:rsidRPr="00AE6862">
              <w:rPr>
                <w:bCs/>
                <w:szCs w:val="22"/>
              </w:rPr>
              <w:t xml:space="preserve">, </w:t>
            </w:r>
            <w:r w:rsidR="008017C8" w:rsidRPr="00AE6862">
              <w:rPr>
                <w:bCs/>
                <w:szCs w:val="22"/>
              </w:rPr>
              <w:t xml:space="preserve">est la </w:t>
            </w:r>
            <w:r w:rsidRPr="00AE6862">
              <w:rPr>
                <w:bCs/>
                <w:szCs w:val="22"/>
              </w:rPr>
              <w:t>première Maori</w:t>
            </w:r>
            <w:r w:rsidR="00847E25" w:rsidRPr="00AE6862">
              <w:rPr>
                <w:bCs/>
                <w:szCs w:val="22"/>
              </w:rPr>
              <w:t xml:space="preserve">e </w:t>
            </w:r>
            <w:r w:rsidRPr="00AE6862">
              <w:rPr>
                <w:bCs/>
                <w:szCs w:val="22"/>
              </w:rPr>
              <w:t xml:space="preserve">et </w:t>
            </w:r>
            <w:r w:rsidR="008017C8" w:rsidRPr="00AE6862">
              <w:rPr>
                <w:bCs/>
                <w:szCs w:val="22"/>
              </w:rPr>
              <w:t xml:space="preserve">la </w:t>
            </w:r>
            <w:r w:rsidRPr="00AE6862">
              <w:rPr>
                <w:bCs/>
                <w:szCs w:val="22"/>
              </w:rPr>
              <w:t>première Néo</w:t>
            </w:r>
            <w:r w:rsidR="002210AD">
              <w:rPr>
                <w:bCs/>
                <w:szCs w:val="22"/>
              </w:rPr>
              <w:t>-</w:t>
            </w:r>
            <w:r w:rsidR="00847E25" w:rsidRPr="00AE6862">
              <w:rPr>
                <w:bCs/>
                <w:szCs w:val="22"/>
              </w:rPr>
              <w:t>z</w:t>
            </w:r>
            <w:r w:rsidRPr="00AE6862">
              <w:rPr>
                <w:bCs/>
                <w:szCs w:val="22"/>
              </w:rPr>
              <w:t xml:space="preserve">élandaise à être nommée experte </w:t>
            </w:r>
            <w:r w:rsidR="008017C8" w:rsidRPr="00AE6862">
              <w:rPr>
                <w:bCs/>
                <w:szCs w:val="22"/>
              </w:rPr>
              <w:t>au sein</w:t>
            </w:r>
            <w:r w:rsidRPr="00AE6862">
              <w:rPr>
                <w:bCs/>
                <w:szCs w:val="22"/>
              </w:rPr>
              <w:t xml:space="preserve"> de l</w:t>
            </w:r>
            <w:r w:rsidR="002210AD">
              <w:rPr>
                <w:bCs/>
                <w:szCs w:val="22"/>
              </w:rPr>
              <w:t>’</w:t>
            </w:r>
            <w:r w:rsidRPr="00AE6862">
              <w:rPr>
                <w:bCs/>
                <w:szCs w:val="22"/>
              </w:rPr>
              <w:t xml:space="preserve">Instance permanente sur les questions autochtones des </w:t>
            </w:r>
            <w:r w:rsidR="002210AD">
              <w:rPr>
                <w:bCs/>
                <w:szCs w:val="22"/>
              </w:rPr>
              <w:t>Nations Uni</w:t>
            </w:r>
            <w:r w:rsidR="00E27B2F">
              <w:rPr>
                <w:bCs/>
                <w:szCs w:val="22"/>
              </w:rPr>
              <w:t>es</w:t>
            </w:r>
            <w:r w:rsidR="00E27B2F">
              <w:rPr>
                <w:bCs/>
                <w:szCs w:val="22"/>
              </w:rPr>
              <w:t xml:space="preserve">.  </w:t>
            </w:r>
            <w:r w:rsidR="00E27B2F" w:rsidRPr="00AE6862">
              <w:rPr>
                <w:bCs/>
                <w:szCs w:val="22"/>
              </w:rPr>
              <w:t>El</w:t>
            </w:r>
            <w:r w:rsidR="00CE7AC2" w:rsidRPr="00AE6862">
              <w:rPr>
                <w:bCs/>
                <w:szCs w:val="22"/>
              </w:rPr>
              <w:t>le est maître de conférences à la faculté de droit de l</w:t>
            </w:r>
            <w:r w:rsidR="002210AD">
              <w:rPr>
                <w:bCs/>
                <w:szCs w:val="22"/>
              </w:rPr>
              <w:t>’</w:t>
            </w:r>
            <w:r w:rsidR="00CE7AC2" w:rsidRPr="00AE6862">
              <w:rPr>
                <w:bCs/>
                <w:szCs w:val="22"/>
              </w:rPr>
              <w:t>Université de Waikato.</w:t>
            </w:r>
          </w:p>
          <w:p w:rsidR="00D264B2" w:rsidRPr="00AE6862" w:rsidRDefault="00D264B2" w:rsidP="006E1293"/>
        </w:tc>
      </w:tr>
      <w:tr w:rsidR="00AE6862" w:rsidRPr="00AE6862" w:rsidTr="006E1293">
        <w:tc>
          <w:tcPr>
            <w:tcW w:w="2127" w:type="dxa"/>
            <w:shd w:val="clear" w:color="auto" w:fill="auto"/>
          </w:tcPr>
          <w:p w:rsidR="00D264B2" w:rsidRPr="00AE6862" w:rsidRDefault="00CE7AC2" w:rsidP="006E1293">
            <w:r w:rsidRPr="00AE6862">
              <w:t xml:space="preserve">11 </w:t>
            </w:r>
            <w:r w:rsidR="006E1293">
              <w:t>h</w:t>
            </w:r>
            <w:r w:rsidRPr="00AE6862">
              <w:t> 45 – 12 </w:t>
            </w:r>
            <w:r w:rsidR="006E1293">
              <w:t>h 00</w:t>
            </w:r>
            <w:r w:rsidR="00D264B2" w:rsidRPr="00AE6862"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D264B2" w:rsidRPr="00AE6862" w:rsidRDefault="00CE7AC2" w:rsidP="006E1293">
            <w:r w:rsidRPr="00AE6862">
              <w:t>Débat général et clôture</w:t>
            </w:r>
            <w:r w:rsidR="00D264B2" w:rsidRPr="00AE6862">
              <w:t xml:space="preserve"> </w:t>
            </w:r>
          </w:p>
        </w:tc>
      </w:tr>
    </w:tbl>
    <w:p w:rsidR="00E27B2F" w:rsidRDefault="00E27B2F" w:rsidP="006E1293">
      <w:pPr>
        <w:tabs>
          <w:tab w:val="left" w:pos="2235"/>
        </w:tabs>
        <w:ind w:left="108"/>
      </w:pPr>
    </w:p>
    <w:p w:rsidR="00E27B2F" w:rsidRPr="00AE6862" w:rsidRDefault="00E27B2F" w:rsidP="006E1293">
      <w:pPr>
        <w:tabs>
          <w:tab w:val="left" w:pos="2235"/>
        </w:tabs>
        <w:ind w:left="108"/>
      </w:pPr>
    </w:p>
    <w:p w:rsidR="00E27B2F" w:rsidRPr="00AE6862" w:rsidRDefault="00E27B2F" w:rsidP="006E1293">
      <w:pPr>
        <w:tabs>
          <w:tab w:val="left" w:pos="2235"/>
        </w:tabs>
        <w:ind w:left="108"/>
      </w:pPr>
    </w:p>
    <w:p w:rsidR="00092850" w:rsidRPr="00AE6862" w:rsidRDefault="00CE7AC2" w:rsidP="006E1293">
      <w:pPr>
        <w:pStyle w:val="Endofdocument-Annex"/>
      </w:pPr>
      <w:bookmarkStart w:id="6" w:name="Prepared"/>
      <w:bookmarkEnd w:id="6"/>
      <w:r w:rsidRPr="00AE6862">
        <w:t xml:space="preserve">[Fin de </w:t>
      </w:r>
      <w:proofErr w:type="spellStart"/>
      <w:r w:rsidRPr="00AE6862">
        <w:t>l</w:t>
      </w:r>
      <w:r w:rsidR="002210AD">
        <w:t>’</w:t>
      </w:r>
      <w:r w:rsidRPr="00AE6862">
        <w:t>annexe</w:t>
      </w:r>
      <w:proofErr w:type="spellEnd"/>
      <w:r w:rsidRPr="00AE6862">
        <w:t xml:space="preserve"> du document]</w:t>
      </w:r>
    </w:p>
    <w:p w:rsidR="00092850" w:rsidRPr="00AE6862" w:rsidRDefault="00092850"/>
    <w:p w:rsidR="00092850" w:rsidRPr="00AE6862" w:rsidRDefault="00092850"/>
    <w:p w:rsidR="002928D3" w:rsidRPr="00AE6862" w:rsidRDefault="002928D3"/>
    <w:sectPr w:rsidR="002928D3" w:rsidRPr="00AE6862" w:rsidSect="00AE6862">
      <w:headerReference w:type="firs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B2" w:rsidRDefault="00D264B2">
      <w:r>
        <w:separator/>
      </w:r>
    </w:p>
  </w:endnote>
  <w:endnote w:type="continuationSeparator" w:id="0">
    <w:p w:rsidR="00D264B2" w:rsidRDefault="00D264B2" w:rsidP="003B38C1">
      <w:r>
        <w:separator/>
      </w:r>
    </w:p>
    <w:p w:rsidR="00D264B2" w:rsidRPr="003B38C1" w:rsidRDefault="00D264B2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D264B2" w:rsidRPr="003B38C1" w:rsidRDefault="00D264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B2" w:rsidRDefault="00D264B2">
      <w:r>
        <w:separator/>
      </w:r>
    </w:p>
  </w:footnote>
  <w:footnote w:type="continuationSeparator" w:id="0">
    <w:p w:rsidR="00D264B2" w:rsidRDefault="00D264B2" w:rsidP="008B60B2">
      <w:r>
        <w:separator/>
      </w:r>
    </w:p>
    <w:p w:rsidR="00D264B2" w:rsidRPr="00ED77FB" w:rsidRDefault="00D264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D264B2" w:rsidRPr="00ED77FB" w:rsidRDefault="00D264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CE7AC2" w:rsidRDefault="00D264B2" w:rsidP="00477D6B">
    <w:pPr>
      <w:jc w:val="right"/>
      <w:rPr>
        <w:lang w:val="de-CH"/>
      </w:rPr>
    </w:pPr>
    <w:bookmarkStart w:id="4" w:name="Code2"/>
    <w:bookmarkEnd w:id="4"/>
    <w:proofErr w:type="spellStart"/>
    <w:r w:rsidRPr="00CE7AC2">
      <w:rPr>
        <w:lang w:val="de-CH"/>
      </w:rPr>
      <w:t>WIPO</w:t>
    </w:r>
    <w:proofErr w:type="spellEnd"/>
    <w:r w:rsidRPr="00CE7AC2">
      <w:rPr>
        <w:lang w:val="de-CH"/>
      </w:rPr>
      <w:t>/</w:t>
    </w:r>
    <w:proofErr w:type="spellStart"/>
    <w:r w:rsidRPr="00CE7AC2">
      <w:rPr>
        <w:lang w:val="de-CH"/>
      </w:rPr>
      <w:t>GRTKF</w:t>
    </w:r>
    <w:proofErr w:type="spellEnd"/>
    <w:r w:rsidRPr="00CE7AC2">
      <w:rPr>
        <w:lang w:val="de-CH"/>
      </w:rPr>
      <w:t>/IC/40/</w:t>
    </w:r>
    <w:proofErr w:type="spellStart"/>
    <w:r w:rsidRPr="00CE7AC2">
      <w:rPr>
        <w:lang w:val="de-CH"/>
      </w:rPr>
      <w:t>INF</w:t>
    </w:r>
    <w:proofErr w:type="spellEnd"/>
    <w:r w:rsidRPr="00CE7AC2">
      <w:rPr>
        <w:lang w:val="de-CH"/>
      </w:rPr>
      <w:t>/5</w:t>
    </w:r>
  </w:p>
  <w:p w:rsidR="00EC4E49" w:rsidRPr="00CE7AC2" w:rsidRDefault="00CE7AC2" w:rsidP="00CE7AC2">
    <w:pPr>
      <w:jc w:val="right"/>
      <w:rPr>
        <w:lang w:val="de-CH"/>
      </w:rPr>
    </w:pPr>
    <w:r w:rsidRPr="00CE7AC2">
      <w:rPr>
        <w:color w:val="008000"/>
        <w:lang w:val="de-CH"/>
      </w:rPr>
      <w:t>ANNEXE</w:t>
    </w:r>
  </w:p>
  <w:p w:rsidR="00EC4E49" w:rsidRPr="00CE7AC2" w:rsidRDefault="00EC4E49" w:rsidP="00477D6B">
    <w:pPr>
      <w:jc w:val="right"/>
      <w:rPr>
        <w:lang w:val="de-CH"/>
      </w:rPr>
    </w:pPr>
  </w:p>
  <w:p w:rsidR="008A134B" w:rsidRPr="00CE7AC2" w:rsidRDefault="008A134B" w:rsidP="00477D6B">
    <w:pPr>
      <w:jc w:val="right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862" w:rsidRDefault="00AE6862" w:rsidP="00AE6862">
    <w:pPr>
      <w:pStyle w:val="Header"/>
      <w:jc w:val="right"/>
    </w:pPr>
    <w:proofErr w:type="spellStart"/>
    <w:r w:rsidRPr="00AE6862">
      <w:t>WIPO</w:t>
    </w:r>
    <w:proofErr w:type="spellEnd"/>
    <w:r w:rsidRPr="00AE6862">
      <w:t>/</w:t>
    </w:r>
    <w:proofErr w:type="spellStart"/>
    <w:r w:rsidRPr="00AE6862">
      <w:t>GRTKF</w:t>
    </w:r>
    <w:proofErr w:type="spellEnd"/>
    <w:r w:rsidRPr="00AE6862">
      <w:t>/IC/40/</w:t>
    </w:r>
    <w:proofErr w:type="spellStart"/>
    <w:r w:rsidRPr="00AE6862">
      <w:t>INF</w:t>
    </w:r>
    <w:proofErr w:type="spellEnd"/>
    <w:r w:rsidRPr="00AE6862">
      <w:t>/5</w:t>
    </w:r>
  </w:p>
  <w:p w:rsidR="00AE6862" w:rsidRDefault="00AE6862" w:rsidP="00AE6862">
    <w:pPr>
      <w:pStyle w:val="Header"/>
      <w:jc w:val="right"/>
    </w:pPr>
    <w:r>
      <w:t>ANNEXE</w:t>
    </w:r>
  </w:p>
  <w:p w:rsidR="00AE6862" w:rsidRDefault="00AE6862" w:rsidP="00AE6862">
    <w:pPr>
      <w:pStyle w:val="Header"/>
      <w:jc w:val="right"/>
    </w:pPr>
  </w:p>
  <w:p w:rsidR="00AE6862" w:rsidRPr="00AE6862" w:rsidRDefault="00AE6862" w:rsidP="00AE68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|Licence"/>
    <w:docVar w:name="TermBaseURL" w:val="empty"/>
    <w:docVar w:name="TextBases" w:val="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am Server TMs\French"/>
    <w:docVar w:name="TextBaseURL" w:val="empty"/>
    <w:docVar w:name="UILng" w:val="en"/>
  </w:docVars>
  <w:rsids>
    <w:rsidRoot w:val="00D264B2"/>
    <w:rsid w:val="00043CAA"/>
    <w:rsid w:val="00075432"/>
    <w:rsid w:val="00092850"/>
    <w:rsid w:val="000968ED"/>
    <w:rsid w:val="000F5E56"/>
    <w:rsid w:val="001362EE"/>
    <w:rsid w:val="001647D5"/>
    <w:rsid w:val="001832A6"/>
    <w:rsid w:val="001A5D03"/>
    <w:rsid w:val="001E1BB2"/>
    <w:rsid w:val="001F4C32"/>
    <w:rsid w:val="0021217E"/>
    <w:rsid w:val="002210AD"/>
    <w:rsid w:val="002634C4"/>
    <w:rsid w:val="002928D3"/>
    <w:rsid w:val="002F1FE6"/>
    <w:rsid w:val="002F4E68"/>
    <w:rsid w:val="00312F7F"/>
    <w:rsid w:val="003505F0"/>
    <w:rsid w:val="00361450"/>
    <w:rsid w:val="003673CF"/>
    <w:rsid w:val="003845C1"/>
    <w:rsid w:val="003A6F89"/>
    <w:rsid w:val="003B38C1"/>
    <w:rsid w:val="003F05A7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27CFA"/>
    <w:rsid w:val="00646050"/>
    <w:rsid w:val="006713CA"/>
    <w:rsid w:val="00676C5C"/>
    <w:rsid w:val="00677A2B"/>
    <w:rsid w:val="006967DF"/>
    <w:rsid w:val="006E1293"/>
    <w:rsid w:val="007D1613"/>
    <w:rsid w:val="007E4C0E"/>
    <w:rsid w:val="007E5BED"/>
    <w:rsid w:val="007F315C"/>
    <w:rsid w:val="008017C8"/>
    <w:rsid w:val="00847E25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E6862"/>
    <w:rsid w:val="00AF0A6B"/>
    <w:rsid w:val="00B05A69"/>
    <w:rsid w:val="00B9734B"/>
    <w:rsid w:val="00BA30E2"/>
    <w:rsid w:val="00BE29C4"/>
    <w:rsid w:val="00C02D2E"/>
    <w:rsid w:val="00C11BFE"/>
    <w:rsid w:val="00C5068F"/>
    <w:rsid w:val="00C86D74"/>
    <w:rsid w:val="00CD04F1"/>
    <w:rsid w:val="00CE7AC2"/>
    <w:rsid w:val="00D264B2"/>
    <w:rsid w:val="00D45252"/>
    <w:rsid w:val="00D71B4D"/>
    <w:rsid w:val="00D84851"/>
    <w:rsid w:val="00D93D55"/>
    <w:rsid w:val="00E15015"/>
    <w:rsid w:val="00E1532D"/>
    <w:rsid w:val="00E17E6D"/>
    <w:rsid w:val="00E27B2F"/>
    <w:rsid w:val="00E335FE"/>
    <w:rsid w:val="00EA7D6E"/>
    <w:rsid w:val="00EB0C6C"/>
    <w:rsid w:val="00EC4E49"/>
    <w:rsid w:val="00ED77FB"/>
    <w:rsid w:val="00EE45FA"/>
    <w:rsid w:val="00F66152"/>
    <w:rsid w:val="00FD2FE1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E743BA"/>
  <w15:docId w15:val="{2874794E-0384-4463-A71E-41B97E44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6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E686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E686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E686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E686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E6862"/>
    <w:pPr>
      <w:ind w:left="5534"/>
    </w:pPr>
    <w:rPr>
      <w:lang w:val="en-US"/>
    </w:rPr>
  </w:style>
  <w:style w:type="paragraph" w:styleId="BodyText">
    <w:name w:val="Body Text"/>
    <w:basedOn w:val="Normal"/>
    <w:rsid w:val="00AE6862"/>
    <w:pPr>
      <w:spacing w:after="220"/>
    </w:pPr>
  </w:style>
  <w:style w:type="paragraph" w:styleId="Caption">
    <w:name w:val="caption"/>
    <w:basedOn w:val="Normal"/>
    <w:next w:val="Normal"/>
    <w:qFormat/>
    <w:rsid w:val="00AE6862"/>
    <w:rPr>
      <w:b/>
      <w:bCs/>
      <w:sz w:val="18"/>
    </w:rPr>
  </w:style>
  <w:style w:type="paragraph" w:styleId="CommentText">
    <w:name w:val="annotation text"/>
    <w:basedOn w:val="Normal"/>
    <w:semiHidden/>
    <w:rsid w:val="00AE6862"/>
    <w:rPr>
      <w:sz w:val="18"/>
    </w:rPr>
  </w:style>
  <w:style w:type="paragraph" w:styleId="EndnoteText">
    <w:name w:val="endnote text"/>
    <w:basedOn w:val="Normal"/>
    <w:semiHidden/>
    <w:rsid w:val="00AE6862"/>
    <w:rPr>
      <w:sz w:val="18"/>
    </w:rPr>
  </w:style>
  <w:style w:type="paragraph" w:styleId="Footer">
    <w:name w:val="footer"/>
    <w:basedOn w:val="Normal"/>
    <w:semiHidden/>
    <w:rsid w:val="00AE686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E6862"/>
    <w:rPr>
      <w:sz w:val="18"/>
    </w:rPr>
  </w:style>
  <w:style w:type="paragraph" w:styleId="Header">
    <w:name w:val="header"/>
    <w:basedOn w:val="Normal"/>
    <w:semiHidden/>
    <w:rsid w:val="00AE686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E6862"/>
    <w:pPr>
      <w:numPr>
        <w:numId w:val="8"/>
      </w:numPr>
    </w:pPr>
  </w:style>
  <w:style w:type="paragraph" w:customStyle="1" w:styleId="ONUME">
    <w:name w:val="ONUM E"/>
    <w:basedOn w:val="BodyText"/>
    <w:rsid w:val="00AE6862"/>
    <w:pPr>
      <w:numPr>
        <w:numId w:val="9"/>
      </w:numPr>
    </w:pPr>
  </w:style>
  <w:style w:type="paragraph" w:customStyle="1" w:styleId="ONUMFS">
    <w:name w:val="ONUM FS"/>
    <w:basedOn w:val="BodyText"/>
    <w:rsid w:val="00AE6862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AE6862"/>
  </w:style>
  <w:style w:type="paragraph" w:styleId="Signature">
    <w:name w:val="Signature"/>
    <w:basedOn w:val="Normal"/>
    <w:semiHidden/>
    <w:rsid w:val="00AE6862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F4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4C3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AE6862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AE6862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AE6862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E27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471</Words>
  <Characters>2736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WIPO/GRTKF/IC/40/INF/5</vt:lpstr>
    </vt:vector>
  </TitlesOfParts>
  <Company>WIPO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WIPO/GRTKF/IC/40/INF/5</dc:title>
  <dc:creator>JIAO Fei</dc:creator>
  <cp:keywords>FOR OFFICIAL USE ONLY</cp:keywords>
  <cp:lastModifiedBy>COUTURE Sébastien</cp:lastModifiedBy>
  <cp:revision>13</cp:revision>
  <cp:lastPrinted>2019-05-24T13:15:00Z</cp:lastPrinted>
  <dcterms:created xsi:type="dcterms:W3CDTF">2019-05-24T09:30:00Z</dcterms:created>
  <dcterms:modified xsi:type="dcterms:W3CDTF">2019-06-03T15:57:00Z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89cb9b77-4bed-4760-b6b1-a526437b8056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