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96E" w:rsidRPr="00341681" w:rsidRDefault="00EC396E" w:rsidP="00EC396E">
      <w:pPr>
        <w:pBdr>
          <w:bottom w:val="single" w:sz="4" w:space="10" w:color="auto"/>
        </w:pBdr>
        <w:spacing w:after="120"/>
        <w:jc w:val="right"/>
        <w:rPr>
          <w:lang w:val="fr-FR"/>
        </w:rPr>
      </w:pPr>
      <w:r w:rsidRPr="00341681">
        <w:rPr>
          <w:noProof/>
          <w:lang w:val="en-US" w:eastAsia="en-US"/>
        </w:rPr>
        <w:drawing>
          <wp:inline distT="0" distB="0" distL="0" distR="0" wp14:anchorId="34C83C05" wp14:editId="00B350F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EC396E" w:rsidRPr="00341681" w:rsidRDefault="00EC396E" w:rsidP="00EC396E">
      <w:pPr>
        <w:jc w:val="right"/>
        <w:rPr>
          <w:rFonts w:ascii="Arial Black" w:hAnsi="Arial Black"/>
          <w:caps/>
          <w:sz w:val="15"/>
          <w:lang w:val="fr-FR"/>
        </w:rPr>
      </w:pPr>
      <w:r>
        <w:rPr>
          <w:rFonts w:ascii="Arial Black" w:hAnsi="Arial Black"/>
          <w:caps/>
          <w:sz w:val="15"/>
          <w:lang w:val="fr-FR"/>
        </w:rPr>
        <w:t>WIPO/GRTKF/IC/42</w:t>
      </w:r>
      <w:r w:rsidRPr="00341681">
        <w:rPr>
          <w:rFonts w:ascii="Arial Black" w:hAnsi="Arial Black"/>
          <w:caps/>
          <w:sz w:val="15"/>
          <w:lang w:val="fr-FR"/>
        </w:rPr>
        <w:t>/</w:t>
      </w:r>
      <w:bookmarkStart w:id="0" w:name="Code"/>
      <w:bookmarkEnd w:id="0"/>
      <w:r>
        <w:rPr>
          <w:rFonts w:ascii="Arial Black" w:hAnsi="Arial Black"/>
          <w:caps/>
          <w:sz w:val="15"/>
          <w:lang w:val="fr-FR"/>
        </w:rPr>
        <w:t>12</w:t>
      </w:r>
    </w:p>
    <w:p w:rsidR="00EC396E" w:rsidRPr="00341681" w:rsidRDefault="00EC396E" w:rsidP="00EC396E">
      <w:pPr>
        <w:jc w:val="right"/>
        <w:rPr>
          <w:lang w:val="fr-FR"/>
        </w:rPr>
      </w:pPr>
      <w:r w:rsidRPr="00341681">
        <w:rPr>
          <w:rFonts w:ascii="Arial Black" w:hAnsi="Arial Black"/>
          <w:caps/>
          <w:sz w:val="15"/>
          <w:lang w:val="fr-FR"/>
        </w:rPr>
        <w:t>ORIGINAL</w:t>
      </w:r>
      <w:r w:rsidR="00E84189">
        <w:rPr>
          <w:rFonts w:ascii="Arial Black" w:hAnsi="Arial Black"/>
          <w:caps/>
          <w:sz w:val="15"/>
          <w:lang w:val="fr-FR"/>
        </w:rPr>
        <w:t> :</w:t>
      </w:r>
      <w:r w:rsidRPr="00341681">
        <w:rPr>
          <w:rFonts w:ascii="Arial Black" w:hAnsi="Arial Black"/>
          <w:caps/>
          <w:sz w:val="15"/>
          <w:lang w:val="fr-FR"/>
        </w:rPr>
        <w:t xml:space="preserve"> </w:t>
      </w:r>
      <w:bookmarkStart w:id="1" w:name="Original"/>
      <w:r w:rsidRPr="00341681">
        <w:rPr>
          <w:rFonts w:ascii="Arial Black" w:hAnsi="Arial Black"/>
          <w:caps/>
          <w:sz w:val="15"/>
          <w:lang w:val="fr-FR"/>
        </w:rPr>
        <w:t>anglais</w:t>
      </w:r>
    </w:p>
    <w:bookmarkEnd w:id="1"/>
    <w:p w:rsidR="00EC396E" w:rsidRPr="00341681" w:rsidRDefault="00EC396E" w:rsidP="00EC396E">
      <w:pPr>
        <w:spacing w:after="1200"/>
        <w:jc w:val="right"/>
        <w:rPr>
          <w:lang w:val="fr-FR"/>
        </w:rPr>
      </w:pPr>
      <w:r w:rsidRPr="00341681">
        <w:rPr>
          <w:rFonts w:ascii="Arial Black" w:hAnsi="Arial Black"/>
          <w:caps/>
          <w:sz w:val="15"/>
          <w:lang w:val="fr-FR"/>
        </w:rPr>
        <w:t>DATE</w:t>
      </w:r>
      <w:r w:rsidR="00E84189">
        <w:rPr>
          <w:rFonts w:ascii="Arial Black" w:hAnsi="Arial Black"/>
          <w:caps/>
          <w:sz w:val="15"/>
          <w:lang w:val="fr-FR"/>
        </w:rPr>
        <w:t> :</w:t>
      </w:r>
      <w:r>
        <w:rPr>
          <w:rFonts w:ascii="Arial Black" w:hAnsi="Arial Black"/>
          <w:caps/>
          <w:sz w:val="15"/>
          <w:lang w:val="fr-FR"/>
        </w:rPr>
        <w:t xml:space="preserve"> 4 </w:t>
      </w:r>
      <w:bookmarkStart w:id="2" w:name="Date"/>
      <w:r>
        <w:rPr>
          <w:rFonts w:ascii="Arial Black" w:hAnsi="Arial Black"/>
          <w:caps/>
          <w:sz w:val="15"/>
          <w:lang w:val="fr-FR"/>
        </w:rPr>
        <w:t>février 2022</w:t>
      </w:r>
    </w:p>
    <w:bookmarkEnd w:id="2"/>
    <w:p w:rsidR="00EC396E" w:rsidRPr="00341681" w:rsidRDefault="00EC396E" w:rsidP="00EC396E">
      <w:pPr>
        <w:pStyle w:val="Title"/>
      </w:pPr>
      <w:r w:rsidRPr="00341681">
        <w:t>Comité intergouvernemental de la propriété intellectuelle relative aux ressources génétiques, aux savoirs traditionnels et au folklore</w:t>
      </w:r>
    </w:p>
    <w:p w:rsidR="00EC396E" w:rsidRPr="00341681" w:rsidRDefault="00EC396E" w:rsidP="00EC396E">
      <w:pPr>
        <w:outlineLvl w:val="1"/>
        <w:rPr>
          <w:b/>
          <w:sz w:val="24"/>
          <w:szCs w:val="24"/>
          <w:lang w:val="fr-FR"/>
        </w:rPr>
      </w:pPr>
      <w:r w:rsidRPr="00341681">
        <w:rPr>
          <w:b/>
          <w:sz w:val="24"/>
          <w:szCs w:val="24"/>
          <w:lang w:val="fr-FR"/>
        </w:rPr>
        <w:t>Quarante</w:t>
      </w:r>
      <w:r w:rsidR="000B2FBE">
        <w:rPr>
          <w:b/>
          <w:sz w:val="24"/>
          <w:szCs w:val="24"/>
          <w:lang w:val="fr-FR"/>
        </w:rPr>
        <w:noBreakHyphen/>
      </w:r>
      <w:r>
        <w:rPr>
          <w:b/>
          <w:sz w:val="24"/>
          <w:szCs w:val="24"/>
          <w:lang w:val="fr-FR"/>
        </w:rPr>
        <w:t>deux</w:t>
      </w:r>
      <w:r w:rsidR="00E84189">
        <w:rPr>
          <w:b/>
          <w:sz w:val="24"/>
          <w:szCs w:val="24"/>
          <w:lang w:val="fr-FR"/>
        </w:rPr>
        <w:t>ième session</w:t>
      </w:r>
    </w:p>
    <w:p w:rsidR="00EC396E" w:rsidRPr="00341681" w:rsidRDefault="00EC396E" w:rsidP="00755B20">
      <w:pPr>
        <w:spacing w:after="960"/>
        <w:outlineLvl w:val="1"/>
        <w:rPr>
          <w:b/>
          <w:sz w:val="24"/>
          <w:szCs w:val="24"/>
          <w:lang w:val="fr-FR"/>
        </w:rPr>
      </w:pPr>
      <w:r w:rsidRPr="00341681">
        <w:rPr>
          <w:b/>
          <w:sz w:val="24"/>
          <w:szCs w:val="24"/>
          <w:lang w:val="fr-FR"/>
        </w:rPr>
        <w:t xml:space="preserve">Genève, </w:t>
      </w:r>
      <w:r>
        <w:rPr>
          <w:b/>
          <w:sz w:val="24"/>
          <w:szCs w:val="24"/>
          <w:lang w:val="fr-FR"/>
        </w:rPr>
        <w:t>28 février</w:t>
      </w:r>
      <w:r w:rsidRPr="00341681">
        <w:rPr>
          <w:b/>
          <w:sz w:val="24"/>
          <w:szCs w:val="24"/>
          <w:lang w:val="fr-FR"/>
        </w:rPr>
        <w:t xml:space="preserve"> – </w:t>
      </w:r>
      <w:r>
        <w:rPr>
          <w:b/>
          <w:sz w:val="24"/>
          <w:szCs w:val="24"/>
          <w:lang w:val="fr-FR"/>
        </w:rPr>
        <w:t>4 mars</w:t>
      </w:r>
      <w:r w:rsidRPr="00341681">
        <w:rPr>
          <w:b/>
          <w:sz w:val="24"/>
          <w:szCs w:val="24"/>
          <w:lang w:val="fr-FR"/>
        </w:rPr>
        <w:t> </w:t>
      </w:r>
      <w:r>
        <w:rPr>
          <w:b/>
          <w:sz w:val="24"/>
          <w:szCs w:val="24"/>
          <w:lang w:val="fr-FR"/>
        </w:rPr>
        <w:t>2022</w:t>
      </w:r>
    </w:p>
    <w:p w:rsidR="00EC396E" w:rsidRPr="00EC396E" w:rsidRDefault="00EC396E" w:rsidP="00EC396E">
      <w:pPr>
        <w:spacing w:after="360"/>
        <w:rPr>
          <w:caps/>
          <w:sz w:val="24"/>
          <w:szCs w:val="24"/>
          <w:lang w:val="fr-FR"/>
        </w:rPr>
      </w:pPr>
      <w:r w:rsidRPr="00EC396E">
        <w:rPr>
          <w:caps/>
          <w:sz w:val="24"/>
          <w:szCs w:val="24"/>
          <w:lang w:val="fr-FR"/>
        </w:rPr>
        <w:t>Exigence de divulgation internationale de la source pour les ressources génétiques et les savoirs traditionnels connexes dans les demandes de brevet – contribution à une approche fondée sur des données factuelles</w:t>
      </w:r>
    </w:p>
    <w:p w:rsidR="00EC396E" w:rsidRPr="00341681" w:rsidRDefault="00EC396E" w:rsidP="00EC396E">
      <w:pPr>
        <w:spacing w:after="1040"/>
        <w:rPr>
          <w:i/>
          <w:lang w:val="fr-FR"/>
        </w:rPr>
      </w:pPr>
      <w:r w:rsidRPr="002F3137">
        <w:rPr>
          <w:i/>
          <w:lang w:val="fr-FR"/>
        </w:rPr>
        <w:t>Document établi par la d</w:t>
      </w:r>
      <w:r>
        <w:rPr>
          <w:i/>
          <w:lang w:val="fr-FR"/>
        </w:rPr>
        <w:t>élé</w:t>
      </w:r>
      <w:r w:rsidRPr="002F3137">
        <w:rPr>
          <w:i/>
          <w:lang w:val="fr-FR"/>
        </w:rPr>
        <w:t>gation de la Suisse</w:t>
      </w:r>
    </w:p>
    <w:p w:rsidR="00CC5DF6" w:rsidRPr="00953B52" w:rsidRDefault="00CC5DF6" w:rsidP="00755B20">
      <w:pPr>
        <w:spacing w:after="220"/>
        <w:rPr>
          <w:lang w:val="fr-FR"/>
        </w:rPr>
      </w:pPr>
      <w:r w:rsidRPr="00953B52">
        <w:rPr>
          <w:lang w:val="fr-FR"/>
        </w:rPr>
        <w:t>INTRODUCTION</w:t>
      </w:r>
    </w:p>
    <w:p w:rsidR="00CC5DF6" w:rsidRPr="00956E31" w:rsidRDefault="00CC5DF6" w:rsidP="00755B20">
      <w:pPr>
        <w:pStyle w:val="ONUMFS"/>
        <w:rPr>
          <w:lang w:val="fr-FR"/>
        </w:rPr>
      </w:pPr>
      <w:r w:rsidRPr="00953B52">
        <w:rPr>
          <w:lang w:val="fr-FR"/>
        </w:rPr>
        <w:t xml:space="preserve">Le </w:t>
      </w:r>
      <w:r w:rsidR="00546B53" w:rsidRPr="00953B52">
        <w:rPr>
          <w:lang w:val="fr-FR"/>
        </w:rPr>
        <w:t>2</w:t>
      </w:r>
      <w:r w:rsidR="00546B53">
        <w:rPr>
          <w:lang w:val="fr-FR"/>
        </w:rPr>
        <w:t> </w:t>
      </w:r>
      <w:r w:rsidR="00546B53" w:rsidRPr="00953B52">
        <w:rPr>
          <w:lang w:val="fr-FR"/>
        </w:rPr>
        <w:t>mars</w:t>
      </w:r>
      <w:r w:rsidR="00546B53">
        <w:rPr>
          <w:lang w:val="fr-FR"/>
        </w:rPr>
        <w:t> </w:t>
      </w:r>
      <w:r w:rsidR="00546B53" w:rsidRPr="00953B52">
        <w:rPr>
          <w:lang w:val="fr-FR"/>
        </w:rPr>
        <w:t>20</w:t>
      </w:r>
      <w:r w:rsidRPr="00953B52">
        <w:rPr>
          <w:lang w:val="fr-FR"/>
        </w:rPr>
        <w:t>20, le Bureau international de l</w:t>
      </w:r>
      <w:r w:rsidR="00E84189">
        <w:rPr>
          <w:lang w:val="fr-FR"/>
        </w:rPr>
        <w:t>’</w:t>
      </w:r>
      <w:r w:rsidRPr="00953B52">
        <w:rPr>
          <w:lang w:val="fr-FR"/>
        </w:rPr>
        <w:t xml:space="preserve">Organisation </w:t>
      </w:r>
      <w:r w:rsidR="00095B51">
        <w:rPr>
          <w:lang w:val="fr-FR"/>
        </w:rPr>
        <w:t>Mondiale</w:t>
      </w:r>
      <w:r w:rsidRPr="00953B52">
        <w:rPr>
          <w:lang w:val="fr-FR"/>
        </w:rPr>
        <w:t xml:space="preserve"> de la </w:t>
      </w:r>
      <w:r w:rsidR="00095B51">
        <w:rPr>
          <w:lang w:val="fr-FR"/>
        </w:rPr>
        <w:t>Propriété Intellectuelle</w:t>
      </w:r>
      <w:r w:rsidRPr="00953B52">
        <w:rPr>
          <w:lang w:val="fr-FR"/>
        </w:rPr>
        <w:t xml:space="preserve"> (OMPI) a reçu une demande de la délégation de la Suisse visant à soumettre le document intitulé </w:t>
      </w:r>
      <w:r w:rsidR="00546B53">
        <w:rPr>
          <w:lang w:val="fr-FR"/>
        </w:rPr>
        <w:t>“</w:t>
      </w:r>
      <w:r w:rsidR="00546B53" w:rsidRPr="00953B52">
        <w:rPr>
          <w:lang w:val="fr-FR"/>
        </w:rPr>
        <w:t>E</w:t>
      </w:r>
      <w:r w:rsidRPr="00953B52">
        <w:rPr>
          <w:lang w:val="fr-FR"/>
        </w:rPr>
        <w:t>xigence de divulgation internationale de la source pour les ressources génétiques et les savoirs traditionnels connexes dans les demandes de brevet – contribution à une approche fondée sur des données factuelle</w:t>
      </w:r>
      <w:r w:rsidR="00546B53" w:rsidRPr="00953B52">
        <w:rPr>
          <w:lang w:val="fr-FR"/>
        </w:rPr>
        <w:t>s</w:t>
      </w:r>
      <w:r w:rsidR="00546B53">
        <w:rPr>
          <w:lang w:val="fr-FR"/>
        </w:rPr>
        <w:t>”</w:t>
      </w:r>
      <w:r w:rsidRPr="00953B52">
        <w:rPr>
          <w:lang w:val="fr-FR"/>
        </w:rPr>
        <w:t>, pour discussion</w:t>
      </w:r>
      <w:r w:rsidR="003D37BF">
        <w:rPr>
          <w:lang w:val="fr-FR"/>
        </w:rPr>
        <w:t xml:space="preserve"> au titre du </w:t>
      </w:r>
      <w:r w:rsidR="003D37BF" w:rsidRPr="003D37BF">
        <w:rPr>
          <w:lang w:val="fr-FR"/>
        </w:rPr>
        <w:t>point de l</w:t>
      </w:r>
      <w:r w:rsidR="00E84189">
        <w:rPr>
          <w:lang w:val="fr-FR"/>
        </w:rPr>
        <w:t>’</w:t>
      </w:r>
      <w:r w:rsidR="003D37BF" w:rsidRPr="003D37BF">
        <w:rPr>
          <w:lang w:val="fr-FR"/>
        </w:rPr>
        <w:t>ordre du jour consacré aux ressources génétiques</w:t>
      </w:r>
      <w:r w:rsidRPr="00953B52">
        <w:rPr>
          <w:lang w:val="fr-FR"/>
        </w:rPr>
        <w:t>, lors de la quarante</w:t>
      </w:r>
      <w:r w:rsidR="00E84189">
        <w:rPr>
          <w:lang w:val="fr-FR"/>
        </w:rPr>
        <w:t> et unième session</w:t>
      </w:r>
      <w:r w:rsidRPr="00953B52">
        <w:rPr>
          <w:lang w:val="fr-FR"/>
        </w:rPr>
        <w:t xml:space="preserve"> du Comité intergouvernemental de la propriété intellectuelle relative aux ressources génétiques, aux savoirs traditionnels et au folklore (IGC)</w:t>
      </w:r>
      <w:r w:rsidR="00691F77">
        <w:rPr>
          <w:lang w:val="fr-FR"/>
        </w:rPr>
        <w:t>,</w:t>
      </w:r>
      <w:r w:rsidR="00755B20" w:rsidRPr="00755B20">
        <w:t xml:space="preserve"> </w:t>
      </w:r>
      <w:r w:rsidR="00755B20" w:rsidRPr="00755B20">
        <w:rPr>
          <w:lang w:val="fr-FR"/>
        </w:rPr>
        <w:t>qui devait initialement se tenir</w:t>
      </w:r>
      <w:r w:rsidR="00956E31">
        <w:t xml:space="preserve"> du 16 au 20 mars </w:t>
      </w:r>
      <w:r w:rsidR="00691F77">
        <w:t xml:space="preserve">2020, </w:t>
      </w:r>
      <w:r w:rsidR="00956E31">
        <w:t>et reportée du 30 août au 3 septembre </w:t>
      </w:r>
      <w:r w:rsidR="00691F77">
        <w:t>2021</w:t>
      </w:r>
      <w:r w:rsidR="00956E31">
        <w:t xml:space="preserve"> en raison de la pandémie de </w:t>
      </w:r>
      <w:r w:rsidR="000B2FBE">
        <w:t>COVID</w:t>
      </w:r>
      <w:r w:rsidR="000B2FBE">
        <w:noBreakHyphen/>
      </w:r>
      <w:r w:rsidR="00691F77">
        <w:t xml:space="preserve">19.  </w:t>
      </w:r>
      <w:r w:rsidR="00956E31" w:rsidRPr="00956E31">
        <w:rPr>
          <w:lang w:val="fr-FR"/>
        </w:rPr>
        <w:t>Les États membres ayant décidé de ne pas traiter la question des ressources génétiques lors de la quarante</w:t>
      </w:r>
      <w:r w:rsidR="00E84189">
        <w:rPr>
          <w:lang w:val="fr-FR"/>
        </w:rPr>
        <w:t> et unième session</w:t>
      </w:r>
      <w:r w:rsidR="00956E31" w:rsidRPr="00956E31">
        <w:rPr>
          <w:lang w:val="fr-FR"/>
        </w:rPr>
        <w:t xml:space="preserve"> de l</w:t>
      </w:r>
      <w:r w:rsidR="00E84189">
        <w:rPr>
          <w:lang w:val="fr-FR"/>
        </w:rPr>
        <w:t>’</w:t>
      </w:r>
      <w:r w:rsidR="00956E31" w:rsidRPr="00956E31">
        <w:rPr>
          <w:lang w:val="fr-FR"/>
        </w:rPr>
        <w:t xml:space="preserve">IGC, </w:t>
      </w:r>
      <w:r w:rsidR="00956E31">
        <w:rPr>
          <w:lang w:val="fr-FR"/>
        </w:rPr>
        <w:t xml:space="preserve">le présent </w:t>
      </w:r>
      <w:r w:rsidR="00691F77" w:rsidRPr="00956E31">
        <w:rPr>
          <w:lang w:val="fr-FR"/>
        </w:rPr>
        <w:t xml:space="preserve">document </w:t>
      </w:r>
      <w:r w:rsidR="00DB6D1E">
        <w:rPr>
          <w:lang w:val="fr-FR"/>
        </w:rPr>
        <w:t>n</w:t>
      </w:r>
      <w:r w:rsidR="00E84189">
        <w:rPr>
          <w:lang w:val="fr-FR"/>
        </w:rPr>
        <w:t>’</w:t>
      </w:r>
      <w:r w:rsidR="00DB6D1E">
        <w:rPr>
          <w:lang w:val="fr-FR"/>
        </w:rPr>
        <w:t>a pas été soumis et étudié lors de ladite session</w:t>
      </w:r>
      <w:r w:rsidRPr="00956E31">
        <w:rPr>
          <w:lang w:val="fr-FR"/>
        </w:rPr>
        <w:t>.</w:t>
      </w:r>
    </w:p>
    <w:p w:rsidR="00691F77" w:rsidRPr="00DB6D1E" w:rsidRDefault="00DB6D1E" w:rsidP="00DB6D1E">
      <w:pPr>
        <w:pStyle w:val="ONUMFS"/>
        <w:rPr>
          <w:lang w:val="fr-FR"/>
        </w:rPr>
      </w:pPr>
      <w:r w:rsidRPr="00DB6D1E">
        <w:rPr>
          <w:lang w:val="fr-FR"/>
        </w:rPr>
        <w:t xml:space="preserve">Le </w:t>
      </w:r>
      <w:r w:rsidR="00691F77" w:rsidRPr="00DB6D1E">
        <w:rPr>
          <w:lang w:val="fr-FR"/>
        </w:rPr>
        <w:t>3</w:t>
      </w:r>
      <w:r w:rsidRPr="00DB6D1E">
        <w:rPr>
          <w:lang w:val="fr-FR"/>
        </w:rPr>
        <w:t> février </w:t>
      </w:r>
      <w:r w:rsidR="00691F77" w:rsidRPr="00DB6D1E">
        <w:rPr>
          <w:lang w:val="fr-FR"/>
        </w:rPr>
        <w:t xml:space="preserve">2022, </w:t>
      </w:r>
      <w:r w:rsidRPr="00DB6D1E">
        <w:rPr>
          <w:lang w:val="fr-FR"/>
        </w:rPr>
        <w:t>la délégation de la Suisse</w:t>
      </w:r>
      <w:r w:rsidR="00691F77" w:rsidRPr="00DB6D1E">
        <w:rPr>
          <w:lang w:val="fr-FR"/>
        </w:rPr>
        <w:t xml:space="preserve"> </w:t>
      </w:r>
      <w:r w:rsidRPr="00DB6D1E">
        <w:rPr>
          <w:lang w:val="fr-FR"/>
        </w:rPr>
        <w:t>a demandé à soumettre le même document aux délibérations de la quarante</w:t>
      </w:r>
      <w:r w:rsidR="000B2FBE">
        <w:rPr>
          <w:lang w:val="fr-FR"/>
        </w:rPr>
        <w:noBreakHyphen/>
      </w:r>
      <w:r w:rsidRPr="00DB6D1E">
        <w:rPr>
          <w:lang w:val="fr-FR"/>
        </w:rPr>
        <w:t>deux</w:t>
      </w:r>
      <w:r w:rsidR="00E84189">
        <w:rPr>
          <w:lang w:val="fr-FR"/>
        </w:rPr>
        <w:t>ième session</w:t>
      </w:r>
      <w:r w:rsidRPr="00DB6D1E">
        <w:rPr>
          <w:lang w:val="fr-FR"/>
        </w:rPr>
        <w:t xml:space="preserve"> de l</w:t>
      </w:r>
      <w:r w:rsidR="00E84189">
        <w:rPr>
          <w:lang w:val="fr-FR"/>
        </w:rPr>
        <w:t>’</w:t>
      </w:r>
      <w:r w:rsidR="00691F77" w:rsidRPr="00DB6D1E">
        <w:rPr>
          <w:lang w:val="fr-FR"/>
        </w:rPr>
        <w:t xml:space="preserve">IGC, </w:t>
      </w:r>
      <w:r>
        <w:rPr>
          <w:lang w:val="fr-FR"/>
        </w:rPr>
        <w:t xml:space="preserve">accompagné de quelques modifications pour refléter </w:t>
      </w:r>
      <w:r w:rsidRPr="00DB6D1E">
        <w:rPr>
          <w:lang w:val="fr-FR"/>
        </w:rPr>
        <w:t>le mandat de l</w:t>
      </w:r>
      <w:r w:rsidR="00E84189">
        <w:rPr>
          <w:lang w:val="fr-FR"/>
        </w:rPr>
        <w:t>’</w:t>
      </w:r>
      <w:r w:rsidRPr="00DB6D1E">
        <w:rPr>
          <w:lang w:val="fr-FR"/>
        </w:rPr>
        <w:t>IGC pour l</w:t>
      </w:r>
      <w:r w:rsidR="00E84189">
        <w:rPr>
          <w:lang w:val="fr-FR"/>
        </w:rPr>
        <w:t>’</w:t>
      </w:r>
      <w:r w:rsidRPr="00DB6D1E">
        <w:rPr>
          <w:lang w:val="fr-FR"/>
        </w:rPr>
        <w:t xml:space="preserve">exercice </w:t>
      </w:r>
      <w:r w:rsidR="00900FCF" w:rsidRPr="00DB6D1E">
        <w:rPr>
          <w:lang w:val="fr-FR"/>
        </w:rPr>
        <w:t>biennal</w:t>
      </w:r>
      <w:r w:rsidR="00900FCF">
        <w:rPr>
          <w:lang w:val="fr-FR"/>
        </w:rPr>
        <w:t> </w:t>
      </w:r>
      <w:r w:rsidR="00900FCF" w:rsidRPr="00DB6D1E">
        <w:rPr>
          <w:lang w:val="fr-FR"/>
        </w:rPr>
        <w:t>2022</w:t>
      </w:r>
      <w:r w:rsidR="000B2FBE">
        <w:rPr>
          <w:lang w:val="fr-FR"/>
        </w:rPr>
        <w:noBreakHyphen/>
      </w:r>
      <w:r w:rsidR="00691F77" w:rsidRPr="00DB6D1E">
        <w:rPr>
          <w:lang w:val="fr-FR"/>
        </w:rPr>
        <w:t xml:space="preserve">2023, </w:t>
      </w:r>
      <w:r>
        <w:rPr>
          <w:lang w:val="fr-FR"/>
        </w:rPr>
        <w:t xml:space="preserve">ainsi que les </w:t>
      </w:r>
      <w:r w:rsidR="00691F77" w:rsidRPr="00DB6D1E">
        <w:rPr>
          <w:lang w:val="fr-FR"/>
        </w:rPr>
        <w:t xml:space="preserve">documents </w:t>
      </w:r>
      <w:r>
        <w:rPr>
          <w:lang w:val="fr-FR"/>
        </w:rPr>
        <w:t>pertinents pour la quarante</w:t>
      </w:r>
      <w:r w:rsidR="000B2FBE">
        <w:rPr>
          <w:lang w:val="fr-FR"/>
        </w:rPr>
        <w:noBreakHyphen/>
      </w:r>
      <w:r>
        <w:rPr>
          <w:lang w:val="fr-FR"/>
        </w:rPr>
        <w:t>deux</w:t>
      </w:r>
      <w:r w:rsidR="00E84189">
        <w:rPr>
          <w:lang w:val="fr-FR"/>
        </w:rPr>
        <w:t>ième session</w:t>
      </w:r>
      <w:r>
        <w:rPr>
          <w:lang w:val="fr-FR"/>
        </w:rPr>
        <w:t xml:space="preserve"> de l</w:t>
      </w:r>
      <w:r w:rsidR="00E84189">
        <w:rPr>
          <w:lang w:val="fr-FR"/>
        </w:rPr>
        <w:t>’</w:t>
      </w:r>
      <w:r w:rsidR="00691F77" w:rsidRPr="00DB6D1E">
        <w:rPr>
          <w:lang w:val="fr-FR"/>
        </w:rPr>
        <w:t>IGC</w:t>
      </w:r>
      <w:r>
        <w:rPr>
          <w:lang w:val="fr-FR"/>
        </w:rPr>
        <w:t>.</w:t>
      </w:r>
    </w:p>
    <w:p w:rsidR="00CC5DF6" w:rsidRPr="00691F77" w:rsidRDefault="00CC5DF6" w:rsidP="005C0BD9">
      <w:pPr>
        <w:pStyle w:val="ONUMFS"/>
        <w:rPr>
          <w:lang w:val="fr-FR"/>
        </w:rPr>
      </w:pPr>
      <w:r w:rsidRPr="00691F77">
        <w:rPr>
          <w:lang w:val="fr-FR"/>
        </w:rPr>
        <w:lastRenderedPageBreak/>
        <w:t>Conformément à cette demande, l</w:t>
      </w:r>
      <w:r w:rsidR="00E84189">
        <w:rPr>
          <w:lang w:val="fr-FR"/>
        </w:rPr>
        <w:t>’</w:t>
      </w:r>
      <w:r w:rsidRPr="00691F77">
        <w:rPr>
          <w:lang w:val="fr-FR"/>
        </w:rPr>
        <w:t>annexe du présent document contient le texte susmentionné.</w:t>
      </w:r>
    </w:p>
    <w:p w:rsidR="00CC5DF6" w:rsidRPr="00953B52" w:rsidRDefault="00CC5DF6" w:rsidP="005C0BD9">
      <w:pPr>
        <w:pStyle w:val="ONUMFS"/>
        <w:tabs>
          <w:tab w:val="left" w:pos="6096"/>
        </w:tabs>
        <w:ind w:left="5533"/>
        <w:rPr>
          <w:i/>
          <w:lang w:val="fr-FR"/>
        </w:rPr>
      </w:pPr>
      <w:r w:rsidRPr="00953B52">
        <w:rPr>
          <w:i/>
          <w:lang w:val="fr-FR"/>
        </w:rPr>
        <w:t xml:space="preserve">Le </w:t>
      </w:r>
      <w:r w:rsidR="00E42C2C">
        <w:rPr>
          <w:i/>
          <w:lang w:val="fr-FR"/>
        </w:rPr>
        <w:t>c</w:t>
      </w:r>
      <w:r w:rsidRPr="00953B52">
        <w:rPr>
          <w:i/>
          <w:lang w:val="fr-FR"/>
        </w:rPr>
        <w:t>omité est invité à prendre note du texte contenu dans l</w:t>
      </w:r>
      <w:r w:rsidR="00E84189">
        <w:rPr>
          <w:i/>
          <w:lang w:val="fr-FR"/>
        </w:rPr>
        <w:t>’</w:t>
      </w:r>
      <w:r w:rsidRPr="00953B52">
        <w:rPr>
          <w:i/>
          <w:lang w:val="fr-FR"/>
        </w:rPr>
        <w:t>annexe du présent document et à l</w:t>
      </w:r>
      <w:r w:rsidR="00E84189">
        <w:rPr>
          <w:i/>
          <w:lang w:val="fr-FR"/>
        </w:rPr>
        <w:t>’</w:t>
      </w:r>
      <w:r w:rsidRPr="00953B52">
        <w:rPr>
          <w:i/>
          <w:lang w:val="fr-FR"/>
        </w:rPr>
        <w:t>examiner.</w:t>
      </w:r>
    </w:p>
    <w:p w:rsidR="00CC5DF6" w:rsidRPr="00953B52" w:rsidRDefault="00CC5DF6" w:rsidP="00BC4014">
      <w:pPr>
        <w:pStyle w:val="Endofdocument-Annex"/>
        <w:spacing w:before="720"/>
        <w:rPr>
          <w:lang w:val="fr-FR"/>
        </w:rPr>
        <w:sectPr w:rsidR="00CC5DF6" w:rsidRPr="00953B52" w:rsidSect="00691F77">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953B52">
        <w:rPr>
          <w:lang w:val="fr-FR"/>
        </w:rPr>
        <w:t>[L</w:t>
      </w:r>
      <w:r w:rsidR="00E84189">
        <w:rPr>
          <w:lang w:val="fr-FR"/>
        </w:rPr>
        <w:t>’</w:t>
      </w:r>
      <w:r w:rsidRPr="00953B52">
        <w:rPr>
          <w:lang w:val="fr-FR"/>
        </w:rPr>
        <w:t>annexe suit]</w:t>
      </w:r>
    </w:p>
    <w:p w:rsidR="00CC5DF6" w:rsidRPr="00953B52" w:rsidRDefault="00CC5DF6" w:rsidP="005C0BD9">
      <w:pPr>
        <w:pStyle w:val="Text"/>
        <w:rPr>
          <w:rFonts w:ascii="Arial" w:hAnsi="Arial" w:cs="Arial"/>
          <w:b/>
          <w:sz w:val="22"/>
          <w:szCs w:val="22"/>
          <w:lang w:val="fr-FR"/>
        </w:rPr>
      </w:pPr>
      <w:r w:rsidRPr="00953B52">
        <w:rPr>
          <w:rFonts w:ascii="Arial" w:hAnsi="Arial" w:cs="Arial"/>
          <w:b/>
          <w:sz w:val="22"/>
          <w:szCs w:val="22"/>
          <w:lang w:val="fr-FR"/>
        </w:rPr>
        <w:lastRenderedPageBreak/>
        <w:t xml:space="preserve">Exigence de divulgation internationale de la source pour les ressources génétiques et les savoirs traditionnels connexes dans les </w:t>
      </w:r>
      <w:r w:rsidR="008D2CAF">
        <w:rPr>
          <w:rFonts w:ascii="Arial" w:hAnsi="Arial" w:cs="Arial"/>
          <w:b/>
          <w:sz w:val="22"/>
          <w:szCs w:val="22"/>
          <w:lang w:val="fr-FR"/>
        </w:rPr>
        <w:t>demandes de brevet – c</w:t>
      </w:r>
      <w:r w:rsidRPr="00953B52">
        <w:rPr>
          <w:rFonts w:ascii="Arial" w:hAnsi="Arial" w:cs="Arial"/>
          <w:b/>
          <w:sz w:val="22"/>
          <w:szCs w:val="22"/>
          <w:lang w:val="fr-FR"/>
        </w:rPr>
        <w:t>ontribution à une approche fondée sur des données factuelles</w:t>
      </w:r>
    </w:p>
    <w:p w:rsidR="00CC5DF6" w:rsidRPr="00953B52" w:rsidRDefault="00CC5DF6" w:rsidP="005C0BD9">
      <w:pPr>
        <w:pStyle w:val="Text"/>
        <w:rPr>
          <w:rFonts w:ascii="Arial" w:hAnsi="Arial" w:cs="Arial"/>
          <w:b/>
          <w:sz w:val="22"/>
          <w:szCs w:val="22"/>
          <w:lang w:val="fr-FR"/>
        </w:rPr>
      </w:pPr>
    </w:p>
    <w:p w:rsidR="00CC5DF6" w:rsidRPr="00953B52" w:rsidRDefault="00CC5DF6" w:rsidP="005C0BD9">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lang w:val="fr-FR"/>
        </w:rPr>
      </w:pPr>
      <w:r w:rsidRPr="00953B52">
        <w:rPr>
          <w:rFonts w:ascii="Arial" w:hAnsi="Arial" w:cs="Arial"/>
          <w:b/>
          <w:sz w:val="22"/>
          <w:szCs w:val="22"/>
          <w:lang w:val="fr-FR"/>
        </w:rPr>
        <w:t>Résumé</w:t>
      </w:r>
    </w:p>
    <w:p w:rsidR="00CC5DF6" w:rsidRPr="00953B52" w:rsidRDefault="00CC5DF6" w:rsidP="005C0BD9">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fr-FR"/>
        </w:rPr>
      </w:pPr>
      <w:bookmarkStart w:id="3" w:name="_Hlk50445422"/>
      <w:r w:rsidRPr="00953B52">
        <w:rPr>
          <w:rFonts w:ascii="Arial" w:hAnsi="Arial" w:cs="Arial"/>
          <w:sz w:val="22"/>
          <w:szCs w:val="22"/>
          <w:lang w:val="fr-FR"/>
        </w:rPr>
        <w:t>Les exigences de divulgation en matière de brevets concernant les ressources génétiques et les savoirs traditionnels connexes font l</w:t>
      </w:r>
      <w:r w:rsidR="00E84189">
        <w:rPr>
          <w:rFonts w:ascii="Arial" w:hAnsi="Arial" w:cs="Arial"/>
          <w:sz w:val="22"/>
          <w:szCs w:val="22"/>
          <w:lang w:val="fr-FR"/>
        </w:rPr>
        <w:t>’</w:t>
      </w:r>
      <w:r w:rsidRPr="00953B52">
        <w:rPr>
          <w:rFonts w:ascii="Arial" w:hAnsi="Arial" w:cs="Arial"/>
          <w:sz w:val="22"/>
          <w:szCs w:val="22"/>
          <w:lang w:val="fr-FR"/>
        </w:rPr>
        <w:t>objet de discussions au sein de l</w:t>
      </w:r>
      <w:r w:rsidR="00E84189">
        <w:rPr>
          <w:rFonts w:ascii="Arial" w:hAnsi="Arial" w:cs="Arial"/>
          <w:sz w:val="22"/>
          <w:szCs w:val="22"/>
          <w:lang w:val="fr-FR"/>
        </w:rPr>
        <w:t>’</w:t>
      </w:r>
      <w:r w:rsidRPr="00953B52">
        <w:rPr>
          <w:rFonts w:ascii="Arial" w:hAnsi="Arial" w:cs="Arial"/>
          <w:sz w:val="22"/>
          <w:szCs w:val="22"/>
          <w:lang w:val="fr-FR"/>
        </w:rPr>
        <w:t xml:space="preserve">Organisation </w:t>
      </w:r>
      <w:r w:rsidR="00095B51">
        <w:rPr>
          <w:rFonts w:ascii="Arial" w:hAnsi="Arial" w:cs="Arial"/>
          <w:sz w:val="22"/>
          <w:szCs w:val="22"/>
          <w:lang w:val="fr-FR"/>
        </w:rPr>
        <w:t>Mondiale</w:t>
      </w:r>
      <w:r w:rsidRPr="00953B52">
        <w:rPr>
          <w:rFonts w:ascii="Arial" w:hAnsi="Arial" w:cs="Arial"/>
          <w:sz w:val="22"/>
          <w:szCs w:val="22"/>
          <w:lang w:val="fr-FR"/>
        </w:rPr>
        <w:t xml:space="preserve"> de la </w:t>
      </w:r>
      <w:r w:rsidR="00095B51">
        <w:rPr>
          <w:rFonts w:ascii="Arial" w:hAnsi="Arial" w:cs="Arial"/>
          <w:sz w:val="22"/>
          <w:szCs w:val="22"/>
          <w:lang w:val="fr-FR"/>
        </w:rPr>
        <w:t>Propriété Intellectuelle</w:t>
      </w:r>
      <w:r w:rsidRPr="00953B52">
        <w:rPr>
          <w:rFonts w:ascii="Arial" w:hAnsi="Arial" w:cs="Arial"/>
          <w:sz w:val="22"/>
          <w:szCs w:val="22"/>
          <w:lang w:val="fr-FR"/>
        </w:rPr>
        <w:t xml:space="preserve"> (OMPI) depuis de nombreuses anné</w:t>
      </w:r>
      <w:bookmarkEnd w:id="3"/>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Il</w:t>
      </w:r>
      <w:r w:rsidRPr="00953B52">
        <w:rPr>
          <w:rFonts w:ascii="Arial" w:hAnsi="Arial" w:cs="Arial"/>
          <w:sz w:val="22"/>
          <w:szCs w:val="22"/>
          <w:lang w:val="fr-FR"/>
        </w:rPr>
        <w:t xml:space="preserve"> est donc </w:t>
      </w:r>
      <w:r w:rsidRPr="00953B52">
        <w:rPr>
          <w:rFonts w:ascii="Arial" w:hAnsi="Arial" w:cs="Arial"/>
          <w:b/>
          <w:bCs/>
          <w:sz w:val="22"/>
          <w:szCs w:val="22"/>
          <w:lang w:val="fr-FR"/>
        </w:rPr>
        <w:t xml:space="preserve">temps de déterminer </w:t>
      </w:r>
      <w:bookmarkStart w:id="4" w:name="_Hlk50448337"/>
      <w:r w:rsidRPr="00953B52">
        <w:rPr>
          <w:rFonts w:ascii="Arial" w:hAnsi="Arial" w:cs="Arial"/>
          <w:b/>
          <w:bCs/>
          <w:sz w:val="22"/>
          <w:szCs w:val="22"/>
          <w:lang w:val="fr-FR"/>
        </w:rPr>
        <w:t xml:space="preserve">si une exigence de divulgation internationale en matière de brevets est encore utile pour protéger les ressources génétiques et les savoirs traditionnels </w:t>
      </w:r>
      <w:bookmarkEnd w:id="4"/>
      <w:r w:rsidRPr="00953B52">
        <w:rPr>
          <w:rFonts w:ascii="Arial" w:hAnsi="Arial" w:cs="Arial"/>
          <w:b/>
          <w:bCs/>
          <w:sz w:val="22"/>
          <w:szCs w:val="22"/>
          <w:lang w:val="fr-FR"/>
        </w:rPr>
        <w:t>connexes</w:t>
      </w:r>
      <w:r w:rsidRPr="00953B52">
        <w:rPr>
          <w:rFonts w:ascii="Arial" w:hAnsi="Arial" w:cs="Arial"/>
          <w:sz w:val="22"/>
          <w:szCs w:val="22"/>
          <w:lang w:val="fr-FR"/>
        </w:rPr>
        <w:t>.</w:t>
      </w:r>
    </w:p>
    <w:p w:rsidR="00546B53" w:rsidRDefault="00CC5DF6" w:rsidP="005C0BD9">
      <w:pPr>
        <w:pStyle w:val="Text"/>
        <w:pBdr>
          <w:top w:val="single" w:sz="4" w:space="1" w:color="auto"/>
          <w:left w:val="single" w:sz="4" w:space="4" w:color="auto"/>
          <w:bottom w:val="single" w:sz="4" w:space="1" w:color="auto"/>
          <w:right w:val="single" w:sz="4" w:space="4" w:color="auto"/>
        </w:pBdr>
        <w:spacing w:after="160"/>
        <w:rPr>
          <w:rFonts w:ascii="Arial" w:hAnsi="Arial" w:cs="Arial"/>
          <w:bCs/>
          <w:sz w:val="22"/>
          <w:szCs w:val="22"/>
          <w:lang w:val="fr-FR"/>
        </w:rPr>
      </w:pPr>
      <w:bookmarkStart w:id="5" w:name="_Hlk50448178"/>
      <w:r w:rsidRPr="00953B52">
        <w:rPr>
          <w:rFonts w:ascii="Arial" w:hAnsi="Arial" w:cs="Arial"/>
          <w:sz w:val="22"/>
          <w:szCs w:val="22"/>
          <w:lang w:val="fr-FR"/>
        </w:rPr>
        <w:t xml:space="preserve">Le présent document donne une </w:t>
      </w:r>
      <w:r w:rsidRPr="00953B52">
        <w:rPr>
          <w:rFonts w:ascii="Arial" w:hAnsi="Arial" w:cs="Arial"/>
          <w:b/>
          <w:bCs/>
          <w:sz w:val="22"/>
          <w:szCs w:val="22"/>
          <w:lang w:val="fr-FR"/>
        </w:rPr>
        <w:t>vue d</w:t>
      </w:r>
      <w:r w:rsidR="00E84189">
        <w:rPr>
          <w:rFonts w:ascii="Arial" w:hAnsi="Arial" w:cs="Arial"/>
          <w:b/>
          <w:bCs/>
          <w:sz w:val="22"/>
          <w:szCs w:val="22"/>
          <w:lang w:val="fr-FR"/>
        </w:rPr>
        <w:t>’</w:t>
      </w:r>
      <w:r w:rsidRPr="00953B52">
        <w:rPr>
          <w:rFonts w:ascii="Arial" w:hAnsi="Arial" w:cs="Arial"/>
          <w:b/>
          <w:bCs/>
          <w:sz w:val="22"/>
          <w:szCs w:val="22"/>
          <w:lang w:val="fr-FR"/>
        </w:rPr>
        <w:t xml:space="preserve">ensemble </w:t>
      </w:r>
      <w:bookmarkStart w:id="6" w:name="_Hlk50449468"/>
      <w:r w:rsidRPr="00953B52">
        <w:rPr>
          <w:rFonts w:ascii="Arial" w:hAnsi="Arial" w:cs="Arial"/>
          <w:b/>
          <w:bCs/>
          <w:sz w:val="22"/>
          <w:szCs w:val="22"/>
          <w:lang w:val="fr-FR"/>
        </w:rPr>
        <w:t>de la situation juridique, de la situation technologique et de la situation en termes de brevets, liées aux ressources génétiques et aux savoirs traditionnels connexes</w:t>
      </w:r>
      <w:r w:rsidRPr="00953B52">
        <w:rPr>
          <w:rFonts w:ascii="Arial" w:hAnsi="Arial" w:cs="Arial"/>
          <w:sz w:val="22"/>
          <w:szCs w:val="22"/>
          <w:lang w:val="fr-FR"/>
        </w:rPr>
        <w:t xml:space="preserve"> </w:t>
      </w:r>
      <w:bookmarkEnd w:id="6"/>
      <w:r w:rsidRPr="00953B52">
        <w:rPr>
          <w:rFonts w:ascii="Arial" w:hAnsi="Arial" w:cs="Arial"/>
          <w:sz w:val="22"/>
          <w:szCs w:val="22"/>
          <w:lang w:val="fr-FR"/>
        </w:rPr>
        <w:t>(</w:t>
      </w:r>
      <w:r w:rsidR="00546B53" w:rsidRPr="00953B52">
        <w:rPr>
          <w:rFonts w:ascii="Arial" w:hAnsi="Arial" w:cs="Arial"/>
          <w:sz w:val="22"/>
          <w:szCs w:val="22"/>
          <w:lang w:val="fr-FR"/>
        </w:rPr>
        <w:t>section</w:t>
      </w:r>
      <w:r w:rsidR="00546B53">
        <w:rPr>
          <w:rFonts w:ascii="Arial" w:hAnsi="Arial" w:cs="Arial"/>
          <w:sz w:val="22"/>
          <w:szCs w:val="22"/>
          <w:lang w:val="fr-FR"/>
        </w:rPr>
        <w:t> </w:t>
      </w:r>
      <w:r w:rsidR="00546B53" w:rsidRPr="00953B52">
        <w:rPr>
          <w:rFonts w:ascii="Arial" w:hAnsi="Arial" w:cs="Arial"/>
          <w:sz w:val="22"/>
          <w:szCs w:val="22"/>
          <w:lang w:val="fr-FR"/>
        </w:rPr>
        <w:t>2</w:t>
      </w:r>
      <w:r w:rsidRPr="00953B52">
        <w:rPr>
          <w:rFonts w:ascii="Arial" w:hAnsi="Arial" w:cs="Arial"/>
          <w:sz w:val="22"/>
          <w:szCs w:val="22"/>
          <w:lang w:val="fr-FR"/>
        </w:rPr>
        <w:t>)</w:t>
      </w:r>
      <w:r w:rsidRPr="00953B52">
        <w:rPr>
          <w:rFonts w:ascii="Arial" w:hAnsi="Arial" w:cs="Arial"/>
          <w:bCs/>
          <w:sz w:val="22"/>
          <w:szCs w:val="22"/>
          <w:lang w:val="fr-FR"/>
        </w:rPr>
        <w:t xml:space="preserve">. </w:t>
      </w:r>
      <w:bookmarkEnd w:id="5"/>
      <w:r w:rsidR="00513138">
        <w:rPr>
          <w:rFonts w:ascii="Arial" w:hAnsi="Arial" w:cs="Arial"/>
          <w:bCs/>
          <w:sz w:val="22"/>
          <w:szCs w:val="22"/>
          <w:lang w:val="fr-FR"/>
        </w:rPr>
        <w:t xml:space="preserve"> </w:t>
      </w:r>
      <w:r w:rsidRPr="00953B52">
        <w:rPr>
          <w:rFonts w:ascii="Arial" w:hAnsi="Arial" w:cs="Arial"/>
          <w:bCs/>
          <w:sz w:val="22"/>
          <w:szCs w:val="22"/>
          <w:lang w:val="fr-FR"/>
        </w:rPr>
        <w:t>Il s</w:t>
      </w:r>
      <w:r w:rsidR="00E84189">
        <w:rPr>
          <w:rFonts w:ascii="Arial" w:hAnsi="Arial" w:cs="Arial"/>
          <w:bCs/>
          <w:sz w:val="22"/>
          <w:szCs w:val="22"/>
          <w:lang w:val="fr-FR"/>
        </w:rPr>
        <w:t>’</w:t>
      </w:r>
      <w:r w:rsidRPr="00953B52">
        <w:rPr>
          <w:rFonts w:ascii="Arial" w:hAnsi="Arial" w:cs="Arial"/>
          <w:bCs/>
          <w:sz w:val="22"/>
          <w:szCs w:val="22"/>
          <w:lang w:val="fr-FR"/>
        </w:rPr>
        <w:t xml:space="preserve">avère que </w:t>
      </w:r>
      <w:r w:rsidRPr="00953B52">
        <w:rPr>
          <w:rFonts w:ascii="Arial" w:hAnsi="Arial" w:cs="Arial"/>
          <w:b/>
          <w:sz w:val="22"/>
          <w:szCs w:val="22"/>
          <w:lang w:val="fr-FR"/>
        </w:rPr>
        <w:t>ces conditions ont considérablement évolué</w:t>
      </w:r>
      <w:r w:rsidRPr="00953B52">
        <w:rPr>
          <w:rFonts w:ascii="Arial" w:hAnsi="Arial" w:cs="Arial"/>
          <w:bCs/>
          <w:sz w:val="22"/>
          <w:szCs w:val="22"/>
          <w:lang w:val="fr-FR"/>
        </w:rPr>
        <w:t xml:space="preserve"> ces dernières années, à la fois au niveau international et au niveau national</w:t>
      </w:r>
      <w:r w:rsidR="00E84189">
        <w:rPr>
          <w:rFonts w:ascii="Arial" w:hAnsi="Arial" w:cs="Arial"/>
          <w:bCs/>
          <w:sz w:val="22"/>
          <w:szCs w:val="22"/>
          <w:lang w:val="fr-FR"/>
        </w:rPr>
        <w:t> :</w:t>
      </w:r>
    </w:p>
    <w:p w:rsidR="00CC5DF6" w:rsidRPr="00953B52" w:rsidRDefault="00CC5DF6" w:rsidP="005C0BD9">
      <w:pPr>
        <w:pStyle w:val="Text"/>
        <w:numPr>
          <w:ilvl w:val="0"/>
          <w:numId w:val="16"/>
        </w:numPr>
        <w:pBdr>
          <w:top w:val="single" w:sz="4" w:space="1" w:color="auto"/>
          <w:left w:val="single" w:sz="4" w:space="4" w:color="auto"/>
          <w:bottom w:val="single" w:sz="4" w:space="1" w:color="auto"/>
          <w:right w:val="single" w:sz="4" w:space="4" w:color="auto"/>
        </w:pBdr>
        <w:spacing w:after="80"/>
        <w:ind w:left="567" w:hanging="567"/>
        <w:rPr>
          <w:rFonts w:ascii="Arial" w:hAnsi="Arial" w:cs="Arial"/>
          <w:sz w:val="22"/>
          <w:szCs w:val="22"/>
          <w:lang w:val="fr-FR"/>
        </w:rPr>
      </w:pPr>
      <w:r w:rsidRPr="00953B52">
        <w:rPr>
          <w:rFonts w:ascii="Arial" w:hAnsi="Arial" w:cs="Arial"/>
          <w:b/>
          <w:sz w:val="22"/>
          <w:szCs w:val="22"/>
          <w:lang w:val="fr-FR"/>
        </w:rPr>
        <w:t>Situation juridique</w:t>
      </w:r>
      <w:r w:rsidR="00E84189">
        <w:rPr>
          <w:rFonts w:ascii="Arial" w:hAnsi="Arial" w:cs="Arial"/>
          <w:b/>
          <w:sz w:val="22"/>
          <w:szCs w:val="22"/>
          <w:lang w:val="fr-FR"/>
        </w:rPr>
        <w:t> :</w:t>
      </w:r>
      <w:r w:rsidRPr="00953B52">
        <w:rPr>
          <w:rFonts w:ascii="Arial" w:hAnsi="Arial" w:cs="Arial"/>
          <w:sz w:val="22"/>
          <w:szCs w:val="22"/>
          <w:lang w:val="fr-FR"/>
        </w:rPr>
        <w:t xml:space="preserve"> des instruments internationaux relatifs aux ressources génétiques et aux savoirs traditionnels connexes ont été adoptés ou révisés ou sont en cours de négociati</w:t>
      </w:r>
      <w:r w:rsidR="0003571D" w:rsidRPr="00953B52">
        <w:rPr>
          <w:rFonts w:ascii="Arial" w:hAnsi="Arial" w:cs="Arial"/>
          <w:sz w:val="22"/>
          <w:szCs w:val="22"/>
          <w:lang w:val="fr-FR"/>
        </w:rPr>
        <w:t>on</w:t>
      </w:r>
      <w:r w:rsidR="0003571D">
        <w:rPr>
          <w:rFonts w:ascii="Arial" w:hAnsi="Arial" w:cs="Arial"/>
          <w:sz w:val="22"/>
          <w:szCs w:val="22"/>
          <w:lang w:val="fr-FR"/>
        </w:rPr>
        <w:t xml:space="preserve">.  </w:t>
      </w:r>
      <w:r w:rsidR="0003571D" w:rsidRPr="00953B52">
        <w:rPr>
          <w:rFonts w:ascii="Arial" w:hAnsi="Arial" w:cs="Arial"/>
          <w:sz w:val="22"/>
          <w:szCs w:val="22"/>
          <w:lang w:val="fr-FR"/>
        </w:rPr>
        <w:t>Au</w:t>
      </w:r>
      <w:r w:rsidRPr="00953B52">
        <w:rPr>
          <w:rFonts w:ascii="Arial" w:hAnsi="Arial" w:cs="Arial"/>
          <w:sz w:val="22"/>
          <w:szCs w:val="22"/>
          <w:lang w:val="fr-FR"/>
        </w:rPr>
        <w:t xml:space="preserve"> niveau national, plus de 30</w:t>
      </w:r>
      <w:r w:rsidR="00513138">
        <w:rPr>
          <w:rFonts w:ascii="Arial" w:hAnsi="Arial" w:cs="Arial"/>
          <w:sz w:val="22"/>
          <w:szCs w:val="22"/>
          <w:lang w:val="fr-FR"/>
        </w:rPr>
        <w:t> </w:t>
      </w:r>
      <w:r w:rsidRPr="00953B52">
        <w:rPr>
          <w:rFonts w:ascii="Arial" w:hAnsi="Arial" w:cs="Arial"/>
          <w:sz w:val="22"/>
          <w:szCs w:val="22"/>
          <w:lang w:val="fr-FR"/>
        </w:rPr>
        <w:t xml:space="preserve">exigences de divulgation en matière de brevets ont été présentées et sont très variables en ce qui concerne leur portée géographique, leur objet, </w:t>
      </w:r>
      <w:r w:rsidR="00546B53">
        <w:rPr>
          <w:rFonts w:ascii="Arial" w:hAnsi="Arial" w:cs="Arial"/>
          <w:sz w:val="22"/>
          <w:szCs w:val="22"/>
          <w:lang w:val="fr-FR"/>
        </w:rPr>
        <w:t>“</w:t>
      </w:r>
      <w:r w:rsidR="00546B53" w:rsidRPr="00953B52">
        <w:rPr>
          <w:rFonts w:ascii="Arial" w:hAnsi="Arial" w:cs="Arial"/>
          <w:sz w:val="22"/>
          <w:szCs w:val="22"/>
          <w:lang w:val="fr-FR"/>
        </w:rPr>
        <w:t>l</w:t>
      </w:r>
      <w:r w:rsidR="00E84189">
        <w:rPr>
          <w:rFonts w:ascii="Arial" w:hAnsi="Arial" w:cs="Arial"/>
          <w:sz w:val="22"/>
          <w:szCs w:val="22"/>
          <w:lang w:val="fr-FR"/>
        </w:rPr>
        <w:t>’</w:t>
      </w:r>
      <w:r w:rsidRPr="00953B52">
        <w:rPr>
          <w:rFonts w:ascii="Arial" w:hAnsi="Arial" w:cs="Arial"/>
          <w:sz w:val="22"/>
          <w:szCs w:val="22"/>
          <w:lang w:val="fr-FR"/>
        </w:rPr>
        <w:t>élément déclencheu</w:t>
      </w:r>
      <w:r w:rsidR="00546B53" w:rsidRPr="00953B52">
        <w:rPr>
          <w:rFonts w:ascii="Arial" w:hAnsi="Arial" w:cs="Arial"/>
          <w:sz w:val="22"/>
          <w:szCs w:val="22"/>
          <w:lang w:val="fr-FR"/>
        </w:rPr>
        <w:t>r</w:t>
      </w:r>
      <w:r w:rsidR="00546B53">
        <w:rPr>
          <w:rFonts w:ascii="Arial" w:hAnsi="Arial" w:cs="Arial"/>
          <w:sz w:val="22"/>
          <w:szCs w:val="22"/>
          <w:lang w:val="fr-FR"/>
        </w:rPr>
        <w:t>”</w:t>
      </w:r>
      <w:r w:rsidRPr="00953B52">
        <w:rPr>
          <w:rFonts w:ascii="Arial" w:hAnsi="Arial" w:cs="Arial"/>
          <w:sz w:val="22"/>
          <w:szCs w:val="22"/>
          <w:lang w:val="fr-FR"/>
        </w:rPr>
        <w:t xml:space="preserve">, le </w:t>
      </w:r>
      <w:r w:rsidR="00546B53">
        <w:rPr>
          <w:rFonts w:ascii="Arial" w:hAnsi="Arial" w:cs="Arial"/>
          <w:sz w:val="22"/>
          <w:szCs w:val="22"/>
          <w:lang w:val="fr-FR"/>
        </w:rPr>
        <w:t>“</w:t>
      </w:r>
      <w:r w:rsidR="00546B53" w:rsidRPr="00953B52">
        <w:rPr>
          <w:rFonts w:ascii="Arial" w:hAnsi="Arial" w:cs="Arial"/>
          <w:sz w:val="22"/>
          <w:szCs w:val="22"/>
          <w:lang w:val="fr-FR"/>
        </w:rPr>
        <w:t>c</w:t>
      </w:r>
      <w:r w:rsidRPr="00953B52">
        <w:rPr>
          <w:rFonts w:ascii="Arial" w:hAnsi="Arial" w:cs="Arial"/>
          <w:sz w:val="22"/>
          <w:szCs w:val="22"/>
          <w:lang w:val="fr-FR"/>
        </w:rPr>
        <w:t>onten</w:t>
      </w:r>
      <w:r w:rsidR="00546B53" w:rsidRPr="00953B52">
        <w:rPr>
          <w:rFonts w:ascii="Arial" w:hAnsi="Arial" w:cs="Arial"/>
          <w:sz w:val="22"/>
          <w:szCs w:val="22"/>
          <w:lang w:val="fr-FR"/>
        </w:rPr>
        <w:t>u</w:t>
      </w:r>
      <w:r w:rsidR="00546B53">
        <w:rPr>
          <w:rFonts w:ascii="Arial" w:hAnsi="Arial" w:cs="Arial"/>
          <w:sz w:val="22"/>
          <w:szCs w:val="22"/>
          <w:lang w:val="fr-FR"/>
        </w:rPr>
        <w:t>”</w:t>
      </w:r>
      <w:r w:rsidRPr="00953B52">
        <w:rPr>
          <w:rFonts w:ascii="Arial" w:hAnsi="Arial" w:cs="Arial"/>
          <w:sz w:val="22"/>
          <w:szCs w:val="22"/>
          <w:lang w:val="fr-FR"/>
        </w:rPr>
        <w:t xml:space="preserve"> et les conséquences du non</w:t>
      </w:r>
      <w:r w:rsidR="000B2FBE">
        <w:rPr>
          <w:rFonts w:ascii="Arial" w:hAnsi="Arial" w:cs="Arial"/>
          <w:sz w:val="22"/>
          <w:szCs w:val="22"/>
          <w:lang w:val="fr-FR"/>
        </w:rPr>
        <w:noBreakHyphen/>
      </w:r>
      <w:r w:rsidRPr="00953B52">
        <w:rPr>
          <w:rFonts w:ascii="Arial" w:hAnsi="Arial" w:cs="Arial"/>
          <w:sz w:val="22"/>
          <w:szCs w:val="22"/>
          <w:lang w:val="fr-FR"/>
        </w:rPr>
        <w:t>respect de ces exigenc</w:t>
      </w:r>
      <w:r w:rsidR="0003571D" w:rsidRPr="00953B52">
        <w:rPr>
          <w:rFonts w:ascii="Arial" w:hAnsi="Arial" w:cs="Arial"/>
          <w:sz w:val="22"/>
          <w:szCs w:val="22"/>
          <w:lang w:val="fr-FR"/>
        </w:rPr>
        <w:t>es</w:t>
      </w:r>
      <w:r w:rsidR="0003571D">
        <w:rPr>
          <w:rFonts w:ascii="Arial" w:hAnsi="Arial" w:cs="Arial"/>
          <w:sz w:val="22"/>
          <w:szCs w:val="22"/>
          <w:lang w:val="fr-FR"/>
        </w:rPr>
        <w:t xml:space="preserve">.  </w:t>
      </w:r>
      <w:bookmarkStart w:id="7" w:name="_Hlk51054462"/>
      <w:r w:rsidR="0003571D" w:rsidRPr="00953B52">
        <w:rPr>
          <w:rFonts w:ascii="Arial" w:hAnsi="Arial" w:cs="Arial"/>
          <w:sz w:val="22"/>
          <w:szCs w:val="22"/>
          <w:lang w:val="fr-FR"/>
        </w:rPr>
        <w:t>En</w:t>
      </w:r>
      <w:r w:rsidRPr="00953B52">
        <w:rPr>
          <w:rFonts w:ascii="Arial" w:hAnsi="Arial" w:cs="Arial"/>
          <w:sz w:val="22"/>
          <w:szCs w:val="22"/>
          <w:lang w:val="fr-FR"/>
        </w:rPr>
        <w:t xml:space="preserve"> l</w:t>
      </w:r>
      <w:r w:rsidR="00E84189">
        <w:rPr>
          <w:rFonts w:ascii="Arial" w:hAnsi="Arial" w:cs="Arial"/>
          <w:sz w:val="22"/>
          <w:szCs w:val="22"/>
          <w:lang w:val="fr-FR"/>
        </w:rPr>
        <w:t>’</w:t>
      </w:r>
      <w:r w:rsidRPr="00953B52">
        <w:rPr>
          <w:rFonts w:ascii="Arial" w:hAnsi="Arial" w:cs="Arial"/>
          <w:sz w:val="22"/>
          <w:szCs w:val="22"/>
          <w:lang w:val="fr-FR"/>
        </w:rPr>
        <w:t>absence de norme sur les exigences de divulgation en matière de brevets dans un instrument juridique international de l</w:t>
      </w:r>
      <w:r w:rsidR="00E84189">
        <w:rPr>
          <w:rFonts w:ascii="Arial" w:hAnsi="Arial" w:cs="Arial"/>
          <w:sz w:val="22"/>
          <w:szCs w:val="22"/>
          <w:lang w:val="fr-FR"/>
        </w:rPr>
        <w:t>’</w:t>
      </w:r>
      <w:r w:rsidRPr="00953B52">
        <w:rPr>
          <w:rFonts w:ascii="Arial" w:hAnsi="Arial" w:cs="Arial"/>
          <w:sz w:val="22"/>
          <w:szCs w:val="22"/>
          <w:lang w:val="fr-FR"/>
        </w:rPr>
        <w:t>OMPI, il est probable que ces exigences varieront encore plus d</w:t>
      </w:r>
      <w:r w:rsidR="00E84189">
        <w:rPr>
          <w:rFonts w:ascii="Arial" w:hAnsi="Arial" w:cs="Arial"/>
          <w:sz w:val="22"/>
          <w:szCs w:val="22"/>
          <w:lang w:val="fr-FR"/>
        </w:rPr>
        <w:t>’</w:t>
      </w:r>
      <w:r w:rsidRPr="00953B52">
        <w:rPr>
          <w:rFonts w:ascii="Arial" w:hAnsi="Arial" w:cs="Arial"/>
          <w:sz w:val="22"/>
          <w:szCs w:val="22"/>
          <w:lang w:val="fr-FR"/>
        </w:rPr>
        <w:t>un pays à l</w:t>
      </w:r>
      <w:r w:rsidR="00E84189">
        <w:rPr>
          <w:rFonts w:ascii="Arial" w:hAnsi="Arial" w:cs="Arial"/>
          <w:sz w:val="22"/>
          <w:szCs w:val="22"/>
          <w:lang w:val="fr-FR"/>
        </w:rPr>
        <w:t>’</w:t>
      </w:r>
      <w:r w:rsidRPr="00953B52">
        <w:rPr>
          <w:rFonts w:ascii="Arial" w:hAnsi="Arial" w:cs="Arial"/>
          <w:sz w:val="22"/>
          <w:szCs w:val="22"/>
          <w:lang w:val="fr-FR"/>
        </w:rPr>
        <w:t>autre, donnant lieu à des r</w:t>
      </w:r>
      <w:r w:rsidR="00E42C2C">
        <w:rPr>
          <w:rFonts w:ascii="Arial" w:hAnsi="Arial" w:cs="Arial"/>
          <w:sz w:val="22"/>
          <w:szCs w:val="22"/>
          <w:lang w:val="fr-FR"/>
        </w:rPr>
        <w:t>é</w:t>
      </w:r>
      <w:r w:rsidRPr="00953B52">
        <w:rPr>
          <w:rFonts w:ascii="Arial" w:hAnsi="Arial" w:cs="Arial"/>
          <w:sz w:val="22"/>
          <w:szCs w:val="22"/>
          <w:lang w:val="fr-FR"/>
        </w:rPr>
        <w:t>glementations fragmentées et à d</w:t>
      </w:r>
      <w:r w:rsidR="00E84189">
        <w:rPr>
          <w:rFonts w:ascii="Arial" w:hAnsi="Arial" w:cs="Arial"/>
          <w:sz w:val="22"/>
          <w:szCs w:val="22"/>
          <w:lang w:val="fr-FR"/>
        </w:rPr>
        <w:t>’</w:t>
      </w:r>
      <w:r w:rsidRPr="00953B52">
        <w:rPr>
          <w:rFonts w:ascii="Arial" w:hAnsi="Arial" w:cs="Arial"/>
          <w:sz w:val="22"/>
          <w:szCs w:val="22"/>
          <w:lang w:val="fr-FR"/>
        </w:rPr>
        <w:t>éventuels effets négatifs sur les innovations basées sur des ressources génétiques ou des savoirs traditionnels connexes</w:t>
      </w:r>
      <w:bookmarkEnd w:id="7"/>
      <w:r w:rsidRPr="00953B52">
        <w:rPr>
          <w:rFonts w:ascii="Arial" w:hAnsi="Arial" w:cs="Arial"/>
          <w:sz w:val="22"/>
          <w:szCs w:val="22"/>
          <w:lang w:val="fr-FR"/>
        </w:rPr>
        <w:t>.</w:t>
      </w:r>
    </w:p>
    <w:p w:rsidR="00CC5DF6" w:rsidRPr="00953B52" w:rsidRDefault="00CC5DF6" w:rsidP="005C0BD9">
      <w:pPr>
        <w:pStyle w:val="Text"/>
        <w:numPr>
          <w:ilvl w:val="0"/>
          <w:numId w:val="16"/>
        </w:numPr>
        <w:pBdr>
          <w:top w:val="single" w:sz="4" w:space="1" w:color="auto"/>
          <w:left w:val="single" w:sz="4" w:space="4" w:color="auto"/>
          <w:bottom w:val="single" w:sz="4" w:space="1" w:color="auto"/>
          <w:right w:val="single" w:sz="4" w:space="4" w:color="auto"/>
        </w:pBdr>
        <w:spacing w:after="160"/>
        <w:ind w:left="567" w:hanging="567"/>
        <w:rPr>
          <w:rFonts w:ascii="Arial" w:hAnsi="Arial" w:cs="Arial"/>
          <w:sz w:val="22"/>
          <w:szCs w:val="22"/>
          <w:lang w:val="fr-FR"/>
        </w:rPr>
      </w:pPr>
      <w:r w:rsidRPr="00953B52">
        <w:rPr>
          <w:rFonts w:ascii="Arial" w:hAnsi="Arial" w:cs="Arial"/>
          <w:b/>
          <w:sz w:val="22"/>
          <w:szCs w:val="22"/>
          <w:lang w:val="fr-FR"/>
        </w:rPr>
        <w:t>Situation technologique et situation en termes de brevets</w:t>
      </w:r>
      <w:r w:rsidR="00E84189">
        <w:rPr>
          <w:rFonts w:ascii="Arial" w:hAnsi="Arial" w:cs="Arial"/>
          <w:b/>
          <w:sz w:val="22"/>
          <w:szCs w:val="22"/>
          <w:lang w:val="fr-FR"/>
        </w:rPr>
        <w:t> :</w:t>
      </w:r>
      <w:r w:rsidRPr="00953B52">
        <w:rPr>
          <w:rFonts w:ascii="Arial" w:hAnsi="Arial" w:cs="Arial"/>
          <w:b/>
          <w:sz w:val="22"/>
          <w:szCs w:val="22"/>
          <w:lang w:val="fr-FR"/>
        </w:rPr>
        <w:t xml:space="preserve"> </w:t>
      </w:r>
      <w:bookmarkStart w:id="8" w:name="_Hlk50554275"/>
      <w:r w:rsidRPr="00953B52">
        <w:rPr>
          <w:rFonts w:ascii="Arial" w:hAnsi="Arial" w:cs="Arial"/>
          <w:bCs/>
          <w:sz w:val="22"/>
          <w:szCs w:val="22"/>
          <w:lang w:val="fr-FR"/>
        </w:rPr>
        <w:t xml:space="preserve">la plupart des </w:t>
      </w:r>
      <w:r w:rsidRPr="00953B52">
        <w:rPr>
          <w:rFonts w:ascii="Arial" w:hAnsi="Arial" w:cs="Arial"/>
          <w:sz w:val="22"/>
          <w:szCs w:val="22"/>
          <w:lang w:val="fr-FR"/>
        </w:rPr>
        <w:t>ressources génétiques citées dans les demandes de brevet ne correspondent qu</w:t>
      </w:r>
      <w:r w:rsidR="00E84189">
        <w:rPr>
          <w:rFonts w:ascii="Arial" w:hAnsi="Arial" w:cs="Arial"/>
          <w:sz w:val="22"/>
          <w:szCs w:val="22"/>
          <w:lang w:val="fr-FR"/>
        </w:rPr>
        <w:t>’</w:t>
      </w:r>
      <w:r w:rsidRPr="00953B52">
        <w:rPr>
          <w:rFonts w:ascii="Arial" w:hAnsi="Arial" w:cs="Arial"/>
          <w:sz w:val="22"/>
          <w:szCs w:val="22"/>
          <w:lang w:val="fr-FR"/>
        </w:rPr>
        <w:t>à une diversité très limitée de ressources génétiques, et nombre d</w:t>
      </w:r>
      <w:r w:rsidR="00E84189">
        <w:rPr>
          <w:rFonts w:ascii="Arial" w:hAnsi="Arial" w:cs="Arial"/>
          <w:sz w:val="22"/>
          <w:szCs w:val="22"/>
          <w:lang w:val="fr-FR"/>
        </w:rPr>
        <w:t>’</w:t>
      </w:r>
      <w:r w:rsidRPr="00953B52">
        <w:rPr>
          <w:rFonts w:ascii="Arial" w:hAnsi="Arial" w:cs="Arial"/>
          <w:sz w:val="22"/>
          <w:szCs w:val="22"/>
          <w:lang w:val="fr-FR"/>
        </w:rPr>
        <w:t>entre elles peuvent être obtenues à partir de sources diverses et proviennent notamment de plusieurs pays d</w:t>
      </w:r>
      <w:r w:rsidR="00E84189">
        <w:rPr>
          <w:rFonts w:ascii="Arial" w:hAnsi="Arial" w:cs="Arial"/>
          <w:sz w:val="22"/>
          <w:szCs w:val="22"/>
          <w:lang w:val="fr-FR"/>
        </w:rPr>
        <w:t>’</w:t>
      </w:r>
      <w:r w:rsidRPr="00953B52">
        <w:rPr>
          <w:rFonts w:ascii="Arial" w:hAnsi="Arial" w:cs="Arial"/>
          <w:sz w:val="22"/>
          <w:szCs w:val="22"/>
          <w:lang w:val="fr-FR"/>
        </w:rPr>
        <w:t>origi</w:t>
      </w:r>
      <w:bookmarkEnd w:id="8"/>
      <w:r w:rsidR="0003571D" w:rsidRPr="00953B52">
        <w:rPr>
          <w:rFonts w:ascii="Arial" w:hAnsi="Arial" w:cs="Arial"/>
          <w:sz w:val="22"/>
          <w:szCs w:val="22"/>
          <w:lang w:val="fr-FR"/>
        </w:rPr>
        <w:t>ne</w:t>
      </w:r>
      <w:r w:rsidR="0003571D">
        <w:rPr>
          <w:rFonts w:ascii="Arial" w:hAnsi="Arial" w:cs="Arial"/>
          <w:sz w:val="22"/>
          <w:szCs w:val="22"/>
          <w:lang w:val="fr-FR"/>
        </w:rPr>
        <w:t xml:space="preserve">.  </w:t>
      </w:r>
      <w:r w:rsidR="0003571D" w:rsidRPr="00953B52">
        <w:rPr>
          <w:rFonts w:ascii="Arial" w:hAnsi="Arial" w:cs="Arial"/>
          <w:sz w:val="22"/>
          <w:szCs w:val="22"/>
          <w:lang w:val="fr-FR"/>
        </w:rPr>
        <w:t>En</w:t>
      </w:r>
      <w:r w:rsidRPr="00953B52">
        <w:rPr>
          <w:rFonts w:ascii="Arial" w:hAnsi="Arial" w:cs="Arial"/>
          <w:sz w:val="22"/>
          <w:szCs w:val="22"/>
          <w:lang w:val="fr-FR"/>
        </w:rPr>
        <w:t xml:space="preserve"> outre, les technologies et les pratiques d</w:t>
      </w:r>
      <w:r w:rsidR="00E84189">
        <w:rPr>
          <w:rFonts w:ascii="Arial" w:hAnsi="Arial" w:cs="Arial"/>
          <w:sz w:val="22"/>
          <w:szCs w:val="22"/>
          <w:lang w:val="fr-FR"/>
        </w:rPr>
        <w:t>’</w:t>
      </w:r>
      <w:r w:rsidRPr="00953B52">
        <w:rPr>
          <w:rFonts w:ascii="Arial" w:hAnsi="Arial" w:cs="Arial"/>
          <w:sz w:val="22"/>
          <w:szCs w:val="22"/>
          <w:lang w:val="fr-FR"/>
        </w:rPr>
        <w:t>utilisation des ressources génétiques ont évol</w:t>
      </w:r>
      <w:r w:rsidR="0003571D" w:rsidRPr="00953B52">
        <w:rPr>
          <w:rFonts w:ascii="Arial" w:hAnsi="Arial" w:cs="Arial"/>
          <w:sz w:val="22"/>
          <w:szCs w:val="22"/>
          <w:lang w:val="fr-FR"/>
        </w:rPr>
        <w:t>ué</w:t>
      </w:r>
      <w:r w:rsidR="0003571D">
        <w:rPr>
          <w:rFonts w:ascii="Arial" w:hAnsi="Arial" w:cs="Arial"/>
          <w:sz w:val="22"/>
          <w:szCs w:val="22"/>
          <w:lang w:val="fr-FR"/>
        </w:rPr>
        <w:t xml:space="preserve">.  </w:t>
      </w:r>
      <w:r w:rsidR="0003571D" w:rsidRPr="00953B52">
        <w:rPr>
          <w:rFonts w:ascii="Arial" w:hAnsi="Arial" w:cs="Arial"/>
          <w:sz w:val="22"/>
          <w:szCs w:val="22"/>
          <w:lang w:val="fr-FR"/>
        </w:rPr>
        <w:t>Au</w:t>
      </w:r>
      <w:r w:rsidRPr="00953B52">
        <w:rPr>
          <w:rFonts w:ascii="Arial" w:hAnsi="Arial" w:cs="Arial"/>
          <w:sz w:val="22"/>
          <w:szCs w:val="22"/>
          <w:lang w:val="fr-FR"/>
        </w:rPr>
        <w:t>jourd</w:t>
      </w:r>
      <w:r w:rsidR="00E84189">
        <w:rPr>
          <w:rFonts w:ascii="Arial" w:hAnsi="Arial" w:cs="Arial"/>
          <w:sz w:val="22"/>
          <w:szCs w:val="22"/>
          <w:lang w:val="fr-FR"/>
        </w:rPr>
        <w:t>’</w:t>
      </w:r>
      <w:r w:rsidRPr="00953B52">
        <w:rPr>
          <w:rFonts w:ascii="Arial" w:hAnsi="Arial" w:cs="Arial"/>
          <w:sz w:val="22"/>
          <w:szCs w:val="22"/>
          <w:lang w:val="fr-FR"/>
        </w:rPr>
        <w:t>hui, les innovations reposent de plus en plus sur la collaboration internationa</w:t>
      </w:r>
      <w:r w:rsidR="0003571D" w:rsidRPr="00953B52">
        <w:rPr>
          <w:rFonts w:ascii="Arial" w:hAnsi="Arial" w:cs="Arial"/>
          <w:sz w:val="22"/>
          <w:szCs w:val="22"/>
          <w:lang w:val="fr-FR"/>
        </w:rPr>
        <w:t>le</w:t>
      </w:r>
      <w:r w:rsidR="0003571D">
        <w:rPr>
          <w:rFonts w:ascii="Arial" w:hAnsi="Arial" w:cs="Arial"/>
          <w:sz w:val="22"/>
          <w:szCs w:val="22"/>
          <w:lang w:val="fr-FR"/>
        </w:rPr>
        <w:t xml:space="preserve">.  </w:t>
      </w:r>
      <w:r w:rsidR="0003571D" w:rsidRPr="00953B52">
        <w:rPr>
          <w:rFonts w:ascii="Arial" w:hAnsi="Arial" w:cs="Arial"/>
          <w:sz w:val="22"/>
          <w:szCs w:val="22"/>
          <w:lang w:val="fr-FR"/>
        </w:rPr>
        <w:t>Le</w:t>
      </w:r>
      <w:r w:rsidRPr="00953B52">
        <w:rPr>
          <w:rFonts w:ascii="Arial" w:hAnsi="Arial" w:cs="Arial"/>
          <w:sz w:val="22"/>
          <w:szCs w:val="22"/>
          <w:lang w:val="fr-FR"/>
        </w:rPr>
        <w:t>s ressources génétiques sont donc souvent échangées plusieurs fois et entre différents systèmes juridiqu</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Pa</w:t>
      </w:r>
      <w:r w:rsidRPr="00953B52">
        <w:rPr>
          <w:rFonts w:ascii="Arial" w:hAnsi="Arial" w:cs="Arial"/>
          <w:sz w:val="22"/>
          <w:szCs w:val="22"/>
          <w:lang w:val="fr-FR"/>
        </w:rPr>
        <w:t>r conséquent, dans de nombreux cas, au moment de la demande de brevet, il est peu probable que l</w:t>
      </w:r>
      <w:r w:rsidR="00E84189">
        <w:rPr>
          <w:rFonts w:ascii="Arial" w:hAnsi="Arial" w:cs="Arial"/>
          <w:sz w:val="22"/>
          <w:szCs w:val="22"/>
          <w:lang w:val="fr-FR"/>
        </w:rPr>
        <w:t>’</w:t>
      </w:r>
      <w:r w:rsidRPr="00953B52">
        <w:rPr>
          <w:rFonts w:ascii="Arial" w:hAnsi="Arial" w:cs="Arial"/>
          <w:sz w:val="22"/>
          <w:szCs w:val="22"/>
          <w:lang w:val="fr-FR"/>
        </w:rPr>
        <w:t>on puisse remonter directement au pays d</w:t>
      </w:r>
      <w:r w:rsidR="00E84189">
        <w:rPr>
          <w:rFonts w:ascii="Arial" w:hAnsi="Arial" w:cs="Arial"/>
          <w:sz w:val="22"/>
          <w:szCs w:val="22"/>
          <w:lang w:val="fr-FR"/>
        </w:rPr>
        <w:t>’</w:t>
      </w:r>
      <w:r w:rsidRPr="00953B52">
        <w:rPr>
          <w:rFonts w:ascii="Arial" w:hAnsi="Arial" w:cs="Arial"/>
          <w:sz w:val="22"/>
          <w:szCs w:val="22"/>
          <w:lang w:val="fr-FR"/>
        </w:rPr>
        <w:t>origine d</w:t>
      </w:r>
      <w:r w:rsidR="00E84189">
        <w:rPr>
          <w:rFonts w:ascii="Arial" w:hAnsi="Arial" w:cs="Arial"/>
          <w:sz w:val="22"/>
          <w:szCs w:val="22"/>
          <w:lang w:val="fr-FR"/>
        </w:rPr>
        <w:t>’</w:t>
      </w:r>
      <w:r w:rsidRPr="00953B52">
        <w:rPr>
          <w:rFonts w:ascii="Arial" w:hAnsi="Arial" w:cs="Arial"/>
          <w:sz w:val="22"/>
          <w:szCs w:val="22"/>
          <w:lang w:val="fr-FR"/>
        </w:rPr>
        <w:t xml:space="preserve">une ressource génétique, qui pourrait être facilement </w:t>
      </w:r>
      <w:proofErr w:type="gramStart"/>
      <w:r w:rsidRPr="00953B52">
        <w:rPr>
          <w:rFonts w:ascii="Arial" w:hAnsi="Arial" w:cs="Arial"/>
          <w:sz w:val="22"/>
          <w:szCs w:val="22"/>
          <w:lang w:val="fr-FR"/>
        </w:rPr>
        <w:t xml:space="preserve">divulgué; </w:t>
      </w:r>
      <w:r w:rsidR="00095B51">
        <w:rPr>
          <w:rFonts w:ascii="Arial" w:hAnsi="Arial" w:cs="Arial"/>
          <w:sz w:val="22"/>
          <w:szCs w:val="22"/>
          <w:lang w:val="fr-FR"/>
        </w:rPr>
        <w:t xml:space="preserve"> </w:t>
      </w:r>
      <w:r w:rsidRPr="00953B52">
        <w:rPr>
          <w:rFonts w:ascii="Arial" w:hAnsi="Arial" w:cs="Arial"/>
          <w:sz w:val="22"/>
          <w:szCs w:val="22"/>
          <w:lang w:val="fr-FR"/>
        </w:rPr>
        <w:t>on</w:t>
      </w:r>
      <w:proofErr w:type="gramEnd"/>
      <w:r w:rsidRPr="00953B52">
        <w:rPr>
          <w:rFonts w:ascii="Arial" w:hAnsi="Arial" w:cs="Arial"/>
          <w:sz w:val="22"/>
          <w:szCs w:val="22"/>
          <w:lang w:val="fr-FR"/>
        </w:rPr>
        <w:t xml:space="preserve"> se trouve, au contraire, face à un tissu complexe de fournisseurs et d</w:t>
      </w:r>
      <w:r w:rsidR="00E84189">
        <w:rPr>
          <w:rFonts w:ascii="Arial" w:hAnsi="Arial" w:cs="Arial"/>
          <w:sz w:val="22"/>
          <w:szCs w:val="22"/>
          <w:lang w:val="fr-FR"/>
        </w:rPr>
        <w:t>’</w:t>
      </w:r>
      <w:r w:rsidRPr="00953B52">
        <w:rPr>
          <w:rFonts w:ascii="Arial" w:hAnsi="Arial" w:cs="Arial"/>
          <w:sz w:val="22"/>
          <w:szCs w:val="22"/>
          <w:lang w:val="fr-FR"/>
        </w:rPr>
        <w:t>utilisateurs de cette ressource génétique.</w:t>
      </w:r>
    </w:p>
    <w:p w:rsidR="00CC5DF6" w:rsidRPr="00953B52" w:rsidRDefault="00CC5DF6" w:rsidP="005C0BD9">
      <w:pPr>
        <w:pStyle w:val="Text"/>
        <w:pBdr>
          <w:top w:val="single" w:sz="4" w:space="1" w:color="auto"/>
          <w:left w:val="single" w:sz="4" w:space="4" w:color="auto"/>
          <w:bottom w:val="single" w:sz="4" w:space="1" w:color="auto"/>
          <w:right w:val="single" w:sz="4" w:space="4" w:color="auto"/>
        </w:pBdr>
        <w:spacing w:after="80"/>
        <w:rPr>
          <w:rFonts w:ascii="Arial" w:hAnsi="Arial" w:cs="Arial"/>
          <w:sz w:val="22"/>
          <w:szCs w:val="22"/>
          <w:lang w:val="fr-FR"/>
        </w:rPr>
      </w:pPr>
      <w:r w:rsidRPr="00953B52">
        <w:rPr>
          <w:rFonts w:ascii="Arial" w:hAnsi="Arial" w:cs="Arial"/>
          <w:sz w:val="22"/>
          <w:szCs w:val="22"/>
          <w:lang w:val="fr-FR"/>
        </w:rPr>
        <w:t xml:space="preserve">À partir de ces conclusions, la </w:t>
      </w:r>
      <w:r w:rsidR="00546B53" w:rsidRPr="00953B52">
        <w:rPr>
          <w:rFonts w:ascii="Arial" w:hAnsi="Arial" w:cs="Arial"/>
          <w:sz w:val="22"/>
          <w:szCs w:val="22"/>
          <w:lang w:val="fr-FR"/>
        </w:rPr>
        <w:t>section</w:t>
      </w:r>
      <w:r w:rsidR="00546B53">
        <w:rPr>
          <w:rFonts w:ascii="Arial" w:hAnsi="Arial" w:cs="Arial"/>
          <w:sz w:val="22"/>
          <w:szCs w:val="22"/>
          <w:lang w:val="fr-FR"/>
        </w:rPr>
        <w:t> </w:t>
      </w:r>
      <w:r w:rsidR="00546B53" w:rsidRPr="00953B52">
        <w:rPr>
          <w:rFonts w:ascii="Arial" w:hAnsi="Arial" w:cs="Arial"/>
          <w:sz w:val="22"/>
          <w:szCs w:val="22"/>
          <w:lang w:val="fr-FR"/>
        </w:rPr>
        <w:t>3</w:t>
      </w:r>
      <w:r w:rsidRPr="00953B52">
        <w:rPr>
          <w:rFonts w:ascii="Arial" w:hAnsi="Arial" w:cs="Arial"/>
          <w:sz w:val="22"/>
          <w:szCs w:val="22"/>
          <w:lang w:val="fr-FR"/>
        </w:rPr>
        <w:t xml:space="preserve"> décrit les principales modalités portant sur la manière dont </w:t>
      </w:r>
      <w:r w:rsidRPr="00953B52">
        <w:rPr>
          <w:rFonts w:ascii="Arial" w:hAnsi="Arial" w:cs="Arial"/>
          <w:b/>
          <w:sz w:val="22"/>
          <w:szCs w:val="22"/>
          <w:lang w:val="fr-FR"/>
        </w:rPr>
        <w:t>une exigence de divulgation internationale en matière de brevets figurant dans un instrument de l</w:t>
      </w:r>
      <w:r w:rsidR="00E84189">
        <w:rPr>
          <w:rFonts w:ascii="Arial" w:hAnsi="Arial" w:cs="Arial"/>
          <w:b/>
          <w:sz w:val="22"/>
          <w:szCs w:val="22"/>
          <w:lang w:val="fr-FR"/>
        </w:rPr>
        <w:t>’</w:t>
      </w:r>
      <w:r w:rsidRPr="00953B52">
        <w:rPr>
          <w:rFonts w:ascii="Arial" w:hAnsi="Arial" w:cs="Arial"/>
          <w:b/>
          <w:sz w:val="22"/>
          <w:szCs w:val="22"/>
          <w:lang w:val="fr-FR"/>
        </w:rPr>
        <w:t>OMPI pourrait encore être uti</w:t>
      </w:r>
      <w:r w:rsidR="0003571D" w:rsidRPr="00953B52">
        <w:rPr>
          <w:rFonts w:ascii="Arial" w:hAnsi="Arial" w:cs="Arial"/>
          <w:b/>
          <w:sz w:val="22"/>
          <w:szCs w:val="22"/>
          <w:lang w:val="fr-FR"/>
        </w:rPr>
        <w:t>le</w:t>
      </w:r>
      <w:r w:rsidR="0003571D">
        <w:rPr>
          <w:rFonts w:ascii="Arial" w:hAnsi="Arial" w:cs="Arial"/>
          <w:b/>
          <w:sz w:val="22"/>
          <w:szCs w:val="22"/>
          <w:lang w:val="fr-FR"/>
        </w:rPr>
        <w:t xml:space="preserve">.  </w:t>
      </w:r>
      <w:r w:rsidR="0003571D" w:rsidRPr="00953B52">
        <w:rPr>
          <w:rFonts w:ascii="Arial" w:hAnsi="Arial" w:cs="Arial"/>
          <w:sz w:val="22"/>
          <w:szCs w:val="22"/>
          <w:lang w:val="fr-FR"/>
        </w:rPr>
        <w:t>Ce</w:t>
      </w:r>
      <w:r w:rsidRPr="00953B52">
        <w:rPr>
          <w:rFonts w:ascii="Arial" w:hAnsi="Arial" w:cs="Arial"/>
          <w:sz w:val="22"/>
          <w:szCs w:val="22"/>
          <w:lang w:val="fr-FR"/>
        </w:rPr>
        <w:t>s modalités devraient en particulier</w:t>
      </w:r>
      <w:r w:rsidR="00E84189">
        <w:rPr>
          <w:rFonts w:ascii="Arial" w:hAnsi="Arial" w:cs="Arial"/>
          <w:sz w:val="22"/>
          <w:szCs w:val="22"/>
          <w:lang w:val="fr-FR"/>
        </w:rPr>
        <w:t> :</w:t>
      </w:r>
    </w:p>
    <w:p w:rsidR="00CC5DF6" w:rsidRPr="00953B52" w:rsidRDefault="00CC5DF6" w:rsidP="005C0BD9">
      <w:pPr>
        <w:pStyle w:val="Text"/>
        <w:numPr>
          <w:ilvl w:val="0"/>
          <w:numId w:val="18"/>
        </w:numPr>
        <w:pBdr>
          <w:top w:val="single" w:sz="4" w:space="1" w:color="auto"/>
          <w:left w:val="single" w:sz="4" w:space="4" w:color="auto"/>
          <w:bottom w:val="single" w:sz="4" w:space="1" w:color="auto"/>
          <w:right w:val="single" w:sz="4" w:space="4" w:color="auto"/>
        </w:pBdr>
        <w:spacing w:after="80"/>
        <w:ind w:left="567" w:hanging="567"/>
        <w:rPr>
          <w:rFonts w:ascii="Arial" w:hAnsi="Arial" w:cs="Arial"/>
          <w:sz w:val="22"/>
          <w:szCs w:val="22"/>
          <w:lang w:val="fr-FR"/>
        </w:rPr>
      </w:pPr>
      <w:proofErr w:type="gramStart"/>
      <w:r w:rsidRPr="00953B52">
        <w:rPr>
          <w:rFonts w:ascii="Arial" w:hAnsi="Arial" w:cs="Arial"/>
          <w:sz w:val="22"/>
          <w:szCs w:val="22"/>
          <w:lang w:val="fr-FR"/>
        </w:rPr>
        <w:t>être</w:t>
      </w:r>
      <w:proofErr w:type="gramEnd"/>
      <w:r w:rsidRPr="00953B52">
        <w:rPr>
          <w:rFonts w:ascii="Arial" w:hAnsi="Arial" w:cs="Arial"/>
          <w:sz w:val="22"/>
          <w:szCs w:val="22"/>
          <w:lang w:val="fr-FR"/>
        </w:rPr>
        <w:t xml:space="preserve"> formulées comme une </w:t>
      </w:r>
      <w:r w:rsidR="00546B53">
        <w:rPr>
          <w:rFonts w:ascii="Arial" w:hAnsi="Arial" w:cs="Arial"/>
          <w:b/>
          <w:sz w:val="22"/>
          <w:szCs w:val="22"/>
          <w:lang w:val="fr-FR"/>
        </w:rPr>
        <w:t>“</w:t>
      </w:r>
      <w:r w:rsidR="00546B53" w:rsidRPr="00953B52">
        <w:rPr>
          <w:rFonts w:ascii="Arial" w:hAnsi="Arial" w:cs="Arial"/>
          <w:b/>
          <w:sz w:val="22"/>
          <w:szCs w:val="22"/>
          <w:lang w:val="fr-FR"/>
        </w:rPr>
        <w:t>m</w:t>
      </w:r>
      <w:r w:rsidRPr="00953B52">
        <w:rPr>
          <w:rFonts w:ascii="Arial" w:hAnsi="Arial" w:cs="Arial"/>
          <w:b/>
          <w:sz w:val="22"/>
          <w:szCs w:val="22"/>
          <w:lang w:val="fr-FR"/>
        </w:rPr>
        <w:t>esure de transparenc</w:t>
      </w:r>
      <w:r w:rsidR="00546B53" w:rsidRPr="00953B52">
        <w:rPr>
          <w:rFonts w:ascii="Arial" w:hAnsi="Arial" w:cs="Arial"/>
          <w:b/>
          <w:sz w:val="22"/>
          <w:szCs w:val="22"/>
          <w:lang w:val="fr-FR"/>
        </w:rPr>
        <w:t>e</w:t>
      </w:r>
      <w:r w:rsidR="00546B53">
        <w:rPr>
          <w:rFonts w:ascii="Arial" w:hAnsi="Arial" w:cs="Arial"/>
          <w:b/>
          <w:sz w:val="22"/>
          <w:szCs w:val="22"/>
          <w:lang w:val="fr-FR"/>
        </w:rPr>
        <w:t>”</w:t>
      </w:r>
      <w:r w:rsidRPr="00953B52">
        <w:rPr>
          <w:rFonts w:ascii="Arial" w:hAnsi="Arial" w:cs="Arial"/>
          <w:b/>
          <w:sz w:val="22"/>
          <w:szCs w:val="22"/>
          <w:lang w:val="fr-FR"/>
        </w:rPr>
        <w:t xml:space="preserve"> concernant la source des ressources génétiques et des savoirs traditionnels connexes</w:t>
      </w:r>
      <w:r w:rsidRPr="00AB4490">
        <w:rPr>
          <w:rFonts w:ascii="Arial" w:hAnsi="Arial" w:cs="Arial"/>
          <w:sz w:val="22"/>
          <w:szCs w:val="22"/>
          <w:lang w:val="fr-FR"/>
        </w:rPr>
        <w:t xml:space="preserve">; </w:t>
      </w:r>
      <w:r w:rsidR="00095B51" w:rsidRPr="00AB4490">
        <w:rPr>
          <w:rFonts w:ascii="Arial" w:hAnsi="Arial" w:cs="Arial"/>
          <w:sz w:val="22"/>
          <w:szCs w:val="22"/>
          <w:lang w:val="fr-FR"/>
        </w:rPr>
        <w:t xml:space="preserve"> </w:t>
      </w:r>
      <w:r w:rsidRPr="00953B52">
        <w:rPr>
          <w:rFonts w:ascii="Arial" w:hAnsi="Arial" w:cs="Arial"/>
          <w:sz w:val="22"/>
          <w:szCs w:val="22"/>
          <w:lang w:val="fr-FR"/>
        </w:rPr>
        <w:t>les ressources génétiques devraient alors être comprises telles qu</w:t>
      </w:r>
      <w:r w:rsidR="00E84189">
        <w:rPr>
          <w:rFonts w:ascii="Arial" w:hAnsi="Arial" w:cs="Arial"/>
          <w:sz w:val="22"/>
          <w:szCs w:val="22"/>
          <w:lang w:val="fr-FR"/>
        </w:rPr>
        <w:t>’</w:t>
      </w:r>
      <w:r w:rsidRPr="00953B52">
        <w:rPr>
          <w:rFonts w:ascii="Arial" w:hAnsi="Arial" w:cs="Arial"/>
          <w:sz w:val="22"/>
          <w:szCs w:val="22"/>
          <w:lang w:val="fr-FR"/>
        </w:rPr>
        <w:t>elles sont définies dans la Convention sur la diversité biologique (CDB);</w:t>
      </w:r>
    </w:p>
    <w:p w:rsidR="00CC5DF6" w:rsidRPr="00953B52" w:rsidRDefault="00CC5DF6" w:rsidP="005C0BD9">
      <w:pPr>
        <w:pStyle w:val="Text"/>
        <w:numPr>
          <w:ilvl w:val="0"/>
          <w:numId w:val="18"/>
        </w:numPr>
        <w:pBdr>
          <w:top w:val="single" w:sz="4" w:space="1" w:color="auto"/>
          <w:left w:val="single" w:sz="4" w:space="4" w:color="auto"/>
          <w:bottom w:val="single" w:sz="4" w:space="1" w:color="auto"/>
          <w:right w:val="single" w:sz="4" w:space="4" w:color="auto"/>
        </w:pBdr>
        <w:spacing w:after="80"/>
        <w:ind w:left="567" w:hanging="567"/>
        <w:rPr>
          <w:rFonts w:ascii="Arial" w:hAnsi="Arial" w:cs="Arial"/>
          <w:sz w:val="22"/>
          <w:szCs w:val="22"/>
          <w:lang w:val="fr-FR"/>
        </w:rPr>
      </w:pPr>
      <w:proofErr w:type="gramStart"/>
      <w:r w:rsidRPr="00953B52">
        <w:rPr>
          <w:rFonts w:ascii="Arial" w:hAnsi="Arial" w:cs="Arial"/>
          <w:sz w:val="22"/>
          <w:szCs w:val="22"/>
          <w:lang w:val="fr-FR"/>
        </w:rPr>
        <w:t>contenir</w:t>
      </w:r>
      <w:proofErr w:type="gramEnd"/>
      <w:r w:rsidRPr="00953B52">
        <w:rPr>
          <w:rFonts w:ascii="Arial" w:hAnsi="Arial" w:cs="Arial"/>
          <w:sz w:val="22"/>
          <w:szCs w:val="22"/>
          <w:lang w:val="fr-FR"/>
        </w:rPr>
        <w:t xml:space="preserve"> un </w:t>
      </w:r>
      <w:r w:rsidR="00546B53">
        <w:rPr>
          <w:rFonts w:ascii="Arial" w:hAnsi="Arial" w:cs="Arial"/>
          <w:b/>
          <w:bCs/>
          <w:sz w:val="22"/>
          <w:szCs w:val="22"/>
          <w:lang w:val="fr-FR"/>
        </w:rPr>
        <w:t>“</w:t>
      </w:r>
      <w:r w:rsidR="00546B53" w:rsidRPr="00953B52">
        <w:rPr>
          <w:rFonts w:ascii="Arial" w:hAnsi="Arial" w:cs="Arial"/>
          <w:b/>
          <w:bCs/>
          <w:sz w:val="22"/>
          <w:szCs w:val="22"/>
          <w:lang w:val="fr-FR"/>
        </w:rPr>
        <w:t>é</w:t>
      </w:r>
      <w:r w:rsidRPr="00953B52">
        <w:rPr>
          <w:rFonts w:ascii="Arial" w:hAnsi="Arial" w:cs="Arial"/>
          <w:b/>
          <w:bCs/>
          <w:sz w:val="22"/>
          <w:szCs w:val="22"/>
          <w:lang w:val="fr-FR"/>
        </w:rPr>
        <w:t>lément déclencheu</w:t>
      </w:r>
      <w:r w:rsidR="00546B53" w:rsidRPr="00953B52">
        <w:rPr>
          <w:rFonts w:ascii="Arial" w:hAnsi="Arial" w:cs="Arial"/>
          <w:b/>
          <w:bCs/>
          <w:sz w:val="22"/>
          <w:szCs w:val="22"/>
          <w:lang w:val="fr-FR"/>
        </w:rPr>
        <w:t>r</w:t>
      </w:r>
      <w:r w:rsidR="00546B53">
        <w:rPr>
          <w:rFonts w:ascii="Arial" w:hAnsi="Arial" w:cs="Arial"/>
          <w:b/>
          <w:bCs/>
          <w:sz w:val="22"/>
          <w:szCs w:val="22"/>
          <w:lang w:val="fr-FR"/>
        </w:rPr>
        <w:t>”</w:t>
      </w:r>
      <w:r w:rsidRPr="00953B52">
        <w:rPr>
          <w:rFonts w:ascii="Arial" w:hAnsi="Arial" w:cs="Arial"/>
          <w:sz w:val="22"/>
          <w:szCs w:val="22"/>
          <w:lang w:val="fr-FR"/>
        </w:rPr>
        <w:t xml:space="preserve"> suffisamment clair sur les ressources génétiques et les </w:t>
      </w:r>
      <w:bookmarkStart w:id="9" w:name="_Hlk50395620"/>
      <w:r w:rsidRPr="00953B52">
        <w:rPr>
          <w:rFonts w:ascii="Arial" w:hAnsi="Arial" w:cs="Arial"/>
          <w:sz w:val="22"/>
          <w:szCs w:val="22"/>
          <w:lang w:val="fr-FR"/>
        </w:rPr>
        <w:t xml:space="preserve">savoirs traditionnels </w:t>
      </w:r>
      <w:bookmarkEnd w:id="9"/>
      <w:r w:rsidRPr="00953B52">
        <w:rPr>
          <w:rFonts w:ascii="Arial" w:hAnsi="Arial" w:cs="Arial"/>
          <w:sz w:val="22"/>
          <w:szCs w:val="22"/>
          <w:lang w:val="fr-FR"/>
        </w:rPr>
        <w:t>connexes, auxquels l</w:t>
      </w:r>
      <w:r w:rsidR="00E84189">
        <w:rPr>
          <w:rFonts w:ascii="Arial" w:hAnsi="Arial" w:cs="Arial"/>
          <w:sz w:val="22"/>
          <w:szCs w:val="22"/>
          <w:lang w:val="fr-FR"/>
        </w:rPr>
        <w:t>’</w:t>
      </w:r>
      <w:r w:rsidRPr="00953B52">
        <w:rPr>
          <w:rFonts w:ascii="Arial" w:hAnsi="Arial" w:cs="Arial"/>
          <w:sz w:val="22"/>
          <w:szCs w:val="22"/>
          <w:lang w:val="fr-FR"/>
        </w:rPr>
        <w:t>exigence de divulgation en matière de brevets s</w:t>
      </w:r>
      <w:r w:rsidR="00E84189">
        <w:rPr>
          <w:rFonts w:ascii="Arial" w:hAnsi="Arial" w:cs="Arial"/>
          <w:sz w:val="22"/>
          <w:szCs w:val="22"/>
          <w:lang w:val="fr-FR"/>
        </w:rPr>
        <w:t>’</w:t>
      </w:r>
      <w:r w:rsidRPr="00953B52">
        <w:rPr>
          <w:rFonts w:ascii="Arial" w:hAnsi="Arial" w:cs="Arial"/>
          <w:sz w:val="22"/>
          <w:szCs w:val="22"/>
          <w:lang w:val="fr-FR"/>
        </w:rPr>
        <w:t xml:space="preserve">appliquera, et un </w:t>
      </w:r>
      <w:r w:rsidR="00546B53">
        <w:rPr>
          <w:rFonts w:ascii="Arial" w:hAnsi="Arial" w:cs="Arial"/>
          <w:b/>
          <w:bCs/>
          <w:sz w:val="22"/>
          <w:szCs w:val="22"/>
          <w:lang w:val="fr-FR"/>
        </w:rPr>
        <w:t>“</w:t>
      </w:r>
      <w:r w:rsidR="00546B53" w:rsidRPr="00953B52">
        <w:rPr>
          <w:rFonts w:ascii="Arial" w:hAnsi="Arial" w:cs="Arial"/>
          <w:b/>
          <w:bCs/>
          <w:sz w:val="22"/>
          <w:szCs w:val="22"/>
          <w:lang w:val="fr-FR"/>
        </w:rPr>
        <w:t>c</w:t>
      </w:r>
      <w:r w:rsidRPr="00953B52">
        <w:rPr>
          <w:rFonts w:ascii="Arial" w:hAnsi="Arial" w:cs="Arial"/>
          <w:b/>
          <w:bCs/>
          <w:sz w:val="22"/>
          <w:szCs w:val="22"/>
          <w:lang w:val="fr-FR"/>
        </w:rPr>
        <w:t>onten</w:t>
      </w:r>
      <w:r w:rsidR="00546B53" w:rsidRPr="00953B52">
        <w:rPr>
          <w:rFonts w:ascii="Arial" w:hAnsi="Arial" w:cs="Arial"/>
          <w:b/>
          <w:bCs/>
          <w:sz w:val="22"/>
          <w:szCs w:val="22"/>
          <w:lang w:val="fr-FR"/>
        </w:rPr>
        <w:t>u</w:t>
      </w:r>
      <w:r w:rsidR="00546B53">
        <w:rPr>
          <w:rFonts w:ascii="Arial" w:hAnsi="Arial" w:cs="Arial"/>
          <w:b/>
          <w:bCs/>
          <w:sz w:val="22"/>
          <w:szCs w:val="22"/>
          <w:lang w:val="fr-FR"/>
        </w:rPr>
        <w:t>”</w:t>
      </w:r>
      <w:r w:rsidRPr="00953B52">
        <w:rPr>
          <w:rFonts w:ascii="Arial" w:hAnsi="Arial" w:cs="Arial"/>
          <w:sz w:val="22"/>
          <w:szCs w:val="22"/>
          <w:lang w:val="fr-FR"/>
        </w:rPr>
        <w:t xml:space="preserve"> reflétant les circonstances réelles dans lesquelles la source des ressources génétiques et des savoirs traditionnels connexes pourra être déterminée;</w:t>
      </w:r>
    </w:p>
    <w:p w:rsidR="00CC5DF6" w:rsidRPr="00953B52" w:rsidRDefault="00CC5DF6" w:rsidP="005C0BD9">
      <w:pPr>
        <w:pStyle w:val="Text"/>
        <w:numPr>
          <w:ilvl w:val="0"/>
          <w:numId w:val="18"/>
        </w:numPr>
        <w:pBdr>
          <w:top w:val="single" w:sz="4" w:space="1" w:color="auto"/>
          <w:left w:val="single" w:sz="4" w:space="4" w:color="auto"/>
          <w:bottom w:val="single" w:sz="4" w:space="1" w:color="auto"/>
          <w:right w:val="single" w:sz="4" w:space="4" w:color="auto"/>
        </w:pBdr>
        <w:spacing w:after="160"/>
        <w:ind w:left="567" w:hanging="567"/>
        <w:rPr>
          <w:rFonts w:ascii="Arial" w:hAnsi="Arial" w:cs="Arial"/>
          <w:sz w:val="22"/>
          <w:szCs w:val="22"/>
          <w:lang w:val="fr-FR"/>
        </w:rPr>
      </w:pPr>
      <w:proofErr w:type="gramStart"/>
      <w:r w:rsidRPr="00953B52">
        <w:rPr>
          <w:rFonts w:ascii="Arial" w:hAnsi="Arial" w:cs="Arial"/>
          <w:sz w:val="22"/>
          <w:szCs w:val="22"/>
          <w:lang w:val="fr-FR"/>
        </w:rPr>
        <w:lastRenderedPageBreak/>
        <w:t>intégrer</w:t>
      </w:r>
      <w:proofErr w:type="gramEnd"/>
      <w:r w:rsidRPr="00953B52">
        <w:rPr>
          <w:rFonts w:ascii="Arial" w:hAnsi="Arial" w:cs="Arial"/>
          <w:sz w:val="22"/>
          <w:szCs w:val="22"/>
          <w:lang w:val="fr-FR"/>
        </w:rPr>
        <w:t xml:space="preserve"> un </w:t>
      </w:r>
      <w:r w:rsidR="00546B53">
        <w:rPr>
          <w:rFonts w:ascii="Arial" w:hAnsi="Arial" w:cs="Arial"/>
          <w:sz w:val="22"/>
          <w:szCs w:val="22"/>
          <w:lang w:val="fr-FR"/>
        </w:rPr>
        <w:t>“</w:t>
      </w:r>
      <w:r w:rsidR="00546B53" w:rsidRPr="00953B52">
        <w:rPr>
          <w:rFonts w:ascii="Arial" w:hAnsi="Arial" w:cs="Arial"/>
          <w:b/>
          <w:bCs/>
          <w:sz w:val="22"/>
          <w:szCs w:val="22"/>
          <w:lang w:val="fr-FR"/>
        </w:rPr>
        <w:t>c</w:t>
      </w:r>
      <w:r w:rsidRPr="00953B52">
        <w:rPr>
          <w:rFonts w:ascii="Arial" w:hAnsi="Arial" w:cs="Arial"/>
          <w:b/>
          <w:bCs/>
          <w:sz w:val="22"/>
          <w:szCs w:val="22"/>
          <w:lang w:val="fr-FR"/>
        </w:rPr>
        <w:t>ritère maxima</w:t>
      </w:r>
      <w:r w:rsidR="00546B53" w:rsidRPr="00953B52">
        <w:rPr>
          <w:rFonts w:ascii="Arial" w:hAnsi="Arial" w:cs="Arial"/>
          <w:b/>
          <w:bCs/>
          <w:sz w:val="22"/>
          <w:szCs w:val="22"/>
          <w:lang w:val="fr-FR"/>
        </w:rPr>
        <w:t>l</w:t>
      </w:r>
      <w:r w:rsidR="00546B53">
        <w:rPr>
          <w:rFonts w:ascii="Arial" w:hAnsi="Arial" w:cs="Arial"/>
          <w:b/>
          <w:bCs/>
          <w:sz w:val="22"/>
          <w:szCs w:val="22"/>
          <w:lang w:val="fr-FR"/>
        </w:rPr>
        <w:t>”</w:t>
      </w:r>
      <w:r w:rsidRPr="00953B52">
        <w:rPr>
          <w:rFonts w:ascii="Arial" w:hAnsi="Arial" w:cs="Arial"/>
          <w:sz w:val="22"/>
          <w:szCs w:val="22"/>
          <w:lang w:val="fr-FR"/>
        </w:rPr>
        <w:t xml:space="preserve"> pour les sanctions et les réparations; </w:t>
      </w:r>
      <w:r w:rsidR="00095B51">
        <w:rPr>
          <w:rFonts w:ascii="Arial" w:hAnsi="Arial" w:cs="Arial"/>
          <w:sz w:val="22"/>
          <w:szCs w:val="22"/>
          <w:lang w:val="fr-FR"/>
        </w:rPr>
        <w:t xml:space="preserve"> </w:t>
      </w:r>
      <w:r w:rsidRPr="00953B52">
        <w:rPr>
          <w:rFonts w:ascii="Arial" w:hAnsi="Arial" w:cs="Arial"/>
          <w:sz w:val="22"/>
          <w:szCs w:val="22"/>
          <w:lang w:val="fr-FR"/>
        </w:rPr>
        <w:t xml:space="preserve">en particulier </w:t>
      </w:r>
      <w:r w:rsidRPr="00953B52">
        <w:rPr>
          <w:rFonts w:ascii="Arial" w:hAnsi="Arial" w:cs="Arial"/>
          <w:b/>
          <w:bCs/>
          <w:sz w:val="22"/>
          <w:szCs w:val="22"/>
          <w:lang w:val="fr-FR"/>
        </w:rPr>
        <w:t>la révocation ou l</w:t>
      </w:r>
      <w:r w:rsidR="00E84189">
        <w:rPr>
          <w:rFonts w:ascii="Arial" w:hAnsi="Arial" w:cs="Arial"/>
          <w:b/>
          <w:bCs/>
          <w:sz w:val="22"/>
          <w:szCs w:val="22"/>
          <w:lang w:val="fr-FR"/>
        </w:rPr>
        <w:t>’</w:t>
      </w:r>
      <w:r w:rsidRPr="00953B52">
        <w:rPr>
          <w:rFonts w:ascii="Arial" w:hAnsi="Arial" w:cs="Arial"/>
          <w:b/>
          <w:bCs/>
          <w:sz w:val="22"/>
          <w:szCs w:val="22"/>
          <w:lang w:val="fr-FR"/>
        </w:rPr>
        <w:t>invalidation de droits de brevet établis ne devraient pas être une solution possible</w:t>
      </w:r>
      <w:r w:rsidRPr="00953B52">
        <w:rPr>
          <w:rFonts w:ascii="Arial" w:hAnsi="Arial" w:cs="Arial"/>
          <w:sz w:val="22"/>
          <w:szCs w:val="22"/>
          <w:lang w:val="fr-FR"/>
        </w:rPr>
        <w:t xml:space="preserve">; </w:t>
      </w:r>
      <w:r w:rsidR="00095B51">
        <w:rPr>
          <w:rFonts w:ascii="Arial" w:hAnsi="Arial" w:cs="Arial"/>
          <w:sz w:val="22"/>
          <w:szCs w:val="22"/>
          <w:lang w:val="fr-FR"/>
        </w:rPr>
        <w:t xml:space="preserve"> </w:t>
      </w:r>
      <w:r w:rsidRPr="00953B52">
        <w:rPr>
          <w:rFonts w:ascii="Arial" w:hAnsi="Arial" w:cs="Arial"/>
          <w:sz w:val="22"/>
          <w:szCs w:val="22"/>
          <w:lang w:val="fr-FR"/>
        </w:rPr>
        <w:t>si l</w:t>
      </w:r>
      <w:r w:rsidR="00E84189">
        <w:rPr>
          <w:rFonts w:ascii="Arial" w:hAnsi="Arial" w:cs="Arial"/>
          <w:sz w:val="22"/>
          <w:szCs w:val="22"/>
          <w:lang w:val="fr-FR"/>
        </w:rPr>
        <w:t>’</w:t>
      </w:r>
      <w:r w:rsidRPr="00953B52">
        <w:rPr>
          <w:rFonts w:ascii="Arial" w:hAnsi="Arial" w:cs="Arial"/>
          <w:sz w:val="22"/>
          <w:szCs w:val="22"/>
          <w:lang w:val="fr-FR"/>
        </w:rPr>
        <w:t>IGC envisage la révocation ou l</w:t>
      </w:r>
      <w:r w:rsidR="00E84189">
        <w:rPr>
          <w:rFonts w:ascii="Arial" w:hAnsi="Arial" w:cs="Arial"/>
          <w:sz w:val="22"/>
          <w:szCs w:val="22"/>
          <w:lang w:val="fr-FR"/>
        </w:rPr>
        <w:t>’</w:t>
      </w:r>
      <w:r w:rsidRPr="00953B52">
        <w:rPr>
          <w:rFonts w:ascii="Arial" w:hAnsi="Arial" w:cs="Arial"/>
          <w:sz w:val="22"/>
          <w:szCs w:val="22"/>
          <w:lang w:val="fr-FR"/>
        </w:rPr>
        <w:t>invalidation en raison de circonstances exceptionnelles, le titulaire du brevet doit, dans tous les cas, avoir tout d</w:t>
      </w:r>
      <w:r w:rsidR="00E84189">
        <w:rPr>
          <w:rFonts w:ascii="Arial" w:hAnsi="Arial" w:cs="Arial"/>
          <w:sz w:val="22"/>
          <w:szCs w:val="22"/>
          <w:lang w:val="fr-FR"/>
        </w:rPr>
        <w:t>’</w:t>
      </w:r>
      <w:r w:rsidRPr="00953B52">
        <w:rPr>
          <w:rFonts w:ascii="Arial" w:hAnsi="Arial" w:cs="Arial"/>
          <w:sz w:val="22"/>
          <w:szCs w:val="22"/>
          <w:lang w:val="fr-FR"/>
        </w:rPr>
        <w:t>abord la possibilité de rectifier l</w:t>
      </w:r>
      <w:r w:rsidR="00E84189">
        <w:rPr>
          <w:rFonts w:ascii="Arial" w:hAnsi="Arial" w:cs="Arial"/>
          <w:sz w:val="22"/>
          <w:szCs w:val="22"/>
          <w:lang w:val="fr-FR"/>
        </w:rPr>
        <w:t>’</w:t>
      </w:r>
      <w:r w:rsidRPr="00953B52">
        <w:rPr>
          <w:rFonts w:ascii="Arial" w:hAnsi="Arial" w:cs="Arial"/>
          <w:sz w:val="22"/>
          <w:szCs w:val="22"/>
          <w:lang w:val="fr-FR"/>
        </w:rPr>
        <w:t>erreur et de fournir les informations spécifiées dans l</w:t>
      </w:r>
      <w:r w:rsidR="00E84189">
        <w:rPr>
          <w:rFonts w:ascii="Arial" w:hAnsi="Arial" w:cs="Arial"/>
          <w:sz w:val="22"/>
          <w:szCs w:val="22"/>
          <w:lang w:val="fr-FR"/>
        </w:rPr>
        <w:t>’</w:t>
      </w:r>
      <w:r w:rsidRPr="00953B52">
        <w:rPr>
          <w:rFonts w:ascii="Arial" w:hAnsi="Arial" w:cs="Arial"/>
          <w:sz w:val="22"/>
          <w:szCs w:val="22"/>
          <w:lang w:val="fr-FR"/>
        </w:rPr>
        <w:t>instrument sous un délai raisonnable.</w:t>
      </w:r>
    </w:p>
    <w:p w:rsidR="00546B53" w:rsidRDefault="00CC5DF6" w:rsidP="005C0BD9">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lang w:val="fr-FR"/>
        </w:rPr>
      </w:pPr>
      <w:r w:rsidRPr="00953B52">
        <w:rPr>
          <w:rFonts w:ascii="Arial" w:hAnsi="Arial" w:cs="Arial"/>
          <w:sz w:val="22"/>
          <w:szCs w:val="22"/>
          <w:lang w:val="fr-FR"/>
        </w:rPr>
        <w:t xml:space="preserve">Une exigence internationale de divulgation en matière de brevets soigneusement rédigée devrait apporter une </w:t>
      </w:r>
      <w:r w:rsidRPr="00953B52">
        <w:rPr>
          <w:rFonts w:ascii="Arial" w:hAnsi="Arial" w:cs="Arial"/>
          <w:b/>
          <w:sz w:val="22"/>
          <w:szCs w:val="22"/>
          <w:lang w:val="fr-FR"/>
        </w:rPr>
        <w:t xml:space="preserve">meilleure protection non seulement aux </w:t>
      </w:r>
      <w:bookmarkStart w:id="10" w:name="_Hlk50396735"/>
      <w:r w:rsidRPr="00953B52">
        <w:rPr>
          <w:rFonts w:ascii="Arial" w:hAnsi="Arial" w:cs="Arial"/>
          <w:b/>
          <w:sz w:val="22"/>
          <w:szCs w:val="22"/>
          <w:lang w:val="fr-FR"/>
        </w:rPr>
        <w:t xml:space="preserve">ressources génétiques et savoirs traditionnels connexes </w:t>
      </w:r>
      <w:bookmarkEnd w:id="10"/>
      <w:r w:rsidRPr="00953B52">
        <w:rPr>
          <w:rFonts w:ascii="Arial" w:hAnsi="Arial" w:cs="Arial"/>
          <w:b/>
          <w:sz w:val="22"/>
          <w:szCs w:val="22"/>
          <w:lang w:val="fr-FR"/>
        </w:rPr>
        <w:t>mais aussi aux innovations fondées sur des ressources génétiques et savoirs traditionnels connex</w:t>
      </w:r>
      <w:r w:rsidR="0003571D" w:rsidRPr="00953B52">
        <w:rPr>
          <w:rFonts w:ascii="Arial" w:hAnsi="Arial" w:cs="Arial"/>
          <w:b/>
          <w:sz w:val="22"/>
          <w:szCs w:val="22"/>
          <w:lang w:val="fr-FR"/>
        </w:rPr>
        <w:t>es</w:t>
      </w:r>
      <w:r w:rsidR="0003571D">
        <w:rPr>
          <w:rFonts w:ascii="Arial" w:hAnsi="Arial" w:cs="Arial"/>
          <w:b/>
          <w:sz w:val="22"/>
          <w:szCs w:val="22"/>
          <w:lang w:val="fr-FR"/>
        </w:rPr>
        <w:t xml:space="preserve">.  </w:t>
      </w:r>
      <w:r w:rsidR="0003571D" w:rsidRPr="00953B52">
        <w:rPr>
          <w:rFonts w:ascii="Arial" w:hAnsi="Arial" w:cs="Arial"/>
          <w:sz w:val="22"/>
          <w:szCs w:val="22"/>
          <w:lang w:val="fr-FR"/>
        </w:rPr>
        <w:t>El</w:t>
      </w:r>
      <w:r w:rsidRPr="00953B52">
        <w:rPr>
          <w:rFonts w:ascii="Arial" w:hAnsi="Arial" w:cs="Arial"/>
          <w:sz w:val="22"/>
          <w:szCs w:val="22"/>
          <w:lang w:val="fr-FR"/>
        </w:rPr>
        <w:t xml:space="preserve">le devrait également </w:t>
      </w:r>
      <w:r w:rsidRPr="00953B52">
        <w:rPr>
          <w:rFonts w:ascii="Arial" w:hAnsi="Arial" w:cs="Arial"/>
          <w:b/>
          <w:bCs/>
          <w:sz w:val="22"/>
          <w:szCs w:val="22"/>
          <w:lang w:val="fr-FR"/>
        </w:rPr>
        <w:t>contribuer à</w:t>
      </w:r>
      <w:r w:rsidRPr="00953B52">
        <w:rPr>
          <w:rFonts w:ascii="Arial" w:hAnsi="Arial" w:cs="Arial"/>
          <w:sz w:val="22"/>
          <w:szCs w:val="22"/>
          <w:lang w:val="fr-FR"/>
        </w:rPr>
        <w:t xml:space="preserve"> </w:t>
      </w:r>
      <w:r w:rsidRPr="00953B52">
        <w:rPr>
          <w:rFonts w:ascii="Arial" w:hAnsi="Arial" w:cs="Arial"/>
          <w:b/>
          <w:sz w:val="22"/>
          <w:szCs w:val="22"/>
          <w:lang w:val="fr-FR"/>
        </w:rPr>
        <w:t>une amélioration de la qualité des brevets et empêcher la délivrance de brevets indus.</w:t>
      </w:r>
    </w:p>
    <w:p w:rsidR="00546B53" w:rsidRDefault="00CC5DF6" w:rsidP="005C0BD9">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fr-FR"/>
        </w:rPr>
      </w:pPr>
      <w:r w:rsidRPr="00953B52">
        <w:rPr>
          <w:rFonts w:ascii="Arial" w:hAnsi="Arial" w:cs="Arial"/>
          <w:sz w:val="22"/>
          <w:szCs w:val="22"/>
          <w:lang w:val="fr-FR"/>
        </w:rPr>
        <w:t xml:space="preserve">Du point de vue de la Suisse, le </w:t>
      </w:r>
      <w:r w:rsidRPr="00953B52">
        <w:rPr>
          <w:rFonts w:ascii="Arial" w:hAnsi="Arial" w:cs="Arial"/>
          <w:b/>
          <w:sz w:val="22"/>
          <w:szCs w:val="22"/>
          <w:lang w:val="fr-FR"/>
        </w:rPr>
        <w:t xml:space="preserve">texte du </w:t>
      </w:r>
      <w:r w:rsidR="008D2CAF">
        <w:rPr>
          <w:rFonts w:ascii="Arial" w:hAnsi="Arial" w:cs="Arial"/>
          <w:b/>
          <w:sz w:val="22"/>
          <w:szCs w:val="22"/>
          <w:lang w:val="fr-FR"/>
        </w:rPr>
        <w:t>p</w:t>
      </w:r>
      <w:r w:rsidRPr="00953B52">
        <w:rPr>
          <w:rFonts w:ascii="Arial" w:hAnsi="Arial" w:cs="Arial"/>
          <w:b/>
          <w:sz w:val="22"/>
          <w:szCs w:val="22"/>
          <w:lang w:val="fr-FR"/>
        </w:rPr>
        <w:t>résident sur les ressources génétiques et les savoirs traditionnels connexes va dans le bon sens</w:t>
      </w:r>
      <w:r w:rsidRPr="00953B52">
        <w:rPr>
          <w:rFonts w:ascii="Arial" w:hAnsi="Arial" w:cs="Arial"/>
          <w:sz w:val="22"/>
          <w:szCs w:val="22"/>
          <w:lang w:val="fr-FR"/>
        </w:rPr>
        <w:t xml:space="preserve"> pour répondre à ces objectifs mais il mériterait d</w:t>
      </w:r>
      <w:r w:rsidR="00E84189">
        <w:rPr>
          <w:rFonts w:ascii="Arial" w:hAnsi="Arial" w:cs="Arial"/>
          <w:sz w:val="22"/>
          <w:szCs w:val="22"/>
          <w:lang w:val="fr-FR"/>
        </w:rPr>
        <w:t>’</w:t>
      </w:r>
      <w:r w:rsidRPr="00953B52">
        <w:rPr>
          <w:rFonts w:ascii="Arial" w:hAnsi="Arial" w:cs="Arial"/>
          <w:sz w:val="22"/>
          <w:szCs w:val="22"/>
          <w:lang w:val="fr-FR"/>
        </w:rPr>
        <w:t>être encore amélioré.</w:t>
      </w:r>
    </w:p>
    <w:p w:rsidR="00546B53" w:rsidRDefault="00CC5DF6" w:rsidP="005C0BD9">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lang w:val="fr-FR"/>
        </w:rPr>
      </w:pPr>
      <w:r w:rsidRPr="00953B52">
        <w:rPr>
          <w:rFonts w:ascii="Arial" w:hAnsi="Arial" w:cs="Arial"/>
          <w:sz w:val="22"/>
          <w:szCs w:val="22"/>
          <w:lang w:val="fr-FR"/>
        </w:rPr>
        <w:t xml:space="preserve">Pour terminer, la </w:t>
      </w:r>
      <w:r w:rsidR="00546B53" w:rsidRPr="00953B52">
        <w:rPr>
          <w:rFonts w:ascii="Arial" w:hAnsi="Arial" w:cs="Arial"/>
          <w:sz w:val="22"/>
          <w:szCs w:val="22"/>
          <w:lang w:val="fr-FR"/>
        </w:rPr>
        <w:t>section</w:t>
      </w:r>
      <w:r w:rsidR="00546B53">
        <w:rPr>
          <w:rFonts w:ascii="Arial" w:hAnsi="Arial" w:cs="Arial"/>
          <w:sz w:val="22"/>
          <w:szCs w:val="22"/>
          <w:lang w:val="fr-FR"/>
        </w:rPr>
        <w:t> </w:t>
      </w:r>
      <w:r w:rsidR="00546B53" w:rsidRPr="00953B52">
        <w:rPr>
          <w:rFonts w:ascii="Arial" w:hAnsi="Arial" w:cs="Arial"/>
          <w:sz w:val="22"/>
          <w:szCs w:val="22"/>
          <w:lang w:val="fr-FR"/>
        </w:rPr>
        <w:t>3</w:t>
      </w:r>
      <w:r w:rsidRPr="00953B52">
        <w:rPr>
          <w:rFonts w:ascii="Arial" w:hAnsi="Arial" w:cs="Arial"/>
          <w:sz w:val="22"/>
          <w:szCs w:val="22"/>
          <w:lang w:val="fr-FR"/>
        </w:rPr>
        <w:t xml:space="preserve"> </w:t>
      </w:r>
      <w:r w:rsidRPr="00953B52">
        <w:rPr>
          <w:rFonts w:ascii="Arial" w:hAnsi="Arial" w:cs="Arial"/>
          <w:b/>
          <w:sz w:val="22"/>
          <w:szCs w:val="22"/>
          <w:lang w:val="fr-FR"/>
        </w:rPr>
        <w:t>présente deux</w:t>
      </w:r>
      <w:r w:rsidR="00095B51">
        <w:rPr>
          <w:rFonts w:ascii="Arial" w:hAnsi="Arial" w:cs="Arial"/>
          <w:b/>
          <w:sz w:val="22"/>
          <w:szCs w:val="22"/>
          <w:lang w:val="fr-FR"/>
        </w:rPr>
        <w:t> </w:t>
      </w:r>
      <w:r w:rsidRPr="00953B52">
        <w:rPr>
          <w:rFonts w:ascii="Arial" w:hAnsi="Arial" w:cs="Arial"/>
          <w:b/>
          <w:sz w:val="22"/>
          <w:szCs w:val="22"/>
          <w:lang w:val="fr-FR"/>
        </w:rPr>
        <w:t xml:space="preserve">nouvelles idées, </w:t>
      </w:r>
      <w:r w:rsidR="00E84189">
        <w:rPr>
          <w:rFonts w:ascii="Arial" w:hAnsi="Arial" w:cs="Arial"/>
          <w:b/>
          <w:sz w:val="22"/>
          <w:szCs w:val="22"/>
          <w:lang w:val="fr-FR"/>
        </w:rPr>
        <w:t>à savoir</w:t>
      </w:r>
      <w:r w:rsidRPr="00953B52">
        <w:rPr>
          <w:rFonts w:ascii="Arial" w:hAnsi="Arial" w:cs="Arial"/>
          <w:b/>
          <w:sz w:val="22"/>
          <w:szCs w:val="22"/>
          <w:lang w:val="fr-FR"/>
        </w:rPr>
        <w:t xml:space="preserve"> une </w:t>
      </w:r>
      <w:r w:rsidR="00546B53">
        <w:rPr>
          <w:rFonts w:ascii="Arial" w:hAnsi="Arial" w:cs="Arial"/>
          <w:b/>
          <w:sz w:val="22"/>
          <w:szCs w:val="22"/>
          <w:lang w:val="fr-FR"/>
        </w:rPr>
        <w:t>“</w:t>
      </w:r>
      <w:r w:rsidR="00546B53" w:rsidRPr="00953B52">
        <w:rPr>
          <w:rFonts w:ascii="Arial" w:hAnsi="Arial" w:cs="Arial"/>
          <w:b/>
          <w:sz w:val="22"/>
          <w:szCs w:val="22"/>
          <w:lang w:val="fr-FR"/>
        </w:rPr>
        <w:t>c</w:t>
      </w:r>
      <w:r w:rsidRPr="00953B52">
        <w:rPr>
          <w:rFonts w:ascii="Arial" w:hAnsi="Arial" w:cs="Arial"/>
          <w:b/>
          <w:sz w:val="22"/>
          <w:szCs w:val="22"/>
          <w:lang w:val="fr-FR"/>
        </w:rPr>
        <w:t>lause de réciprocit</w:t>
      </w:r>
      <w:r w:rsidR="00546B53" w:rsidRPr="00953B52">
        <w:rPr>
          <w:rFonts w:ascii="Arial" w:hAnsi="Arial" w:cs="Arial"/>
          <w:b/>
          <w:sz w:val="22"/>
          <w:szCs w:val="22"/>
          <w:lang w:val="fr-FR"/>
        </w:rPr>
        <w:t>é</w:t>
      </w:r>
      <w:r w:rsidR="00546B53">
        <w:rPr>
          <w:rFonts w:ascii="Arial" w:hAnsi="Arial" w:cs="Arial"/>
          <w:b/>
          <w:sz w:val="22"/>
          <w:szCs w:val="22"/>
          <w:lang w:val="fr-FR"/>
        </w:rPr>
        <w:t>”</w:t>
      </w:r>
      <w:r w:rsidRPr="00953B52">
        <w:rPr>
          <w:rFonts w:ascii="Arial" w:hAnsi="Arial" w:cs="Arial"/>
          <w:b/>
          <w:sz w:val="22"/>
          <w:szCs w:val="22"/>
          <w:lang w:val="fr-FR"/>
        </w:rPr>
        <w:t xml:space="preserve"> et un </w:t>
      </w:r>
      <w:r w:rsidR="00546B53">
        <w:rPr>
          <w:rFonts w:ascii="Arial" w:hAnsi="Arial" w:cs="Arial"/>
          <w:b/>
          <w:sz w:val="22"/>
          <w:szCs w:val="22"/>
          <w:lang w:val="fr-FR"/>
        </w:rPr>
        <w:t>“</w:t>
      </w:r>
      <w:r w:rsidR="00546B53" w:rsidRPr="00953B52">
        <w:rPr>
          <w:rFonts w:ascii="Arial" w:hAnsi="Arial" w:cs="Arial"/>
          <w:b/>
          <w:sz w:val="22"/>
          <w:szCs w:val="22"/>
          <w:lang w:val="fr-FR"/>
        </w:rPr>
        <w:t>s</w:t>
      </w:r>
      <w:r w:rsidRPr="00953B52">
        <w:rPr>
          <w:rFonts w:ascii="Arial" w:hAnsi="Arial" w:cs="Arial"/>
          <w:b/>
          <w:sz w:val="22"/>
          <w:szCs w:val="22"/>
          <w:lang w:val="fr-FR"/>
        </w:rPr>
        <w:t>ystème d</w:t>
      </w:r>
      <w:r w:rsidR="00E84189">
        <w:rPr>
          <w:rFonts w:ascii="Arial" w:hAnsi="Arial" w:cs="Arial"/>
          <w:b/>
          <w:sz w:val="22"/>
          <w:szCs w:val="22"/>
          <w:lang w:val="fr-FR"/>
        </w:rPr>
        <w:t>’</w:t>
      </w:r>
      <w:r w:rsidRPr="00953B52">
        <w:rPr>
          <w:rFonts w:ascii="Arial" w:hAnsi="Arial" w:cs="Arial"/>
          <w:b/>
          <w:sz w:val="22"/>
          <w:szCs w:val="22"/>
          <w:lang w:val="fr-FR"/>
        </w:rPr>
        <w:t>information internationa</w:t>
      </w:r>
      <w:r w:rsidR="00546B53" w:rsidRPr="00953B52">
        <w:rPr>
          <w:rFonts w:ascii="Arial" w:hAnsi="Arial" w:cs="Arial"/>
          <w:b/>
          <w:sz w:val="22"/>
          <w:szCs w:val="22"/>
          <w:lang w:val="fr-FR"/>
        </w:rPr>
        <w:t>l</w:t>
      </w:r>
      <w:r w:rsidR="00546B53">
        <w:rPr>
          <w:rFonts w:ascii="Arial" w:hAnsi="Arial" w:cs="Arial"/>
          <w:b/>
          <w:sz w:val="22"/>
          <w:szCs w:val="22"/>
          <w:lang w:val="fr-FR"/>
        </w:rPr>
        <w:t>”</w:t>
      </w:r>
      <w:r w:rsidRPr="00953B52">
        <w:rPr>
          <w:rFonts w:ascii="Arial" w:hAnsi="Arial" w:cs="Arial"/>
          <w:bCs/>
          <w:sz w:val="22"/>
          <w:szCs w:val="22"/>
          <w:lang w:val="fr-FR"/>
        </w:rPr>
        <w:t>, lesquel</w:t>
      </w:r>
      <w:r w:rsidR="00E42C2C">
        <w:rPr>
          <w:rFonts w:ascii="Arial" w:hAnsi="Arial" w:cs="Arial"/>
          <w:bCs/>
          <w:sz w:val="22"/>
          <w:szCs w:val="22"/>
          <w:lang w:val="fr-FR"/>
        </w:rPr>
        <w:t>le</w:t>
      </w:r>
      <w:r w:rsidRPr="00953B52">
        <w:rPr>
          <w:rFonts w:ascii="Arial" w:hAnsi="Arial" w:cs="Arial"/>
          <w:bCs/>
          <w:sz w:val="22"/>
          <w:szCs w:val="22"/>
          <w:lang w:val="fr-FR"/>
        </w:rPr>
        <w:t xml:space="preserve">s pourraient renforcer </w:t>
      </w:r>
      <w:r w:rsidR="00546B53">
        <w:rPr>
          <w:rFonts w:ascii="Arial" w:hAnsi="Arial" w:cs="Arial"/>
          <w:bCs/>
          <w:sz w:val="22"/>
          <w:szCs w:val="22"/>
          <w:lang w:val="fr-FR"/>
        </w:rPr>
        <w:t>“</w:t>
      </w:r>
      <w:r w:rsidR="00546B53" w:rsidRPr="00953B52">
        <w:rPr>
          <w:rFonts w:ascii="Arial" w:hAnsi="Arial" w:cs="Arial"/>
          <w:bCs/>
          <w:sz w:val="22"/>
          <w:szCs w:val="22"/>
          <w:lang w:val="fr-FR"/>
        </w:rPr>
        <w:t>l</w:t>
      </w:r>
      <w:r w:rsidR="00E84189">
        <w:rPr>
          <w:rFonts w:ascii="Arial" w:hAnsi="Arial" w:cs="Arial"/>
          <w:bCs/>
          <w:sz w:val="22"/>
          <w:szCs w:val="22"/>
          <w:lang w:val="fr-FR"/>
        </w:rPr>
        <w:t>’</w:t>
      </w:r>
      <w:r w:rsidRPr="00953B52">
        <w:rPr>
          <w:rFonts w:ascii="Arial" w:hAnsi="Arial" w:cs="Arial"/>
          <w:bCs/>
          <w:sz w:val="22"/>
          <w:szCs w:val="22"/>
          <w:lang w:val="fr-FR"/>
        </w:rPr>
        <w:t>attractivit</w:t>
      </w:r>
      <w:r w:rsidR="00546B53" w:rsidRPr="00953B52">
        <w:rPr>
          <w:rFonts w:ascii="Arial" w:hAnsi="Arial" w:cs="Arial"/>
          <w:bCs/>
          <w:sz w:val="22"/>
          <w:szCs w:val="22"/>
          <w:lang w:val="fr-FR"/>
        </w:rPr>
        <w:t>é</w:t>
      </w:r>
      <w:r w:rsidR="00546B53">
        <w:rPr>
          <w:rFonts w:ascii="Arial" w:hAnsi="Arial" w:cs="Arial"/>
          <w:bCs/>
          <w:sz w:val="22"/>
          <w:szCs w:val="22"/>
          <w:lang w:val="fr-FR"/>
        </w:rPr>
        <w:t>”</w:t>
      </w:r>
      <w:r w:rsidRPr="00953B52">
        <w:rPr>
          <w:rFonts w:ascii="Arial" w:hAnsi="Arial" w:cs="Arial"/>
          <w:bCs/>
          <w:sz w:val="22"/>
          <w:szCs w:val="22"/>
          <w:lang w:val="fr-FR"/>
        </w:rPr>
        <w:t xml:space="preserve"> d</w:t>
      </w:r>
      <w:r w:rsidR="00E84189">
        <w:rPr>
          <w:rFonts w:ascii="Arial" w:hAnsi="Arial" w:cs="Arial"/>
          <w:bCs/>
          <w:sz w:val="22"/>
          <w:szCs w:val="22"/>
          <w:lang w:val="fr-FR"/>
        </w:rPr>
        <w:t>’</w:t>
      </w:r>
      <w:r w:rsidRPr="00953B52">
        <w:rPr>
          <w:rFonts w:ascii="Arial" w:hAnsi="Arial" w:cs="Arial"/>
          <w:bCs/>
          <w:sz w:val="22"/>
          <w:szCs w:val="22"/>
          <w:lang w:val="fr-FR"/>
        </w:rPr>
        <w:t>une exigence internationale de divulgation en matière de brevets pour tous les États membres de l</w:t>
      </w:r>
      <w:r w:rsidR="00E84189">
        <w:rPr>
          <w:rFonts w:ascii="Arial" w:hAnsi="Arial" w:cs="Arial"/>
          <w:bCs/>
          <w:sz w:val="22"/>
          <w:szCs w:val="22"/>
          <w:lang w:val="fr-FR"/>
        </w:rPr>
        <w:t>’</w:t>
      </w:r>
      <w:r w:rsidRPr="00953B52">
        <w:rPr>
          <w:rFonts w:ascii="Arial" w:hAnsi="Arial" w:cs="Arial"/>
          <w:bCs/>
          <w:sz w:val="22"/>
          <w:szCs w:val="22"/>
          <w:lang w:val="fr-FR"/>
        </w:rPr>
        <w:t>OMPI</w:t>
      </w:r>
      <w:r w:rsidRPr="00953B52">
        <w:rPr>
          <w:rFonts w:ascii="Arial" w:hAnsi="Arial" w:cs="Arial"/>
          <w:sz w:val="22"/>
          <w:szCs w:val="22"/>
          <w:lang w:val="fr-FR"/>
        </w:rPr>
        <w:t>.</w:t>
      </w:r>
    </w:p>
    <w:p w:rsidR="00CC5DF6" w:rsidRPr="00953B52" w:rsidRDefault="00CC5DF6" w:rsidP="005C0BD9">
      <w:pPr>
        <w:rPr>
          <w:rFonts w:eastAsia="Arial Unicode MS"/>
          <w:color w:val="000000"/>
          <w:szCs w:val="22"/>
          <w:lang w:val="fr-FR" w:eastAsia="de-CH"/>
        </w:rPr>
      </w:pPr>
    </w:p>
    <w:sdt>
      <w:sdtPr>
        <w:rPr>
          <w:rFonts w:ascii="Arial" w:eastAsiaTheme="minorEastAsia" w:hAnsi="Arial" w:cs="Arial"/>
          <w:color w:val="auto"/>
          <w:sz w:val="22"/>
          <w:szCs w:val="22"/>
          <w:lang w:val="fr-FR" w:eastAsia="zh-CN"/>
        </w:rPr>
        <w:id w:val="-921949115"/>
        <w:docPartObj>
          <w:docPartGallery w:val="Table of Contents"/>
          <w:docPartUnique/>
        </w:docPartObj>
      </w:sdtPr>
      <w:sdtEndPr>
        <w:rPr>
          <w:rFonts w:eastAsia="SimSun"/>
          <w:b/>
          <w:bCs/>
        </w:rPr>
      </w:sdtEndPr>
      <w:sdtContent>
        <w:p w:rsidR="00CC5DF6" w:rsidRPr="00953B52" w:rsidRDefault="00CC5DF6" w:rsidP="005C0BD9">
          <w:pPr>
            <w:pStyle w:val="TOCHeading"/>
            <w:pBdr>
              <w:bottom w:val="none" w:sz="0" w:space="0" w:color="auto"/>
            </w:pBdr>
            <w:spacing w:before="0" w:after="80"/>
            <w:rPr>
              <w:rFonts w:ascii="Arial" w:hAnsi="Arial" w:cs="Arial"/>
              <w:color w:val="auto"/>
              <w:sz w:val="22"/>
              <w:szCs w:val="22"/>
              <w:lang w:val="fr-FR"/>
            </w:rPr>
          </w:pPr>
          <w:r w:rsidRPr="00953B52">
            <w:rPr>
              <w:rFonts w:ascii="Arial" w:hAnsi="Arial" w:cs="Arial"/>
              <w:b/>
              <w:color w:val="auto"/>
              <w:sz w:val="22"/>
              <w:szCs w:val="22"/>
              <w:lang w:val="fr-FR"/>
            </w:rPr>
            <w:t>Sommaire</w:t>
          </w:r>
        </w:p>
        <w:p w:rsidR="00234673" w:rsidRDefault="005C0BD9" w:rsidP="00234673">
          <w:pPr>
            <w:pStyle w:val="TOC1"/>
            <w:rPr>
              <w:rFonts w:asciiTheme="minorHAnsi" w:hAnsiTheme="minorHAnsi"/>
              <w:noProof/>
              <w:szCs w:val="22"/>
            </w:rPr>
          </w:pPr>
          <w:r>
            <w:rPr>
              <w:szCs w:val="22"/>
              <w:lang w:val="fr-FR"/>
            </w:rPr>
            <w:fldChar w:fldCharType="begin"/>
          </w:r>
          <w:r>
            <w:rPr>
              <w:szCs w:val="22"/>
              <w:lang w:val="fr-FR"/>
            </w:rPr>
            <w:instrText xml:space="preserve"> TOC \o "1-3" \h \z \u </w:instrText>
          </w:r>
          <w:r>
            <w:rPr>
              <w:szCs w:val="22"/>
              <w:lang w:val="fr-FR"/>
            </w:rPr>
            <w:fldChar w:fldCharType="separate"/>
          </w:r>
          <w:hyperlink w:anchor="_Toc51243817" w:history="1">
            <w:r w:rsidR="00234673" w:rsidRPr="00B52151">
              <w:rPr>
                <w:rStyle w:val="Hyperlink"/>
                <w:b/>
                <w:noProof/>
                <w:lang w:val="fr-FR"/>
              </w:rPr>
              <w:t>1.</w:t>
            </w:r>
            <w:r w:rsidR="00234673">
              <w:rPr>
                <w:rFonts w:asciiTheme="minorHAnsi" w:hAnsiTheme="minorHAnsi"/>
                <w:noProof/>
                <w:szCs w:val="22"/>
              </w:rPr>
              <w:tab/>
            </w:r>
            <w:r w:rsidR="00234673" w:rsidRPr="00F8733C">
              <w:rPr>
                <w:rStyle w:val="Hyperlink"/>
                <w:noProof/>
                <w:lang w:val="fr-FR"/>
              </w:rPr>
              <w:t>Introduction</w:t>
            </w:r>
            <w:r w:rsidR="00234673">
              <w:rPr>
                <w:noProof/>
                <w:webHidden/>
              </w:rPr>
              <w:tab/>
            </w:r>
            <w:r w:rsidR="00234673">
              <w:rPr>
                <w:noProof/>
                <w:webHidden/>
              </w:rPr>
              <w:fldChar w:fldCharType="begin"/>
            </w:r>
            <w:r w:rsidR="00234673">
              <w:rPr>
                <w:noProof/>
                <w:webHidden/>
              </w:rPr>
              <w:instrText xml:space="preserve"> PAGEREF _Toc51243817 \h </w:instrText>
            </w:r>
            <w:r w:rsidR="00234673">
              <w:rPr>
                <w:noProof/>
                <w:webHidden/>
              </w:rPr>
            </w:r>
            <w:r w:rsidR="00234673">
              <w:rPr>
                <w:noProof/>
                <w:webHidden/>
              </w:rPr>
              <w:fldChar w:fldCharType="separate"/>
            </w:r>
            <w:r w:rsidR="00AB4490">
              <w:rPr>
                <w:noProof/>
                <w:webHidden/>
              </w:rPr>
              <w:t>3</w:t>
            </w:r>
            <w:r w:rsidR="00234673">
              <w:rPr>
                <w:noProof/>
                <w:webHidden/>
              </w:rPr>
              <w:fldChar w:fldCharType="end"/>
            </w:r>
          </w:hyperlink>
        </w:p>
        <w:p w:rsidR="00234673" w:rsidRDefault="00E74831" w:rsidP="00234673">
          <w:pPr>
            <w:pStyle w:val="TOC1"/>
            <w:rPr>
              <w:rFonts w:asciiTheme="minorHAnsi" w:hAnsiTheme="minorHAnsi"/>
              <w:noProof/>
              <w:szCs w:val="22"/>
            </w:rPr>
          </w:pPr>
          <w:hyperlink w:anchor="_Toc51243818" w:history="1">
            <w:r w:rsidR="00234673" w:rsidRPr="00B52151">
              <w:rPr>
                <w:rStyle w:val="Hyperlink"/>
                <w:b/>
                <w:noProof/>
                <w:lang w:val="fr-FR"/>
              </w:rPr>
              <w:t>2.</w:t>
            </w:r>
            <w:r w:rsidR="00234673">
              <w:rPr>
                <w:rFonts w:asciiTheme="minorHAnsi" w:hAnsiTheme="minorHAnsi"/>
                <w:noProof/>
                <w:szCs w:val="22"/>
              </w:rPr>
              <w:tab/>
            </w:r>
            <w:r w:rsidR="00234673" w:rsidRPr="00F8733C">
              <w:rPr>
                <w:rStyle w:val="Hyperlink"/>
                <w:noProof/>
                <w:lang w:val="fr-FR"/>
              </w:rPr>
              <w:t>Évolution de la situation juridique, de la situation technologique et de la situation en termes de brevets, liées aux ressources génétiques et aux savoirs traditionnels connexes</w:t>
            </w:r>
            <w:r w:rsidR="00234673">
              <w:rPr>
                <w:noProof/>
                <w:webHidden/>
              </w:rPr>
              <w:tab/>
            </w:r>
            <w:r w:rsidR="00234673">
              <w:rPr>
                <w:noProof/>
                <w:webHidden/>
              </w:rPr>
              <w:fldChar w:fldCharType="begin"/>
            </w:r>
            <w:r w:rsidR="00234673">
              <w:rPr>
                <w:noProof/>
                <w:webHidden/>
              </w:rPr>
              <w:instrText xml:space="preserve"> PAGEREF _Toc51243818 \h </w:instrText>
            </w:r>
            <w:r w:rsidR="00234673">
              <w:rPr>
                <w:noProof/>
                <w:webHidden/>
              </w:rPr>
            </w:r>
            <w:r w:rsidR="00234673">
              <w:rPr>
                <w:noProof/>
                <w:webHidden/>
              </w:rPr>
              <w:fldChar w:fldCharType="separate"/>
            </w:r>
            <w:r w:rsidR="00AB4490">
              <w:rPr>
                <w:noProof/>
                <w:webHidden/>
              </w:rPr>
              <w:t>4</w:t>
            </w:r>
            <w:r w:rsidR="00234673">
              <w:rPr>
                <w:noProof/>
                <w:webHidden/>
              </w:rPr>
              <w:fldChar w:fldCharType="end"/>
            </w:r>
          </w:hyperlink>
        </w:p>
        <w:p w:rsidR="00234673" w:rsidRDefault="00E74831" w:rsidP="00234673">
          <w:pPr>
            <w:pStyle w:val="TOC2"/>
            <w:rPr>
              <w:rFonts w:asciiTheme="minorHAnsi" w:eastAsiaTheme="minorEastAsia" w:hAnsiTheme="minorHAnsi" w:cstheme="minorBidi"/>
              <w:noProof/>
              <w:szCs w:val="22"/>
              <w:lang w:val="en-US" w:eastAsia="en-US"/>
            </w:rPr>
          </w:pPr>
          <w:hyperlink w:anchor="_Toc51243819" w:history="1">
            <w:r w:rsidR="00234673" w:rsidRPr="00B52151">
              <w:rPr>
                <w:rStyle w:val="Hyperlink"/>
                <w:b/>
                <w:noProof/>
              </w:rPr>
              <w:t>2.1</w:t>
            </w:r>
            <w:r w:rsidR="00234673">
              <w:rPr>
                <w:rFonts w:asciiTheme="minorHAnsi" w:eastAsiaTheme="minorEastAsia" w:hAnsiTheme="minorHAnsi" w:cstheme="minorBidi"/>
                <w:noProof/>
                <w:szCs w:val="22"/>
                <w:lang w:val="en-US" w:eastAsia="en-US"/>
              </w:rPr>
              <w:tab/>
            </w:r>
            <w:r w:rsidR="00234673" w:rsidRPr="00F8733C">
              <w:rPr>
                <w:rStyle w:val="Hyperlink"/>
                <w:noProof/>
              </w:rPr>
              <w:t>La situation juridique</w:t>
            </w:r>
            <w:r w:rsidR="00234673">
              <w:rPr>
                <w:noProof/>
                <w:webHidden/>
              </w:rPr>
              <w:tab/>
            </w:r>
            <w:r w:rsidR="00234673">
              <w:rPr>
                <w:noProof/>
                <w:webHidden/>
              </w:rPr>
              <w:fldChar w:fldCharType="begin"/>
            </w:r>
            <w:r w:rsidR="00234673">
              <w:rPr>
                <w:noProof/>
                <w:webHidden/>
              </w:rPr>
              <w:instrText xml:space="preserve"> PAGEREF _Toc51243819 \h </w:instrText>
            </w:r>
            <w:r w:rsidR="00234673">
              <w:rPr>
                <w:noProof/>
                <w:webHidden/>
              </w:rPr>
            </w:r>
            <w:r w:rsidR="00234673">
              <w:rPr>
                <w:noProof/>
                <w:webHidden/>
              </w:rPr>
              <w:fldChar w:fldCharType="separate"/>
            </w:r>
            <w:r w:rsidR="00AB4490">
              <w:rPr>
                <w:noProof/>
                <w:webHidden/>
              </w:rPr>
              <w:t>4</w:t>
            </w:r>
            <w:r w:rsidR="00234673">
              <w:rPr>
                <w:noProof/>
                <w:webHidden/>
              </w:rPr>
              <w:fldChar w:fldCharType="end"/>
            </w:r>
          </w:hyperlink>
        </w:p>
        <w:p w:rsidR="00234673" w:rsidRDefault="00E74831" w:rsidP="00234673">
          <w:pPr>
            <w:pStyle w:val="TOC2"/>
            <w:rPr>
              <w:rFonts w:asciiTheme="minorHAnsi" w:eastAsiaTheme="minorEastAsia" w:hAnsiTheme="minorHAnsi" w:cstheme="minorBidi"/>
              <w:noProof/>
              <w:szCs w:val="22"/>
              <w:lang w:val="en-US" w:eastAsia="en-US"/>
            </w:rPr>
          </w:pPr>
          <w:hyperlink w:anchor="_Toc51243820" w:history="1">
            <w:r w:rsidR="00234673" w:rsidRPr="00B52151">
              <w:rPr>
                <w:rStyle w:val="Hyperlink"/>
                <w:b/>
                <w:noProof/>
              </w:rPr>
              <w:t>2.2</w:t>
            </w:r>
            <w:r w:rsidR="00234673">
              <w:rPr>
                <w:rFonts w:asciiTheme="minorHAnsi" w:eastAsiaTheme="minorEastAsia" w:hAnsiTheme="minorHAnsi" w:cstheme="minorBidi"/>
                <w:noProof/>
                <w:szCs w:val="22"/>
                <w:lang w:val="en-US" w:eastAsia="en-US"/>
              </w:rPr>
              <w:tab/>
            </w:r>
            <w:r w:rsidR="00234673" w:rsidRPr="00F8733C">
              <w:rPr>
                <w:rStyle w:val="Hyperlink"/>
                <w:noProof/>
              </w:rPr>
              <w:t>La situation technologique</w:t>
            </w:r>
            <w:r w:rsidR="00234673">
              <w:rPr>
                <w:noProof/>
                <w:webHidden/>
              </w:rPr>
              <w:tab/>
            </w:r>
            <w:r w:rsidR="00234673">
              <w:rPr>
                <w:noProof/>
                <w:webHidden/>
              </w:rPr>
              <w:fldChar w:fldCharType="begin"/>
            </w:r>
            <w:r w:rsidR="00234673">
              <w:rPr>
                <w:noProof/>
                <w:webHidden/>
              </w:rPr>
              <w:instrText xml:space="preserve"> PAGEREF _Toc51243820 \h </w:instrText>
            </w:r>
            <w:r w:rsidR="00234673">
              <w:rPr>
                <w:noProof/>
                <w:webHidden/>
              </w:rPr>
            </w:r>
            <w:r w:rsidR="00234673">
              <w:rPr>
                <w:noProof/>
                <w:webHidden/>
              </w:rPr>
              <w:fldChar w:fldCharType="separate"/>
            </w:r>
            <w:r w:rsidR="00AB4490">
              <w:rPr>
                <w:noProof/>
                <w:webHidden/>
              </w:rPr>
              <w:t>5</w:t>
            </w:r>
            <w:r w:rsidR="00234673">
              <w:rPr>
                <w:noProof/>
                <w:webHidden/>
              </w:rPr>
              <w:fldChar w:fldCharType="end"/>
            </w:r>
          </w:hyperlink>
        </w:p>
        <w:p w:rsidR="00234673" w:rsidRDefault="00E74831" w:rsidP="00234673">
          <w:pPr>
            <w:pStyle w:val="TOC3"/>
            <w:rPr>
              <w:rFonts w:asciiTheme="minorHAnsi" w:eastAsiaTheme="minorEastAsia" w:hAnsiTheme="minorHAnsi" w:cstheme="minorBidi"/>
              <w:noProof/>
              <w:szCs w:val="22"/>
              <w:lang w:val="en-US" w:eastAsia="en-US"/>
            </w:rPr>
          </w:pPr>
          <w:hyperlink w:anchor="_Toc51243821" w:history="1">
            <w:r w:rsidR="00234673" w:rsidRPr="00B52151">
              <w:rPr>
                <w:rStyle w:val="Hyperlink"/>
                <w:b/>
                <w:noProof/>
              </w:rPr>
              <w:t>a)</w:t>
            </w:r>
            <w:r w:rsidR="00234673">
              <w:rPr>
                <w:rFonts w:asciiTheme="minorHAnsi" w:eastAsiaTheme="minorEastAsia" w:hAnsiTheme="minorHAnsi" w:cstheme="minorBidi"/>
                <w:noProof/>
                <w:szCs w:val="22"/>
                <w:lang w:val="en-US" w:eastAsia="en-US"/>
              </w:rPr>
              <w:tab/>
            </w:r>
            <w:r w:rsidR="00234673" w:rsidRPr="00F8733C">
              <w:rPr>
                <w:rStyle w:val="Hyperlink"/>
                <w:noProof/>
              </w:rPr>
              <w:t>Aspects intangibles des ressources génétiques</w:t>
            </w:r>
            <w:r w:rsidR="00234673">
              <w:rPr>
                <w:noProof/>
                <w:webHidden/>
              </w:rPr>
              <w:tab/>
            </w:r>
            <w:r w:rsidR="00234673">
              <w:rPr>
                <w:noProof/>
                <w:webHidden/>
              </w:rPr>
              <w:fldChar w:fldCharType="begin"/>
            </w:r>
            <w:r w:rsidR="00234673">
              <w:rPr>
                <w:noProof/>
                <w:webHidden/>
              </w:rPr>
              <w:instrText xml:space="preserve"> PAGEREF _Toc51243821 \h </w:instrText>
            </w:r>
            <w:r w:rsidR="00234673">
              <w:rPr>
                <w:noProof/>
                <w:webHidden/>
              </w:rPr>
            </w:r>
            <w:r w:rsidR="00234673">
              <w:rPr>
                <w:noProof/>
                <w:webHidden/>
              </w:rPr>
              <w:fldChar w:fldCharType="separate"/>
            </w:r>
            <w:r w:rsidR="00AB4490">
              <w:rPr>
                <w:noProof/>
                <w:webHidden/>
              </w:rPr>
              <w:t>6</w:t>
            </w:r>
            <w:r w:rsidR="00234673">
              <w:rPr>
                <w:noProof/>
                <w:webHidden/>
              </w:rPr>
              <w:fldChar w:fldCharType="end"/>
            </w:r>
          </w:hyperlink>
        </w:p>
        <w:p w:rsidR="00234673" w:rsidRDefault="00E74831" w:rsidP="00234673">
          <w:pPr>
            <w:pStyle w:val="TOC3"/>
            <w:rPr>
              <w:rFonts w:asciiTheme="minorHAnsi" w:eastAsiaTheme="minorEastAsia" w:hAnsiTheme="minorHAnsi" w:cstheme="minorBidi"/>
              <w:noProof/>
              <w:szCs w:val="22"/>
              <w:lang w:val="en-US" w:eastAsia="en-US"/>
            </w:rPr>
          </w:pPr>
          <w:hyperlink w:anchor="_Toc51243822" w:history="1">
            <w:r w:rsidR="00234673" w:rsidRPr="00B52151">
              <w:rPr>
                <w:rStyle w:val="Hyperlink"/>
                <w:b/>
                <w:noProof/>
              </w:rPr>
              <w:t>b)</w:t>
            </w:r>
            <w:r w:rsidR="00234673">
              <w:rPr>
                <w:rFonts w:asciiTheme="minorHAnsi" w:eastAsiaTheme="minorEastAsia" w:hAnsiTheme="minorHAnsi" w:cstheme="minorBidi"/>
                <w:noProof/>
                <w:szCs w:val="22"/>
                <w:lang w:val="en-US" w:eastAsia="en-US"/>
              </w:rPr>
              <w:tab/>
            </w:r>
            <w:r w:rsidR="00234673" w:rsidRPr="00F8733C">
              <w:rPr>
                <w:rStyle w:val="Hyperlink"/>
                <w:noProof/>
              </w:rPr>
              <w:t>Dérivés</w:t>
            </w:r>
            <w:r w:rsidR="00234673">
              <w:rPr>
                <w:noProof/>
                <w:webHidden/>
              </w:rPr>
              <w:tab/>
            </w:r>
            <w:r w:rsidR="00234673">
              <w:rPr>
                <w:noProof/>
                <w:webHidden/>
              </w:rPr>
              <w:fldChar w:fldCharType="begin"/>
            </w:r>
            <w:r w:rsidR="00234673">
              <w:rPr>
                <w:noProof/>
                <w:webHidden/>
              </w:rPr>
              <w:instrText xml:space="preserve"> PAGEREF _Toc51243822 \h </w:instrText>
            </w:r>
            <w:r w:rsidR="00234673">
              <w:rPr>
                <w:noProof/>
                <w:webHidden/>
              </w:rPr>
            </w:r>
            <w:r w:rsidR="00234673">
              <w:rPr>
                <w:noProof/>
                <w:webHidden/>
              </w:rPr>
              <w:fldChar w:fldCharType="separate"/>
            </w:r>
            <w:r w:rsidR="00AB4490">
              <w:rPr>
                <w:noProof/>
                <w:webHidden/>
              </w:rPr>
              <w:t>7</w:t>
            </w:r>
            <w:r w:rsidR="00234673">
              <w:rPr>
                <w:noProof/>
                <w:webHidden/>
              </w:rPr>
              <w:fldChar w:fldCharType="end"/>
            </w:r>
          </w:hyperlink>
        </w:p>
        <w:p w:rsidR="00234673" w:rsidRDefault="00E74831" w:rsidP="00234673">
          <w:pPr>
            <w:pStyle w:val="TOC2"/>
            <w:rPr>
              <w:rFonts w:asciiTheme="minorHAnsi" w:eastAsiaTheme="minorEastAsia" w:hAnsiTheme="minorHAnsi" w:cstheme="minorBidi"/>
              <w:noProof/>
              <w:szCs w:val="22"/>
              <w:lang w:val="en-US" w:eastAsia="en-US"/>
            </w:rPr>
          </w:pPr>
          <w:hyperlink w:anchor="_Toc51243823" w:history="1">
            <w:r w:rsidR="00234673" w:rsidRPr="00B52151">
              <w:rPr>
                <w:rStyle w:val="Hyperlink"/>
                <w:b/>
                <w:noProof/>
              </w:rPr>
              <w:t>2.3</w:t>
            </w:r>
            <w:r w:rsidR="00234673">
              <w:rPr>
                <w:rFonts w:asciiTheme="minorHAnsi" w:eastAsiaTheme="minorEastAsia" w:hAnsiTheme="minorHAnsi" w:cstheme="minorBidi"/>
                <w:noProof/>
                <w:szCs w:val="22"/>
                <w:lang w:val="en-US" w:eastAsia="en-US"/>
              </w:rPr>
              <w:tab/>
            </w:r>
            <w:r w:rsidR="00234673" w:rsidRPr="00F8733C">
              <w:rPr>
                <w:rStyle w:val="Hyperlink"/>
                <w:noProof/>
              </w:rPr>
              <w:t>La situation en termes de brevets</w:t>
            </w:r>
            <w:r w:rsidR="00234673">
              <w:rPr>
                <w:noProof/>
                <w:webHidden/>
              </w:rPr>
              <w:tab/>
            </w:r>
            <w:r w:rsidR="00234673">
              <w:rPr>
                <w:noProof/>
                <w:webHidden/>
              </w:rPr>
              <w:fldChar w:fldCharType="begin"/>
            </w:r>
            <w:r w:rsidR="00234673">
              <w:rPr>
                <w:noProof/>
                <w:webHidden/>
              </w:rPr>
              <w:instrText xml:space="preserve"> PAGEREF _Toc51243823 \h </w:instrText>
            </w:r>
            <w:r w:rsidR="00234673">
              <w:rPr>
                <w:noProof/>
                <w:webHidden/>
              </w:rPr>
            </w:r>
            <w:r w:rsidR="00234673">
              <w:rPr>
                <w:noProof/>
                <w:webHidden/>
              </w:rPr>
              <w:fldChar w:fldCharType="separate"/>
            </w:r>
            <w:r w:rsidR="00AB4490">
              <w:rPr>
                <w:noProof/>
                <w:webHidden/>
              </w:rPr>
              <w:t>8</w:t>
            </w:r>
            <w:r w:rsidR="00234673">
              <w:rPr>
                <w:noProof/>
                <w:webHidden/>
              </w:rPr>
              <w:fldChar w:fldCharType="end"/>
            </w:r>
          </w:hyperlink>
        </w:p>
        <w:p w:rsidR="00234673" w:rsidRDefault="00E74831" w:rsidP="00234673">
          <w:pPr>
            <w:pStyle w:val="TOC3"/>
            <w:rPr>
              <w:rFonts w:asciiTheme="minorHAnsi" w:eastAsiaTheme="minorEastAsia" w:hAnsiTheme="minorHAnsi" w:cstheme="minorBidi"/>
              <w:noProof/>
              <w:szCs w:val="22"/>
              <w:lang w:val="en-US" w:eastAsia="en-US"/>
            </w:rPr>
          </w:pPr>
          <w:hyperlink w:anchor="_Toc51243824" w:history="1">
            <w:r w:rsidR="00234673" w:rsidRPr="00B52151">
              <w:rPr>
                <w:rStyle w:val="Hyperlink"/>
                <w:b/>
                <w:noProof/>
              </w:rPr>
              <w:t>a)</w:t>
            </w:r>
            <w:r w:rsidR="00234673">
              <w:rPr>
                <w:rFonts w:asciiTheme="minorHAnsi" w:eastAsiaTheme="minorEastAsia" w:hAnsiTheme="minorHAnsi" w:cstheme="minorBidi"/>
                <w:noProof/>
                <w:szCs w:val="22"/>
                <w:lang w:val="en-US" w:eastAsia="en-US"/>
              </w:rPr>
              <w:tab/>
            </w:r>
            <w:r w:rsidR="00234673" w:rsidRPr="00F8733C">
              <w:rPr>
                <w:rStyle w:val="Hyperlink"/>
                <w:noProof/>
              </w:rPr>
              <w:t>Principaux types de ressources génétiques dans les demandes de brevet</w:t>
            </w:r>
            <w:r w:rsidR="00234673">
              <w:rPr>
                <w:noProof/>
                <w:webHidden/>
              </w:rPr>
              <w:tab/>
            </w:r>
            <w:r w:rsidR="00234673">
              <w:rPr>
                <w:noProof/>
                <w:webHidden/>
              </w:rPr>
              <w:fldChar w:fldCharType="begin"/>
            </w:r>
            <w:r w:rsidR="00234673">
              <w:rPr>
                <w:noProof/>
                <w:webHidden/>
              </w:rPr>
              <w:instrText xml:space="preserve"> PAGEREF _Toc51243824 \h </w:instrText>
            </w:r>
            <w:r w:rsidR="00234673">
              <w:rPr>
                <w:noProof/>
                <w:webHidden/>
              </w:rPr>
            </w:r>
            <w:r w:rsidR="00234673">
              <w:rPr>
                <w:noProof/>
                <w:webHidden/>
              </w:rPr>
              <w:fldChar w:fldCharType="separate"/>
            </w:r>
            <w:r w:rsidR="00AB4490">
              <w:rPr>
                <w:noProof/>
                <w:webHidden/>
              </w:rPr>
              <w:t>8</w:t>
            </w:r>
            <w:r w:rsidR="00234673">
              <w:rPr>
                <w:noProof/>
                <w:webHidden/>
              </w:rPr>
              <w:fldChar w:fldCharType="end"/>
            </w:r>
          </w:hyperlink>
        </w:p>
        <w:p w:rsidR="00234673" w:rsidRDefault="00E74831" w:rsidP="00234673">
          <w:pPr>
            <w:pStyle w:val="TOC3"/>
            <w:rPr>
              <w:rFonts w:asciiTheme="minorHAnsi" w:eastAsiaTheme="minorEastAsia" w:hAnsiTheme="minorHAnsi" w:cstheme="minorBidi"/>
              <w:noProof/>
              <w:szCs w:val="22"/>
              <w:lang w:val="en-US" w:eastAsia="en-US"/>
            </w:rPr>
          </w:pPr>
          <w:hyperlink w:anchor="_Toc51243825" w:history="1">
            <w:r w:rsidR="00234673" w:rsidRPr="00B52151">
              <w:rPr>
                <w:rStyle w:val="Hyperlink"/>
                <w:b/>
                <w:noProof/>
              </w:rPr>
              <w:t>b)</w:t>
            </w:r>
            <w:r w:rsidR="00234673">
              <w:rPr>
                <w:rFonts w:asciiTheme="minorHAnsi" w:eastAsiaTheme="minorEastAsia" w:hAnsiTheme="minorHAnsi" w:cstheme="minorBidi"/>
                <w:noProof/>
                <w:szCs w:val="22"/>
                <w:lang w:val="en-US" w:eastAsia="en-US"/>
              </w:rPr>
              <w:tab/>
            </w:r>
            <w:r w:rsidR="00234673" w:rsidRPr="00F8733C">
              <w:rPr>
                <w:rStyle w:val="Hyperlink"/>
                <w:noProof/>
              </w:rPr>
              <w:t>Sources diverses de ressources génétiques et de savoirs traditionnels connexes</w:t>
            </w:r>
            <w:r w:rsidR="00234673">
              <w:rPr>
                <w:noProof/>
                <w:webHidden/>
              </w:rPr>
              <w:tab/>
            </w:r>
            <w:r w:rsidR="00234673">
              <w:rPr>
                <w:noProof/>
                <w:webHidden/>
              </w:rPr>
              <w:fldChar w:fldCharType="begin"/>
            </w:r>
            <w:r w:rsidR="00234673">
              <w:rPr>
                <w:noProof/>
                <w:webHidden/>
              </w:rPr>
              <w:instrText xml:space="preserve"> PAGEREF _Toc51243825 \h </w:instrText>
            </w:r>
            <w:r w:rsidR="00234673">
              <w:rPr>
                <w:noProof/>
                <w:webHidden/>
              </w:rPr>
            </w:r>
            <w:r w:rsidR="00234673">
              <w:rPr>
                <w:noProof/>
                <w:webHidden/>
              </w:rPr>
              <w:fldChar w:fldCharType="separate"/>
            </w:r>
            <w:r w:rsidR="00AB4490">
              <w:rPr>
                <w:noProof/>
                <w:webHidden/>
              </w:rPr>
              <w:t>9</w:t>
            </w:r>
            <w:r w:rsidR="00234673">
              <w:rPr>
                <w:noProof/>
                <w:webHidden/>
              </w:rPr>
              <w:fldChar w:fldCharType="end"/>
            </w:r>
          </w:hyperlink>
        </w:p>
        <w:p w:rsidR="00234673" w:rsidRDefault="00E74831" w:rsidP="00234673">
          <w:pPr>
            <w:pStyle w:val="TOC3"/>
            <w:rPr>
              <w:rFonts w:asciiTheme="minorHAnsi" w:eastAsiaTheme="minorEastAsia" w:hAnsiTheme="minorHAnsi" w:cstheme="minorBidi"/>
              <w:noProof/>
              <w:szCs w:val="22"/>
              <w:lang w:val="en-US" w:eastAsia="en-US"/>
            </w:rPr>
          </w:pPr>
          <w:hyperlink w:anchor="_Toc51243826" w:history="1">
            <w:r w:rsidR="00234673" w:rsidRPr="00B52151">
              <w:rPr>
                <w:rStyle w:val="Hyperlink"/>
                <w:b/>
                <w:noProof/>
              </w:rPr>
              <w:t>c)</w:t>
            </w:r>
            <w:r w:rsidR="00234673">
              <w:rPr>
                <w:rFonts w:asciiTheme="minorHAnsi" w:eastAsiaTheme="minorEastAsia" w:hAnsiTheme="minorHAnsi" w:cstheme="minorBidi"/>
                <w:noProof/>
                <w:szCs w:val="22"/>
                <w:lang w:val="en-US" w:eastAsia="en-US"/>
              </w:rPr>
              <w:tab/>
            </w:r>
            <w:r w:rsidR="00234673" w:rsidRPr="00F8733C">
              <w:rPr>
                <w:rStyle w:val="Hyperlink"/>
                <w:noProof/>
              </w:rPr>
              <w:t>Renforcement de la collaboration internationale</w:t>
            </w:r>
            <w:r w:rsidR="00234673">
              <w:rPr>
                <w:noProof/>
                <w:webHidden/>
              </w:rPr>
              <w:tab/>
            </w:r>
            <w:r w:rsidR="00234673">
              <w:rPr>
                <w:noProof/>
                <w:webHidden/>
              </w:rPr>
              <w:fldChar w:fldCharType="begin"/>
            </w:r>
            <w:r w:rsidR="00234673">
              <w:rPr>
                <w:noProof/>
                <w:webHidden/>
              </w:rPr>
              <w:instrText xml:space="preserve"> PAGEREF _Toc51243826 \h </w:instrText>
            </w:r>
            <w:r w:rsidR="00234673">
              <w:rPr>
                <w:noProof/>
                <w:webHidden/>
              </w:rPr>
            </w:r>
            <w:r w:rsidR="00234673">
              <w:rPr>
                <w:noProof/>
                <w:webHidden/>
              </w:rPr>
              <w:fldChar w:fldCharType="separate"/>
            </w:r>
            <w:r w:rsidR="00AB4490">
              <w:rPr>
                <w:noProof/>
                <w:webHidden/>
              </w:rPr>
              <w:t>9</w:t>
            </w:r>
            <w:r w:rsidR="00234673">
              <w:rPr>
                <w:noProof/>
                <w:webHidden/>
              </w:rPr>
              <w:fldChar w:fldCharType="end"/>
            </w:r>
          </w:hyperlink>
        </w:p>
        <w:p w:rsidR="00234673" w:rsidRDefault="00E74831" w:rsidP="00234673">
          <w:pPr>
            <w:pStyle w:val="TOC1"/>
            <w:rPr>
              <w:rFonts w:asciiTheme="minorHAnsi" w:hAnsiTheme="minorHAnsi"/>
              <w:noProof/>
              <w:szCs w:val="22"/>
            </w:rPr>
          </w:pPr>
          <w:hyperlink w:anchor="_Toc51243827" w:history="1">
            <w:r w:rsidR="00234673" w:rsidRPr="00B52151">
              <w:rPr>
                <w:rStyle w:val="Hyperlink"/>
                <w:b/>
                <w:noProof/>
                <w:lang w:val="fr-FR"/>
              </w:rPr>
              <w:t>3.</w:t>
            </w:r>
            <w:r w:rsidR="00234673">
              <w:rPr>
                <w:rFonts w:asciiTheme="minorHAnsi" w:hAnsiTheme="minorHAnsi"/>
                <w:noProof/>
                <w:szCs w:val="22"/>
              </w:rPr>
              <w:tab/>
            </w:r>
            <w:r w:rsidR="00234673" w:rsidRPr="00F8733C">
              <w:rPr>
                <w:rStyle w:val="Hyperlink"/>
                <w:noProof/>
                <w:lang w:val="fr-FR"/>
              </w:rPr>
              <w:t>Principales modalités concernant une exigence de divulgation internationale en matière de brevets</w:t>
            </w:r>
            <w:r w:rsidR="00234673">
              <w:rPr>
                <w:noProof/>
                <w:webHidden/>
              </w:rPr>
              <w:tab/>
            </w:r>
            <w:r w:rsidR="00234673">
              <w:rPr>
                <w:noProof/>
                <w:webHidden/>
              </w:rPr>
              <w:fldChar w:fldCharType="begin"/>
            </w:r>
            <w:r w:rsidR="00234673">
              <w:rPr>
                <w:noProof/>
                <w:webHidden/>
              </w:rPr>
              <w:instrText xml:space="preserve"> PAGEREF _Toc51243827 \h </w:instrText>
            </w:r>
            <w:r w:rsidR="00234673">
              <w:rPr>
                <w:noProof/>
                <w:webHidden/>
              </w:rPr>
            </w:r>
            <w:r w:rsidR="00234673">
              <w:rPr>
                <w:noProof/>
                <w:webHidden/>
              </w:rPr>
              <w:fldChar w:fldCharType="separate"/>
            </w:r>
            <w:r w:rsidR="00AB4490">
              <w:rPr>
                <w:noProof/>
                <w:webHidden/>
              </w:rPr>
              <w:t>10</w:t>
            </w:r>
            <w:r w:rsidR="00234673">
              <w:rPr>
                <w:noProof/>
                <w:webHidden/>
              </w:rPr>
              <w:fldChar w:fldCharType="end"/>
            </w:r>
          </w:hyperlink>
        </w:p>
        <w:p w:rsidR="00234673" w:rsidRDefault="00E74831" w:rsidP="00234673">
          <w:pPr>
            <w:pStyle w:val="TOC2"/>
            <w:rPr>
              <w:rFonts w:asciiTheme="minorHAnsi" w:eastAsiaTheme="minorEastAsia" w:hAnsiTheme="minorHAnsi" w:cstheme="minorBidi"/>
              <w:noProof/>
              <w:szCs w:val="22"/>
              <w:lang w:val="en-US" w:eastAsia="en-US"/>
            </w:rPr>
          </w:pPr>
          <w:hyperlink w:anchor="_Toc51243828" w:history="1">
            <w:r w:rsidR="00234673" w:rsidRPr="00B52151">
              <w:rPr>
                <w:rStyle w:val="Hyperlink"/>
                <w:b/>
                <w:noProof/>
              </w:rPr>
              <w:t>3.1</w:t>
            </w:r>
            <w:r w:rsidR="00234673">
              <w:rPr>
                <w:rFonts w:asciiTheme="minorHAnsi" w:eastAsiaTheme="minorEastAsia" w:hAnsiTheme="minorHAnsi" w:cstheme="minorBidi"/>
                <w:noProof/>
                <w:szCs w:val="22"/>
                <w:lang w:val="en-US" w:eastAsia="en-US"/>
              </w:rPr>
              <w:tab/>
            </w:r>
            <w:r w:rsidR="00234673" w:rsidRPr="00F8733C">
              <w:rPr>
                <w:rStyle w:val="Hyperlink"/>
                <w:noProof/>
              </w:rPr>
              <w:t>Élément déclencheur, contenu et sanctions</w:t>
            </w:r>
            <w:r w:rsidR="00234673">
              <w:rPr>
                <w:noProof/>
                <w:webHidden/>
              </w:rPr>
              <w:tab/>
            </w:r>
            <w:r w:rsidR="00234673">
              <w:rPr>
                <w:noProof/>
                <w:webHidden/>
              </w:rPr>
              <w:fldChar w:fldCharType="begin"/>
            </w:r>
            <w:r w:rsidR="00234673">
              <w:rPr>
                <w:noProof/>
                <w:webHidden/>
              </w:rPr>
              <w:instrText xml:space="preserve"> PAGEREF _Toc51243828 \h </w:instrText>
            </w:r>
            <w:r w:rsidR="00234673">
              <w:rPr>
                <w:noProof/>
                <w:webHidden/>
              </w:rPr>
            </w:r>
            <w:r w:rsidR="00234673">
              <w:rPr>
                <w:noProof/>
                <w:webHidden/>
              </w:rPr>
              <w:fldChar w:fldCharType="separate"/>
            </w:r>
            <w:r w:rsidR="00AB4490">
              <w:rPr>
                <w:noProof/>
                <w:webHidden/>
              </w:rPr>
              <w:t>11</w:t>
            </w:r>
            <w:r w:rsidR="00234673">
              <w:rPr>
                <w:noProof/>
                <w:webHidden/>
              </w:rPr>
              <w:fldChar w:fldCharType="end"/>
            </w:r>
          </w:hyperlink>
        </w:p>
        <w:p w:rsidR="00234673" w:rsidRDefault="00E74831" w:rsidP="00234673">
          <w:pPr>
            <w:pStyle w:val="TOC2"/>
            <w:rPr>
              <w:rFonts w:asciiTheme="minorHAnsi" w:eastAsiaTheme="minorEastAsia" w:hAnsiTheme="minorHAnsi" w:cstheme="minorBidi"/>
              <w:noProof/>
              <w:szCs w:val="22"/>
              <w:lang w:val="en-US" w:eastAsia="en-US"/>
            </w:rPr>
          </w:pPr>
          <w:hyperlink w:anchor="_Toc51243829" w:history="1">
            <w:r w:rsidR="00234673" w:rsidRPr="00B52151">
              <w:rPr>
                <w:rStyle w:val="Hyperlink"/>
                <w:b/>
                <w:noProof/>
              </w:rPr>
              <w:t>3.2</w:t>
            </w:r>
            <w:r w:rsidR="00234673">
              <w:rPr>
                <w:rFonts w:asciiTheme="minorHAnsi" w:eastAsiaTheme="minorEastAsia" w:hAnsiTheme="minorHAnsi" w:cstheme="minorBidi"/>
                <w:noProof/>
                <w:szCs w:val="22"/>
                <w:lang w:val="en-US" w:eastAsia="en-US"/>
              </w:rPr>
              <w:tab/>
            </w:r>
            <w:r w:rsidR="00234673" w:rsidRPr="00F8733C">
              <w:rPr>
                <w:rStyle w:val="Hyperlink"/>
                <w:noProof/>
              </w:rPr>
              <w:t>Clause de réciprocité comme incitation à ratifier l</w:t>
            </w:r>
            <w:r w:rsidR="00E84189">
              <w:rPr>
                <w:rStyle w:val="Hyperlink"/>
                <w:noProof/>
              </w:rPr>
              <w:t>’</w:t>
            </w:r>
            <w:r w:rsidR="00234673" w:rsidRPr="00F8733C">
              <w:rPr>
                <w:rStyle w:val="Hyperlink"/>
                <w:noProof/>
              </w:rPr>
              <w:t>instrument</w:t>
            </w:r>
            <w:r w:rsidR="00234673">
              <w:rPr>
                <w:noProof/>
                <w:webHidden/>
              </w:rPr>
              <w:tab/>
            </w:r>
            <w:r w:rsidR="00234673">
              <w:rPr>
                <w:noProof/>
                <w:webHidden/>
              </w:rPr>
              <w:fldChar w:fldCharType="begin"/>
            </w:r>
            <w:r w:rsidR="00234673">
              <w:rPr>
                <w:noProof/>
                <w:webHidden/>
              </w:rPr>
              <w:instrText xml:space="preserve"> PAGEREF _Toc51243829 \h </w:instrText>
            </w:r>
            <w:r w:rsidR="00234673">
              <w:rPr>
                <w:noProof/>
                <w:webHidden/>
              </w:rPr>
            </w:r>
            <w:r w:rsidR="00234673">
              <w:rPr>
                <w:noProof/>
                <w:webHidden/>
              </w:rPr>
              <w:fldChar w:fldCharType="separate"/>
            </w:r>
            <w:r w:rsidR="00AB4490">
              <w:rPr>
                <w:noProof/>
                <w:webHidden/>
              </w:rPr>
              <w:t>12</w:t>
            </w:r>
            <w:r w:rsidR="00234673">
              <w:rPr>
                <w:noProof/>
                <w:webHidden/>
              </w:rPr>
              <w:fldChar w:fldCharType="end"/>
            </w:r>
          </w:hyperlink>
        </w:p>
        <w:p w:rsidR="00234673" w:rsidRDefault="00E74831" w:rsidP="00234673">
          <w:pPr>
            <w:pStyle w:val="TOC2"/>
            <w:rPr>
              <w:rFonts w:asciiTheme="minorHAnsi" w:eastAsiaTheme="minorEastAsia" w:hAnsiTheme="minorHAnsi" w:cstheme="minorBidi"/>
              <w:noProof/>
              <w:szCs w:val="22"/>
              <w:lang w:val="en-US" w:eastAsia="en-US"/>
            </w:rPr>
          </w:pPr>
          <w:hyperlink w:anchor="_Toc51243830" w:history="1">
            <w:r w:rsidR="00234673" w:rsidRPr="00B52151">
              <w:rPr>
                <w:rStyle w:val="Hyperlink"/>
                <w:b/>
                <w:noProof/>
              </w:rPr>
              <w:t>3.3</w:t>
            </w:r>
            <w:r w:rsidR="00234673">
              <w:rPr>
                <w:rFonts w:asciiTheme="minorHAnsi" w:eastAsiaTheme="minorEastAsia" w:hAnsiTheme="minorHAnsi" w:cstheme="minorBidi"/>
                <w:noProof/>
                <w:szCs w:val="22"/>
                <w:lang w:val="en-US" w:eastAsia="en-US"/>
              </w:rPr>
              <w:tab/>
            </w:r>
            <w:r w:rsidR="00234673" w:rsidRPr="00F8733C">
              <w:rPr>
                <w:rStyle w:val="Hyperlink"/>
                <w:noProof/>
              </w:rPr>
              <w:t>Système d</w:t>
            </w:r>
            <w:r w:rsidR="00E84189">
              <w:rPr>
                <w:rStyle w:val="Hyperlink"/>
                <w:noProof/>
              </w:rPr>
              <w:t>’</w:t>
            </w:r>
            <w:r w:rsidR="00234673" w:rsidRPr="00F8733C">
              <w:rPr>
                <w:rStyle w:val="Hyperlink"/>
                <w:noProof/>
              </w:rPr>
              <w:t>information international pour simplifier la mise en œuvre des exigences de divulgation internationale en matière de brevets</w:t>
            </w:r>
            <w:r w:rsidR="00234673">
              <w:rPr>
                <w:noProof/>
                <w:webHidden/>
              </w:rPr>
              <w:tab/>
            </w:r>
            <w:r w:rsidR="00234673">
              <w:rPr>
                <w:noProof/>
                <w:webHidden/>
              </w:rPr>
              <w:fldChar w:fldCharType="begin"/>
            </w:r>
            <w:r w:rsidR="00234673">
              <w:rPr>
                <w:noProof/>
                <w:webHidden/>
              </w:rPr>
              <w:instrText xml:space="preserve"> PAGEREF _Toc51243830 \h </w:instrText>
            </w:r>
            <w:r w:rsidR="00234673">
              <w:rPr>
                <w:noProof/>
                <w:webHidden/>
              </w:rPr>
            </w:r>
            <w:r w:rsidR="00234673">
              <w:rPr>
                <w:noProof/>
                <w:webHidden/>
              </w:rPr>
              <w:fldChar w:fldCharType="separate"/>
            </w:r>
            <w:r w:rsidR="00AB4490">
              <w:rPr>
                <w:noProof/>
                <w:webHidden/>
              </w:rPr>
              <w:t>13</w:t>
            </w:r>
            <w:r w:rsidR="00234673">
              <w:rPr>
                <w:noProof/>
                <w:webHidden/>
              </w:rPr>
              <w:fldChar w:fldCharType="end"/>
            </w:r>
          </w:hyperlink>
        </w:p>
        <w:p w:rsidR="00CC5DF6" w:rsidRPr="00953B52" w:rsidRDefault="005C0BD9" w:rsidP="005C0BD9">
          <w:pPr>
            <w:spacing w:before="240" w:afterLines="20" w:after="48"/>
            <w:rPr>
              <w:b/>
              <w:bCs/>
              <w:szCs w:val="22"/>
              <w:lang w:val="fr-FR"/>
            </w:rPr>
          </w:pPr>
          <w:r>
            <w:rPr>
              <w:rFonts w:eastAsiaTheme="minorEastAsia"/>
              <w:szCs w:val="22"/>
              <w:lang w:val="fr-FR" w:eastAsia="en-US"/>
            </w:rPr>
            <w:fldChar w:fldCharType="end"/>
          </w:r>
          <w:hyperlink w:anchor="_Toc29215907" w:history="1">
            <w:r w:rsidR="00CC5DF6" w:rsidRPr="00953B52">
              <w:rPr>
                <w:rFonts w:eastAsiaTheme="majorEastAsia"/>
                <w:b/>
                <w:color w:val="262626" w:themeColor="text1" w:themeTint="D9"/>
                <w:szCs w:val="22"/>
                <w:lang w:val="fr-FR"/>
              </w:rPr>
              <w:t xml:space="preserve">Appendice </w:t>
            </w:r>
          </w:hyperlink>
          <w:r w:rsidR="00CC5DF6" w:rsidRPr="00953B52">
            <w:rPr>
              <w:rFonts w:eastAsiaTheme="majorEastAsia"/>
              <w:b/>
              <w:color w:val="262626" w:themeColor="text1" w:themeTint="D9"/>
              <w:szCs w:val="22"/>
              <w:lang w:val="fr-FR"/>
            </w:rPr>
            <w:t xml:space="preserve">– </w:t>
          </w:r>
          <w:r w:rsidR="00CC5DF6" w:rsidRPr="00953B52">
            <w:rPr>
              <w:rFonts w:eastAsiaTheme="majorEastAsia"/>
              <w:color w:val="262626" w:themeColor="text1" w:themeTint="D9"/>
              <w:szCs w:val="22"/>
              <w:lang w:val="fr-FR"/>
            </w:rPr>
            <w:t>Projets de texte proposés sur la clause de réciprocité et le système d</w:t>
          </w:r>
          <w:r w:rsidR="00E84189">
            <w:rPr>
              <w:rFonts w:eastAsiaTheme="majorEastAsia"/>
              <w:color w:val="262626" w:themeColor="text1" w:themeTint="D9"/>
              <w:szCs w:val="22"/>
              <w:lang w:val="fr-FR"/>
            </w:rPr>
            <w:t>’</w:t>
          </w:r>
          <w:r w:rsidR="00CC5DF6" w:rsidRPr="00953B52">
            <w:rPr>
              <w:rFonts w:eastAsiaTheme="majorEastAsia"/>
              <w:color w:val="262626" w:themeColor="text1" w:themeTint="D9"/>
              <w:szCs w:val="22"/>
              <w:lang w:val="fr-FR"/>
            </w:rPr>
            <w:t>information international</w:t>
          </w:r>
        </w:p>
      </w:sdtContent>
    </w:sdt>
    <w:p w:rsidR="00CC5DF6" w:rsidRPr="00953B52" w:rsidRDefault="00CC5DF6" w:rsidP="005C0BD9">
      <w:pPr>
        <w:spacing w:before="240" w:afterLines="20" w:after="48"/>
        <w:rPr>
          <w:rFonts w:eastAsiaTheme="majorEastAsia"/>
          <w:b/>
          <w:color w:val="262626" w:themeColor="text1" w:themeTint="D9"/>
          <w:szCs w:val="22"/>
          <w:lang w:val="fr-FR"/>
        </w:rPr>
      </w:pPr>
    </w:p>
    <w:p w:rsidR="00546B53" w:rsidRDefault="00CC5DF6" w:rsidP="005C0BD9">
      <w:pPr>
        <w:pStyle w:val="Heading1"/>
        <w:keepLines/>
        <w:numPr>
          <w:ilvl w:val="0"/>
          <w:numId w:val="11"/>
        </w:numPr>
        <w:spacing w:before="120" w:after="120"/>
        <w:ind w:left="567" w:hanging="567"/>
        <w:rPr>
          <w:szCs w:val="22"/>
          <w:lang w:val="fr-FR"/>
        </w:rPr>
      </w:pPr>
      <w:bookmarkStart w:id="11" w:name="_Toc33787221"/>
      <w:bookmarkStart w:id="12" w:name="_Toc51243817"/>
      <w:bookmarkEnd w:id="11"/>
      <w:r w:rsidRPr="00953B52">
        <w:rPr>
          <w:caps w:val="0"/>
          <w:szCs w:val="22"/>
          <w:lang w:val="fr-FR"/>
        </w:rPr>
        <w:lastRenderedPageBreak/>
        <w:t>Introduction</w:t>
      </w:r>
      <w:bookmarkEnd w:id="12"/>
    </w:p>
    <w:p w:rsidR="00CC5DF6" w:rsidRPr="00953B52"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Depuis plusieurs années, les exigences de divulgation en matière de brevets concernant les ressources génétiques et les savoirs traditionnels connexes font l</w:t>
      </w:r>
      <w:r w:rsidR="00E84189">
        <w:rPr>
          <w:rFonts w:ascii="Arial" w:hAnsi="Arial" w:cs="Arial"/>
          <w:sz w:val="22"/>
          <w:szCs w:val="22"/>
          <w:lang w:val="fr-FR"/>
        </w:rPr>
        <w:t>’</w:t>
      </w:r>
      <w:r w:rsidRPr="00953B52">
        <w:rPr>
          <w:rFonts w:ascii="Arial" w:hAnsi="Arial" w:cs="Arial"/>
          <w:sz w:val="22"/>
          <w:szCs w:val="22"/>
          <w:lang w:val="fr-FR"/>
        </w:rPr>
        <w:t>objet de discussions au sein de l</w:t>
      </w:r>
      <w:r w:rsidR="00E84189">
        <w:rPr>
          <w:rFonts w:ascii="Arial" w:hAnsi="Arial" w:cs="Arial"/>
          <w:sz w:val="22"/>
          <w:szCs w:val="22"/>
          <w:lang w:val="fr-FR"/>
        </w:rPr>
        <w:t>’</w:t>
      </w:r>
      <w:r w:rsidRPr="00953B52">
        <w:rPr>
          <w:rFonts w:ascii="Arial" w:hAnsi="Arial" w:cs="Arial"/>
          <w:sz w:val="22"/>
          <w:szCs w:val="22"/>
          <w:lang w:val="fr-FR"/>
        </w:rPr>
        <w:t xml:space="preserve">Organisation </w:t>
      </w:r>
      <w:r w:rsidR="00095B51">
        <w:rPr>
          <w:rFonts w:ascii="Arial" w:hAnsi="Arial" w:cs="Arial"/>
          <w:sz w:val="22"/>
          <w:szCs w:val="22"/>
          <w:lang w:val="fr-FR"/>
        </w:rPr>
        <w:t>Mondiale</w:t>
      </w:r>
      <w:r w:rsidRPr="00953B52">
        <w:rPr>
          <w:rFonts w:ascii="Arial" w:hAnsi="Arial" w:cs="Arial"/>
          <w:sz w:val="22"/>
          <w:szCs w:val="22"/>
          <w:lang w:val="fr-FR"/>
        </w:rPr>
        <w:t xml:space="preserve"> de la </w:t>
      </w:r>
      <w:r w:rsidR="00095B51">
        <w:rPr>
          <w:rFonts w:ascii="Arial" w:hAnsi="Arial" w:cs="Arial"/>
          <w:sz w:val="22"/>
          <w:szCs w:val="22"/>
          <w:lang w:val="fr-FR"/>
        </w:rPr>
        <w:t>Propriété Intellectuelle</w:t>
      </w:r>
      <w:r w:rsidRPr="00953B52">
        <w:rPr>
          <w:rFonts w:ascii="Arial" w:hAnsi="Arial" w:cs="Arial"/>
          <w:sz w:val="22"/>
          <w:szCs w:val="22"/>
          <w:lang w:val="fr-FR"/>
        </w:rPr>
        <w:t xml:space="preserve"> (OMPI) et d</w:t>
      </w:r>
      <w:r w:rsidR="00E84189">
        <w:rPr>
          <w:rFonts w:ascii="Arial" w:hAnsi="Arial" w:cs="Arial"/>
          <w:sz w:val="22"/>
          <w:szCs w:val="22"/>
          <w:lang w:val="fr-FR"/>
        </w:rPr>
        <w:t>’</w:t>
      </w:r>
      <w:r w:rsidRPr="00953B52">
        <w:rPr>
          <w:rFonts w:ascii="Arial" w:hAnsi="Arial" w:cs="Arial"/>
          <w:sz w:val="22"/>
          <w:szCs w:val="22"/>
          <w:lang w:val="fr-FR"/>
        </w:rPr>
        <w:t>autres instances internationales telles que la Convention sur la diversité biologique (CDB) et l</w:t>
      </w:r>
      <w:r w:rsidR="00E84189">
        <w:rPr>
          <w:rFonts w:ascii="Arial" w:hAnsi="Arial" w:cs="Arial"/>
          <w:sz w:val="22"/>
          <w:szCs w:val="22"/>
          <w:lang w:val="fr-FR"/>
        </w:rPr>
        <w:t>’</w:t>
      </w:r>
      <w:r w:rsidRPr="00953B52">
        <w:rPr>
          <w:rFonts w:ascii="Arial" w:hAnsi="Arial" w:cs="Arial"/>
          <w:sz w:val="22"/>
          <w:szCs w:val="22"/>
          <w:lang w:val="fr-FR"/>
        </w:rPr>
        <w:t xml:space="preserve">Organisation mondiale du commerce (OMC). </w:t>
      </w:r>
      <w:r w:rsidR="00513138">
        <w:rPr>
          <w:rFonts w:ascii="Arial" w:hAnsi="Arial" w:cs="Arial"/>
          <w:sz w:val="22"/>
          <w:szCs w:val="22"/>
          <w:lang w:val="fr-FR"/>
        </w:rPr>
        <w:t xml:space="preserve"> </w:t>
      </w:r>
      <w:r w:rsidRPr="00953B52">
        <w:rPr>
          <w:rFonts w:ascii="Arial" w:hAnsi="Arial" w:cs="Arial"/>
          <w:sz w:val="22"/>
          <w:szCs w:val="22"/>
          <w:lang w:val="fr-FR"/>
        </w:rPr>
        <w:t xml:space="preserve">Les États membres ont fourni des propositions très diverses allant de </w:t>
      </w:r>
      <w:r w:rsidR="00546B53">
        <w:rPr>
          <w:rFonts w:ascii="Arial" w:hAnsi="Arial" w:cs="Arial"/>
          <w:sz w:val="22"/>
          <w:szCs w:val="22"/>
          <w:lang w:val="fr-FR"/>
        </w:rPr>
        <w:t>“</w:t>
      </w:r>
      <w:r w:rsidR="00546B53" w:rsidRPr="00953B52">
        <w:rPr>
          <w:rFonts w:ascii="Arial" w:hAnsi="Arial" w:cs="Arial"/>
          <w:sz w:val="22"/>
          <w:szCs w:val="22"/>
          <w:lang w:val="fr-FR"/>
        </w:rPr>
        <w:t>l</w:t>
      </w:r>
      <w:r w:rsidR="00E84189">
        <w:rPr>
          <w:rFonts w:ascii="Arial" w:hAnsi="Arial" w:cs="Arial"/>
          <w:sz w:val="22"/>
          <w:szCs w:val="22"/>
          <w:lang w:val="fr-FR"/>
        </w:rPr>
        <w:t>’</w:t>
      </w:r>
      <w:r w:rsidRPr="00953B52">
        <w:rPr>
          <w:rFonts w:ascii="Arial" w:hAnsi="Arial" w:cs="Arial"/>
          <w:sz w:val="22"/>
          <w:szCs w:val="22"/>
          <w:lang w:val="fr-FR"/>
        </w:rPr>
        <w:t>absence de toute nouvelle exigence de divulgation en matière de brevet</w:t>
      </w:r>
      <w:r w:rsidR="00546B53" w:rsidRPr="00953B52">
        <w:rPr>
          <w:rFonts w:ascii="Arial" w:hAnsi="Arial" w:cs="Arial"/>
          <w:sz w:val="22"/>
          <w:szCs w:val="22"/>
          <w:lang w:val="fr-FR"/>
        </w:rPr>
        <w:t>s</w:t>
      </w:r>
      <w:r w:rsidR="00546B53">
        <w:rPr>
          <w:rFonts w:ascii="Arial" w:hAnsi="Arial" w:cs="Arial"/>
          <w:sz w:val="22"/>
          <w:szCs w:val="22"/>
          <w:lang w:val="fr-FR"/>
        </w:rPr>
        <w:t>”</w:t>
      </w:r>
      <w:r w:rsidRPr="00953B52">
        <w:rPr>
          <w:rFonts w:ascii="Arial" w:hAnsi="Arial" w:cs="Arial"/>
          <w:sz w:val="22"/>
          <w:szCs w:val="22"/>
          <w:lang w:val="fr-FR"/>
        </w:rPr>
        <w:t xml:space="preserve"> à </w:t>
      </w:r>
      <w:r w:rsidR="00546B53">
        <w:rPr>
          <w:rFonts w:ascii="Arial" w:hAnsi="Arial" w:cs="Arial"/>
          <w:sz w:val="22"/>
          <w:szCs w:val="22"/>
          <w:lang w:val="fr-FR"/>
        </w:rPr>
        <w:t>“</w:t>
      </w:r>
      <w:r w:rsidR="00546B53" w:rsidRPr="00953B52">
        <w:rPr>
          <w:rFonts w:ascii="Arial" w:hAnsi="Arial" w:cs="Arial"/>
          <w:sz w:val="22"/>
          <w:szCs w:val="22"/>
          <w:lang w:val="fr-FR"/>
        </w:rPr>
        <w:t>d</w:t>
      </w:r>
      <w:r w:rsidRPr="00953B52">
        <w:rPr>
          <w:rFonts w:ascii="Arial" w:hAnsi="Arial" w:cs="Arial"/>
          <w:sz w:val="22"/>
          <w:szCs w:val="22"/>
          <w:lang w:val="fr-FR"/>
        </w:rPr>
        <w:t>es exigences de divulgation en matière de brevets comme mesures de transparenc</w:t>
      </w:r>
      <w:r w:rsidR="00546B53" w:rsidRPr="00953B52">
        <w:rPr>
          <w:rFonts w:ascii="Arial" w:hAnsi="Arial" w:cs="Arial"/>
          <w:sz w:val="22"/>
          <w:szCs w:val="22"/>
          <w:lang w:val="fr-FR"/>
        </w:rPr>
        <w:t>e</w:t>
      </w:r>
      <w:r w:rsidR="00546B53">
        <w:rPr>
          <w:rFonts w:ascii="Arial" w:hAnsi="Arial" w:cs="Arial"/>
          <w:sz w:val="22"/>
          <w:szCs w:val="22"/>
          <w:lang w:val="fr-FR"/>
        </w:rPr>
        <w:t>”</w:t>
      </w:r>
      <w:r w:rsidRPr="00953B52">
        <w:rPr>
          <w:rFonts w:ascii="Arial" w:hAnsi="Arial" w:cs="Arial"/>
          <w:sz w:val="22"/>
          <w:szCs w:val="22"/>
          <w:lang w:val="fr-FR"/>
        </w:rPr>
        <w:t xml:space="preserve"> pour déterminer l</w:t>
      </w:r>
      <w:r w:rsidR="00E84189">
        <w:rPr>
          <w:rFonts w:ascii="Arial" w:hAnsi="Arial" w:cs="Arial"/>
          <w:sz w:val="22"/>
          <w:szCs w:val="22"/>
          <w:lang w:val="fr-FR"/>
        </w:rPr>
        <w:t>’</w:t>
      </w:r>
      <w:r w:rsidRPr="00953B52">
        <w:rPr>
          <w:rFonts w:ascii="Arial" w:hAnsi="Arial" w:cs="Arial"/>
          <w:sz w:val="22"/>
          <w:szCs w:val="22"/>
          <w:lang w:val="fr-FR"/>
        </w:rPr>
        <w:t xml:space="preserve">origine ou la source des ressources génétiques et des savoirs traditionnels connexes, à des </w:t>
      </w:r>
      <w:r w:rsidR="00546B53">
        <w:rPr>
          <w:rFonts w:ascii="Arial" w:hAnsi="Arial" w:cs="Arial"/>
          <w:sz w:val="22"/>
          <w:szCs w:val="22"/>
          <w:lang w:val="fr-FR"/>
        </w:rPr>
        <w:t>“</w:t>
      </w:r>
      <w:r w:rsidR="00546B53" w:rsidRPr="00953B52">
        <w:rPr>
          <w:rFonts w:ascii="Arial" w:hAnsi="Arial" w:cs="Arial"/>
          <w:sz w:val="22"/>
          <w:szCs w:val="22"/>
          <w:lang w:val="fr-FR"/>
        </w:rPr>
        <w:t>e</w:t>
      </w:r>
      <w:r w:rsidRPr="00953B52">
        <w:rPr>
          <w:rFonts w:ascii="Arial" w:hAnsi="Arial" w:cs="Arial"/>
          <w:sz w:val="22"/>
          <w:szCs w:val="22"/>
          <w:lang w:val="fr-FR"/>
        </w:rPr>
        <w:t>xigences de divulgation en matière de brevets, dans le plein sens du terme</w:t>
      </w:r>
      <w:r w:rsidR="00E430AD">
        <w:rPr>
          <w:rFonts w:ascii="Arial" w:hAnsi="Arial" w:cs="Arial"/>
          <w:sz w:val="22"/>
          <w:szCs w:val="22"/>
          <w:lang w:val="fr-FR"/>
        </w:rPr>
        <w:t>”</w:t>
      </w:r>
      <w:r w:rsidRPr="00953B52">
        <w:rPr>
          <w:rFonts w:ascii="Arial" w:hAnsi="Arial" w:cs="Arial"/>
          <w:sz w:val="22"/>
          <w:szCs w:val="22"/>
          <w:lang w:val="fr-FR"/>
        </w:rPr>
        <w:t>, liées au respect d</w:t>
      </w:r>
      <w:r w:rsidR="00E84189">
        <w:rPr>
          <w:rFonts w:ascii="Arial" w:hAnsi="Arial" w:cs="Arial"/>
          <w:sz w:val="22"/>
          <w:szCs w:val="22"/>
          <w:lang w:val="fr-FR"/>
        </w:rPr>
        <w:t>’</w:t>
      </w:r>
      <w:r w:rsidRPr="00953B52">
        <w:rPr>
          <w:rFonts w:ascii="Arial" w:hAnsi="Arial" w:cs="Arial"/>
          <w:sz w:val="22"/>
          <w:szCs w:val="22"/>
          <w:lang w:val="fr-FR"/>
        </w:rPr>
        <w:t>exigences d</w:t>
      </w:r>
      <w:r w:rsidR="00E84189">
        <w:rPr>
          <w:rFonts w:ascii="Arial" w:hAnsi="Arial" w:cs="Arial"/>
          <w:sz w:val="22"/>
          <w:szCs w:val="22"/>
          <w:lang w:val="fr-FR"/>
        </w:rPr>
        <w:t>’</w:t>
      </w:r>
      <w:r w:rsidRPr="00953B52">
        <w:rPr>
          <w:rFonts w:ascii="Arial" w:hAnsi="Arial" w:cs="Arial"/>
          <w:sz w:val="22"/>
          <w:szCs w:val="22"/>
          <w:lang w:val="fr-FR"/>
        </w:rPr>
        <w:t>accès et de partage des avantages et avec des sanctions d</w:t>
      </w:r>
      <w:r w:rsidR="00E84189">
        <w:rPr>
          <w:rFonts w:ascii="Arial" w:hAnsi="Arial" w:cs="Arial"/>
          <w:sz w:val="22"/>
          <w:szCs w:val="22"/>
          <w:lang w:val="fr-FR"/>
        </w:rPr>
        <w:t>’</w:t>
      </w:r>
      <w:r w:rsidRPr="00953B52">
        <w:rPr>
          <w:rFonts w:ascii="Arial" w:hAnsi="Arial" w:cs="Arial"/>
          <w:sz w:val="22"/>
          <w:szCs w:val="22"/>
          <w:lang w:val="fr-FR"/>
        </w:rPr>
        <w:t>envergure en cas de non</w:t>
      </w:r>
      <w:r w:rsidR="000B2FBE">
        <w:rPr>
          <w:rFonts w:ascii="Arial" w:hAnsi="Arial" w:cs="Arial"/>
          <w:sz w:val="22"/>
          <w:szCs w:val="22"/>
          <w:lang w:val="fr-FR"/>
        </w:rPr>
        <w:noBreakHyphen/>
      </w:r>
      <w:r w:rsidRPr="00953B52">
        <w:rPr>
          <w:rFonts w:ascii="Arial" w:hAnsi="Arial" w:cs="Arial"/>
          <w:sz w:val="22"/>
          <w:szCs w:val="22"/>
          <w:lang w:val="fr-FR"/>
        </w:rPr>
        <w:t>respe</w:t>
      </w:r>
      <w:r w:rsidR="0003571D" w:rsidRPr="00953B52">
        <w:rPr>
          <w:rFonts w:ascii="Arial" w:hAnsi="Arial" w:cs="Arial"/>
          <w:sz w:val="22"/>
          <w:szCs w:val="22"/>
          <w:lang w:val="fr-FR"/>
        </w:rPr>
        <w:t>ct</w:t>
      </w:r>
      <w:r w:rsidR="0003571D">
        <w:rPr>
          <w:rFonts w:ascii="Arial" w:hAnsi="Arial" w:cs="Arial"/>
          <w:sz w:val="22"/>
          <w:szCs w:val="22"/>
          <w:lang w:val="fr-FR"/>
        </w:rPr>
        <w:t xml:space="preserve">.  </w:t>
      </w:r>
      <w:r w:rsidR="0003571D" w:rsidRPr="00953B52">
        <w:rPr>
          <w:rFonts w:ascii="Arial" w:hAnsi="Arial" w:cs="Arial"/>
          <w:sz w:val="22"/>
          <w:szCs w:val="22"/>
          <w:lang w:val="fr-FR"/>
        </w:rPr>
        <w:t>To</w:t>
      </w:r>
      <w:r w:rsidRPr="00953B52">
        <w:rPr>
          <w:rFonts w:ascii="Arial" w:hAnsi="Arial" w:cs="Arial"/>
          <w:sz w:val="22"/>
          <w:szCs w:val="22"/>
          <w:lang w:val="fr-FR"/>
        </w:rPr>
        <w:t xml:space="preserve">utes ces possibilités sont exposées, dans une certaine mesure au moins, dans le document aux nombreux passages entre crochets, intitulé </w:t>
      </w:r>
      <w:r w:rsidR="008D2CAF">
        <w:rPr>
          <w:rFonts w:ascii="Arial" w:hAnsi="Arial" w:cs="Arial"/>
          <w:sz w:val="22"/>
          <w:szCs w:val="22"/>
          <w:lang w:val="fr-FR"/>
        </w:rPr>
        <w:t>“</w:t>
      </w:r>
      <w:r w:rsidRPr="008D2CAF">
        <w:rPr>
          <w:rFonts w:ascii="Arial" w:hAnsi="Arial" w:cs="Arial"/>
          <w:sz w:val="22"/>
          <w:szCs w:val="22"/>
          <w:lang w:val="fr-FR"/>
        </w:rPr>
        <w:t>Document de synthèse concernant la propriété intellectuelle relative aux ressources génétiques</w:t>
      </w:r>
      <w:r w:rsidR="008D2CAF">
        <w:rPr>
          <w:rFonts w:ascii="Arial" w:hAnsi="Arial" w:cs="Arial"/>
          <w:sz w:val="22"/>
          <w:szCs w:val="22"/>
          <w:lang w:val="fr-FR"/>
        </w:rPr>
        <w:t>”</w:t>
      </w:r>
      <w:r w:rsidRPr="008D2CAF">
        <w:rPr>
          <w:rFonts w:ascii="Arial" w:hAnsi="Arial" w:cs="Arial"/>
          <w:sz w:val="22"/>
          <w:szCs w:val="22"/>
          <w:lang w:val="fr-FR"/>
        </w:rPr>
        <w:t xml:space="preserve"> </w:t>
      </w:r>
      <w:r w:rsidRPr="00953B52">
        <w:rPr>
          <w:rFonts w:ascii="Arial" w:hAnsi="Arial" w:cs="Arial"/>
          <w:sz w:val="22"/>
          <w:szCs w:val="22"/>
          <w:lang w:val="fr-FR"/>
        </w:rPr>
        <w:t>(</w:t>
      </w:r>
      <w:bookmarkStart w:id="13" w:name="_Hlk50640089"/>
      <w:r w:rsidR="008D2CAF">
        <w:rPr>
          <w:rFonts w:ascii="Arial" w:hAnsi="Arial" w:cs="Arial"/>
          <w:sz w:val="22"/>
          <w:szCs w:val="22"/>
          <w:lang w:val="fr-FR"/>
        </w:rPr>
        <w:t>d</w:t>
      </w:r>
      <w:r w:rsidRPr="00953B52">
        <w:rPr>
          <w:rFonts w:ascii="Arial" w:hAnsi="Arial" w:cs="Arial"/>
          <w:sz w:val="22"/>
          <w:szCs w:val="22"/>
          <w:lang w:val="fr-FR"/>
        </w:rPr>
        <w:t>ocument de synthèse sur les ressources génétiques</w:t>
      </w:r>
      <w:bookmarkEnd w:id="13"/>
      <w:r w:rsidR="00E84189">
        <w:rPr>
          <w:rFonts w:ascii="Arial" w:hAnsi="Arial" w:cs="Arial"/>
          <w:sz w:val="22"/>
          <w:szCs w:val="22"/>
          <w:lang w:val="fr-FR"/>
        </w:rPr>
        <w:t> :</w:t>
      </w:r>
      <w:r w:rsidRPr="00953B52">
        <w:rPr>
          <w:rFonts w:ascii="Arial" w:hAnsi="Arial" w:cs="Arial"/>
          <w:sz w:val="22"/>
          <w:szCs w:val="22"/>
          <w:lang w:val="fr-FR"/>
        </w:rPr>
        <w:t xml:space="preserve"> </w:t>
      </w:r>
      <w:hyperlink r:id="rId11" w:history="1">
        <w:r w:rsidR="00383EC0" w:rsidRPr="00383EC0">
          <w:rPr>
            <w:rStyle w:val="Hyperlink"/>
            <w:rFonts w:ascii="Arial" w:hAnsi="Arial" w:cs="Arial"/>
            <w:color w:val="auto"/>
            <w:sz w:val="22"/>
            <w:szCs w:val="22"/>
            <w:lang w:val="fr-FR"/>
          </w:rPr>
          <w:t>WIPO/GRTKF/IC/42/4</w:t>
        </w:r>
      </w:hyperlink>
      <w:r w:rsidRPr="00953B52">
        <w:rPr>
          <w:rFonts w:ascii="Arial" w:hAnsi="Arial" w:cs="Arial"/>
          <w:sz w:val="22"/>
          <w:szCs w:val="22"/>
          <w:lang w:val="fr-FR"/>
        </w:rPr>
        <w:t>)</w:t>
      </w:r>
      <w:r w:rsidR="00A0792D">
        <w:rPr>
          <w:rFonts w:ascii="Arial" w:hAnsi="Arial" w:cs="Arial"/>
          <w:sz w:val="22"/>
          <w:szCs w:val="22"/>
          <w:lang w:val="fr-FR"/>
        </w:rPr>
        <w:t>.</w:t>
      </w:r>
    </w:p>
    <w:p w:rsidR="00546B53"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 xml:space="preserve">Le </w:t>
      </w:r>
      <w:r w:rsidR="008D2CAF">
        <w:rPr>
          <w:rFonts w:ascii="Arial" w:hAnsi="Arial" w:cs="Arial"/>
          <w:sz w:val="22"/>
          <w:szCs w:val="22"/>
          <w:lang w:val="fr-FR"/>
        </w:rPr>
        <w:t>“</w:t>
      </w:r>
      <w:r w:rsidRPr="008D2CAF">
        <w:rPr>
          <w:rFonts w:ascii="Arial" w:hAnsi="Arial" w:cs="Arial"/>
          <w:sz w:val="22"/>
          <w:szCs w:val="22"/>
          <w:lang w:val="fr-FR"/>
        </w:rPr>
        <w:t>Texte du président sur le projet d</w:t>
      </w:r>
      <w:r w:rsidR="00E84189">
        <w:rPr>
          <w:rFonts w:ascii="Arial" w:hAnsi="Arial" w:cs="Arial"/>
          <w:sz w:val="22"/>
          <w:szCs w:val="22"/>
          <w:lang w:val="fr-FR"/>
        </w:rPr>
        <w:t>’</w:t>
      </w:r>
      <w:r w:rsidRPr="008D2CAF">
        <w:rPr>
          <w:rFonts w:ascii="Arial" w:hAnsi="Arial" w:cs="Arial"/>
          <w:sz w:val="22"/>
          <w:szCs w:val="22"/>
          <w:lang w:val="fr-FR"/>
        </w:rPr>
        <w:t>instrument juridique international sur la propriété intellectuelle relative aux ressources génétiques et aux savoirs traditionnels associés aux ressources génétiques</w:t>
      </w:r>
      <w:r w:rsidR="008D2CAF">
        <w:rPr>
          <w:rFonts w:ascii="Arial" w:hAnsi="Arial" w:cs="Arial"/>
          <w:sz w:val="22"/>
          <w:szCs w:val="22"/>
          <w:lang w:val="fr-FR"/>
        </w:rPr>
        <w:t>”</w:t>
      </w:r>
      <w:r w:rsidRPr="00953B52">
        <w:rPr>
          <w:rFonts w:ascii="Arial" w:hAnsi="Arial" w:cs="Arial"/>
          <w:i/>
          <w:sz w:val="22"/>
          <w:szCs w:val="22"/>
          <w:lang w:val="fr-FR"/>
        </w:rPr>
        <w:t xml:space="preserve"> </w:t>
      </w:r>
      <w:r w:rsidRPr="00953B52">
        <w:rPr>
          <w:rFonts w:ascii="Arial" w:hAnsi="Arial" w:cs="Arial"/>
          <w:sz w:val="22"/>
          <w:szCs w:val="22"/>
          <w:lang w:val="fr-FR"/>
        </w:rPr>
        <w:t>(</w:t>
      </w:r>
      <w:hyperlink r:id="rId12" w:history="1">
        <w:r w:rsidR="00383EC0" w:rsidRPr="00383EC0">
          <w:rPr>
            <w:rStyle w:val="Hyperlink"/>
            <w:rFonts w:ascii="Arial" w:hAnsi="Arial" w:cs="Arial"/>
            <w:color w:val="auto"/>
            <w:sz w:val="22"/>
            <w:szCs w:val="22"/>
            <w:lang w:val="fr-FR"/>
          </w:rPr>
          <w:t>WIPO/GRTKF/IC/42/5</w:t>
        </w:r>
      </w:hyperlink>
      <w:r w:rsidRPr="00953B52">
        <w:rPr>
          <w:rFonts w:ascii="Arial" w:hAnsi="Arial" w:cs="Arial"/>
          <w:sz w:val="22"/>
          <w:szCs w:val="22"/>
          <w:lang w:val="fr-FR"/>
        </w:rPr>
        <w:t>) définit un modèle plus précis d</w:t>
      </w:r>
      <w:r w:rsidR="00E84189">
        <w:rPr>
          <w:rFonts w:ascii="Arial" w:hAnsi="Arial" w:cs="Arial"/>
          <w:sz w:val="22"/>
          <w:szCs w:val="22"/>
          <w:lang w:val="fr-FR"/>
        </w:rPr>
        <w:t>’</w:t>
      </w:r>
      <w:r w:rsidRPr="00953B52">
        <w:rPr>
          <w:rFonts w:ascii="Arial" w:hAnsi="Arial" w:cs="Arial"/>
          <w:sz w:val="22"/>
          <w:szCs w:val="22"/>
          <w:lang w:val="fr-FR"/>
        </w:rPr>
        <w:t>exigence de divulgation internationale en matière de breve</w:t>
      </w:r>
      <w:r w:rsidR="0003571D" w:rsidRPr="00953B52">
        <w:rPr>
          <w:rFonts w:ascii="Arial" w:hAnsi="Arial" w:cs="Arial"/>
          <w:sz w:val="22"/>
          <w:szCs w:val="22"/>
          <w:lang w:val="fr-FR"/>
        </w:rPr>
        <w:t>ts</w:t>
      </w:r>
      <w:r w:rsidR="0003571D">
        <w:rPr>
          <w:rFonts w:ascii="Arial" w:hAnsi="Arial" w:cs="Arial"/>
          <w:sz w:val="22"/>
          <w:szCs w:val="22"/>
          <w:lang w:val="fr-FR"/>
        </w:rPr>
        <w:t xml:space="preserve">.  </w:t>
      </w:r>
      <w:r w:rsidR="0003571D" w:rsidRPr="00953B52">
        <w:rPr>
          <w:rFonts w:ascii="Arial" w:hAnsi="Arial" w:cs="Arial"/>
          <w:sz w:val="22"/>
          <w:szCs w:val="22"/>
          <w:lang w:val="fr-FR"/>
        </w:rPr>
        <w:t>Ce</w:t>
      </w:r>
      <w:r w:rsidRPr="00953B52">
        <w:rPr>
          <w:rFonts w:ascii="Arial" w:hAnsi="Arial" w:cs="Arial"/>
          <w:sz w:val="22"/>
          <w:szCs w:val="22"/>
          <w:lang w:val="fr-FR"/>
        </w:rPr>
        <w:t>tte exigence permettrait donc à l</w:t>
      </w:r>
      <w:r w:rsidR="00E84189">
        <w:rPr>
          <w:rFonts w:ascii="Arial" w:hAnsi="Arial" w:cs="Arial"/>
          <w:sz w:val="22"/>
          <w:szCs w:val="22"/>
          <w:lang w:val="fr-FR"/>
        </w:rPr>
        <w:t>’</w:t>
      </w:r>
      <w:r w:rsidRPr="00953B52">
        <w:rPr>
          <w:rFonts w:ascii="Arial" w:hAnsi="Arial" w:cs="Arial"/>
          <w:sz w:val="22"/>
          <w:szCs w:val="22"/>
          <w:lang w:val="fr-FR"/>
        </w:rPr>
        <w:t>IGC d</w:t>
      </w:r>
      <w:r w:rsidR="00E84189">
        <w:rPr>
          <w:rFonts w:ascii="Arial" w:hAnsi="Arial" w:cs="Arial"/>
          <w:sz w:val="22"/>
          <w:szCs w:val="22"/>
          <w:lang w:val="fr-FR"/>
        </w:rPr>
        <w:t>’</w:t>
      </w:r>
      <w:r w:rsidRPr="00953B52">
        <w:rPr>
          <w:rFonts w:ascii="Arial" w:hAnsi="Arial" w:cs="Arial"/>
          <w:sz w:val="22"/>
          <w:szCs w:val="22"/>
          <w:lang w:val="fr-FR"/>
        </w:rPr>
        <w:t xml:space="preserve">avancer dans ses travaux et de prendre des décisions en connaissance de cause concernant un instrument juridique international relatif </w:t>
      </w:r>
      <w:bookmarkStart w:id="14" w:name="_Hlk50448050"/>
      <w:r w:rsidRPr="00953B52">
        <w:rPr>
          <w:rFonts w:ascii="Arial" w:hAnsi="Arial" w:cs="Arial"/>
          <w:sz w:val="22"/>
          <w:szCs w:val="22"/>
          <w:lang w:val="fr-FR"/>
        </w:rPr>
        <w:t xml:space="preserve">aux ressources génétiques et aux savoirs traditionnels </w:t>
      </w:r>
      <w:bookmarkEnd w:id="14"/>
      <w:r w:rsidRPr="00953B52">
        <w:rPr>
          <w:rFonts w:ascii="Arial" w:hAnsi="Arial" w:cs="Arial"/>
          <w:sz w:val="22"/>
          <w:szCs w:val="22"/>
          <w:lang w:val="fr-FR"/>
        </w:rPr>
        <w:t>connexes.</w:t>
      </w:r>
    </w:p>
    <w:p w:rsidR="00CC5DF6" w:rsidRPr="00953B52"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Pour que l</w:t>
      </w:r>
      <w:r w:rsidR="00E84189">
        <w:rPr>
          <w:rFonts w:ascii="Arial" w:hAnsi="Arial" w:cs="Arial"/>
          <w:sz w:val="22"/>
          <w:szCs w:val="22"/>
          <w:lang w:val="fr-FR"/>
        </w:rPr>
        <w:t>’</w:t>
      </w:r>
      <w:r w:rsidRPr="00953B52">
        <w:rPr>
          <w:rFonts w:ascii="Arial" w:hAnsi="Arial" w:cs="Arial"/>
          <w:sz w:val="22"/>
          <w:szCs w:val="22"/>
          <w:lang w:val="fr-FR"/>
        </w:rPr>
        <w:t xml:space="preserve">IGC puisse progresser dans ses travaux, il demeure important de suivre une approche fondée sur des données factuelles, comme exposé dans le </w:t>
      </w:r>
      <w:hyperlink r:id="rId13" w:history="1">
        <w:r w:rsidRPr="00F856F1">
          <w:rPr>
            <w:rStyle w:val="Hyperlink"/>
            <w:rFonts w:ascii="Arial" w:hAnsi="Arial" w:cs="Arial"/>
            <w:sz w:val="22"/>
            <w:szCs w:val="22"/>
            <w:lang w:val="fr-FR"/>
          </w:rPr>
          <w:t>mandat de l</w:t>
        </w:r>
        <w:r w:rsidR="00E84189">
          <w:rPr>
            <w:rStyle w:val="Hyperlink"/>
            <w:rFonts w:ascii="Arial" w:hAnsi="Arial" w:cs="Arial"/>
            <w:sz w:val="22"/>
            <w:szCs w:val="22"/>
            <w:lang w:val="fr-FR"/>
          </w:rPr>
          <w:t>’</w:t>
        </w:r>
        <w:r w:rsidRPr="00F856F1">
          <w:rPr>
            <w:rStyle w:val="Hyperlink"/>
            <w:rFonts w:ascii="Arial" w:hAnsi="Arial" w:cs="Arial"/>
            <w:sz w:val="22"/>
            <w:szCs w:val="22"/>
            <w:lang w:val="fr-FR"/>
          </w:rPr>
          <w:t xml:space="preserve">IGC </w:t>
        </w:r>
        <w:r w:rsidR="00546B53" w:rsidRPr="00F856F1">
          <w:rPr>
            <w:rStyle w:val="Hyperlink"/>
            <w:rFonts w:ascii="Arial" w:hAnsi="Arial" w:cs="Arial"/>
            <w:sz w:val="22"/>
            <w:szCs w:val="22"/>
            <w:lang w:val="fr-FR"/>
          </w:rPr>
          <w:t>pour </w:t>
        </w:r>
        <w:r w:rsidR="005C1410" w:rsidRPr="00F856F1">
          <w:rPr>
            <w:rStyle w:val="Hyperlink"/>
            <w:rFonts w:ascii="Arial" w:hAnsi="Arial" w:cs="Arial"/>
            <w:sz w:val="22"/>
            <w:szCs w:val="22"/>
            <w:lang w:val="fr-FR"/>
          </w:rPr>
          <w:t>2022</w:t>
        </w:r>
        <w:r w:rsidR="000B2FBE">
          <w:rPr>
            <w:rStyle w:val="Hyperlink"/>
            <w:rFonts w:ascii="Arial" w:hAnsi="Arial" w:cs="Arial"/>
            <w:sz w:val="22"/>
            <w:szCs w:val="22"/>
            <w:lang w:val="fr-FR"/>
          </w:rPr>
          <w:noBreakHyphen/>
        </w:r>
        <w:r w:rsidRPr="00F856F1">
          <w:rPr>
            <w:rStyle w:val="Hyperlink"/>
            <w:rFonts w:ascii="Arial" w:hAnsi="Arial" w:cs="Arial"/>
            <w:sz w:val="22"/>
            <w:szCs w:val="22"/>
            <w:lang w:val="fr-FR"/>
          </w:rPr>
          <w:t>202</w:t>
        </w:r>
        <w:r w:rsidR="005C1410" w:rsidRPr="00F856F1">
          <w:rPr>
            <w:rStyle w:val="Hyperlink"/>
            <w:rFonts w:ascii="Arial" w:hAnsi="Arial" w:cs="Arial"/>
            <w:sz w:val="22"/>
            <w:szCs w:val="22"/>
            <w:lang w:val="fr-FR"/>
          </w:rPr>
          <w:t>3</w:t>
        </w:r>
      </w:hyperlink>
      <w:r w:rsidR="00095B51">
        <w:rPr>
          <w:rFonts w:ascii="Arial" w:hAnsi="Arial" w:cs="Arial"/>
          <w:sz w:val="22"/>
          <w:szCs w:val="22"/>
          <w:lang w:val="fr-FR"/>
        </w:rPr>
        <w:t>.</w:t>
      </w:r>
      <w:r w:rsidRPr="00953B52">
        <w:rPr>
          <w:rFonts w:ascii="Arial" w:hAnsi="Arial" w:cs="Arial"/>
          <w:sz w:val="22"/>
          <w:szCs w:val="22"/>
          <w:lang w:val="fr-FR"/>
        </w:rPr>
        <w:t xml:space="preserve"> </w:t>
      </w:r>
      <w:r w:rsidR="00513138">
        <w:rPr>
          <w:rFonts w:ascii="Arial" w:hAnsi="Arial" w:cs="Arial"/>
          <w:sz w:val="22"/>
          <w:szCs w:val="22"/>
          <w:lang w:val="fr-FR"/>
        </w:rPr>
        <w:t xml:space="preserve"> </w:t>
      </w:r>
      <w:r w:rsidRPr="00953B52">
        <w:rPr>
          <w:rFonts w:ascii="Arial" w:hAnsi="Arial" w:cs="Arial"/>
          <w:sz w:val="22"/>
          <w:szCs w:val="22"/>
          <w:lang w:val="fr-FR"/>
        </w:rPr>
        <w:t>Cela signifie aussi que l</w:t>
      </w:r>
      <w:r w:rsidR="00E84189">
        <w:rPr>
          <w:rFonts w:ascii="Arial" w:hAnsi="Arial" w:cs="Arial"/>
          <w:sz w:val="22"/>
          <w:szCs w:val="22"/>
          <w:lang w:val="fr-FR"/>
        </w:rPr>
        <w:t>’</w:t>
      </w:r>
      <w:r w:rsidRPr="00953B52">
        <w:rPr>
          <w:rFonts w:ascii="Arial" w:hAnsi="Arial" w:cs="Arial"/>
          <w:sz w:val="22"/>
          <w:szCs w:val="22"/>
          <w:lang w:val="fr-FR"/>
        </w:rPr>
        <w:t>IGC ne doit pas examiner les exigences de divulgation en matière de brevets de manière isolée par rapport à d</w:t>
      </w:r>
      <w:r w:rsidR="00E84189">
        <w:rPr>
          <w:rFonts w:ascii="Arial" w:hAnsi="Arial" w:cs="Arial"/>
          <w:sz w:val="22"/>
          <w:szCs w:val="22"/>
          <w:lang w:val="fr-FR"/>
        </w:rPr>
        <w:t>’</w:t>
      </w:r>
      <w:r w:rsidRPr="00953B52">
        <w:rPr>
          <w:rFonts w:ascii="Arial" w:hAnsi="Arial" w:cs="Arial"/>
          <w:sz w:val="22"/>
          <w:szCs w:val="22"/>
          <w:lang w:val="fr-FR"/>
        </w:rPr>
        <w:t>autres accords internationaux relatifs aux ressources génétiques et aux savoirs traditionnels connex</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Da</w:t>
      </w:r>
      <w:r w:rsidRPr="00953B52">
        <w:rPr>
          <w:rFonts w:ascii="Arial" w:hAnsi="Arial" w:cs="Arial"/>
          <w:sz w:val="22"/>
          <w:szCs w:val="22"/>
          <w:lang w:val="fr-FR"/>
        </w:rPr>
        <w:t>ns les faits, les environnements réglementaires nationaux et internationaux relatifs aux ressources génétiques et aux savoirs traditionnels connexes ont changé depuis le début des discussions sur les exigences de divulgation en matière de brevets de l</w:t>
      </w:r>
      <w:r w:rsidR="00E84189">
        <w:rPr>
          <w:rFonts w:ascii="Arial" w:hAnsi="Arial" w:cs="Arial"/>
          <w:sz w:val="22"/>
          <w:szCs w:val="22"/>
          <w:lang w:val="fr-FR"/>
        </w:rPr>
        <w:t>’</w:t>
      </w:r>
      <w:r w:rsidRPr="00953B52">
        <w:rPr>
          <w:rFonts w:ascii="Arial" w:hAnsi="Arial" w:cs="Arial"/>
          <w:sz w:val="22"/>
          <w:szCs w:val="22"/>
          <w:lang w:val="fr-FR"/>
        </w:rPr>
        <w:t>O</w:t>
      </w:r>
      <w:r w:rsidR="0003571D" w:rsidRPr="00953B52">
        <w:rPr>
          <w:rFonts w:ascii="Arial" w:hAnsi="Arial" w:cs="Arial"/>
          <w:sz w:val="22"/>
          <w:szCs w:val="22"/>
          <w:lang w:val="fr-FR"/>
        </w:rPr>
        <w:t>MPI</w:t>
      </w:r>
      <w:r w:rsidR="0003571D">
        <w:rPr>
          <w:rFonts w:ascii="Arial" w:hAnsi="Arial" w:cs="Arial"/>
          <w:sz w:val="22"/>
          <w:szCs w:val="22"/>
          <w:lang w:val="fr-FR"/>
        </w:rPr>
        <w:t xml:space="preserve">.  </w:t>
      </w:r>
      <w:r w:rsidR="0003571D" w:rsidRPr="00953B52">
        <w:rPr>
          <w:rFonts w:ascii="Arial" w:hAnsi="Arial" w:cs="Arial"/>
          <w:sz w:val="22"/>
          <w:szCs w:val="22"/>
          <w:lang w:val="fr-FR"/>
        </w:rPr>
        <w:t>Le</w:t>
      </w:r>
      <w:r w:rsidRPr="00953B52">
        <w:rPr>
          <w:rFonts w:ascii="Arial" w:hAnsi="Arial" w:cs="Arial"/>
          <w:sz w:val="22"/>
          <w:szCs w:val="22"/>
          <w:lang w:val="fr-FR"/>
        </w:rPr>
        <w:t>s technologies et les pratiques d</w:t>
      </w:r>
      <w:r w:rsidR="00E84189">
        <w:rPr>
          <w:rFonts w:ascii="Arial" w:hAnsi="Arial" w:cs="Arial"/>
          <w:sz w:val="22"/>
          <w:szCs w:val="22"/>
          <w:lang w:val="fr-FR"/>
        </w:rPr>
        <w:t>’</w:t>
      </w:r>
      <w:r w:rsidRPr="00953B52">
        <w:rPr>
          <w:rFonts w:ascii="Arial" w:hAnsi="Arial" w:cs="Arial"/>
          <w:sz w:val="22"/>
          <w:szCs w:val="22"/>
          <w:lang w:val="fr-FR"/>
        </w:rPr>
        <w:t>utilisation des ressources génétiques et des savoirs traditionnels connexes ont également évolué.</w:t>
      </w:r>
    </w:p>
    <w:p w:rsidR="00CC5DF6" w:rsidRPr="00953B52"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Le présent document donne tout d</w:t>
      </w:r>
      <w:r w:rsidR="00E84189">
        <w:rPr>
          <w:rFonts w:ascii="Arial" w:hAnsi="Arial" w:cs="Arial"/>
          <w:sz w:val="22"/>
          <w:szCs w:val="22"/>
          <w:lang w:val="fr-FR"/>
        </w:rPr>
        <w:t>’</w:t>
      </w:r>
      <w:r w:rsidRPr="00953B52">
        <w:rPr>
          <w:rFonts w:ascii="Arial" w:hAnsi="Arial" w:cs="Arial"/>
          <w:sz w:val="22"/>
          <w:szCs w:val="22"/>
          <w:lang w:val="fr-FR"/>
        </w:rPr>
        <w:t>abord une vue d</w:t>
      </w:r>
      <w:r w:rsidR="00E84189">
        <w:rPr>
          <w:rFonts w:ascii="Arial" w:hAnsi="Arial" w:cs="Arial"/>
          <w:sz w:val="22"/>
          <w:szCs w:val="22"/>
          <w:lang w:val="fr-FR"/>
        </w:rPr>
        <w:t>’</w:t>
      </w:r>
      <w:r w:rsidRPr="00953B52">
        <w:rPr>
          <w:rFonts w:ascii="Arial" w:hAnsi="Arial" w:cs="Arial"/>
          <w:sz w:val="22"/>
          <w:szCs w:val="22"/>
          <w:lang w:val="fr-FR"/>
        </w:rPr>
        <w:t>ensemble de la situation juridique, de la situation technologique et de la situation en termes de brevets actuelles, liées aux ressources génétiques et aux savoirs traditionnels connexes (</w:t>
      </w:r>
      <w:r w:rsidR="00546B53" w:rsidRPr="00953B52">
        <w:rPr>
          <w:rFonts w:ascii="Arial" w:hAnsi="Arial" w:cs="Arial"/>
          <w:sz w:val="22"/>
          <w:szCs w:val="22"/>
          <w:lang w:val="fr-FR"/>
        </w:rPr>
        <w:t>section</w:t>
      </w:r>
      <w:r w:rsidR="00546B53">
        <w:rPr>
          <w:rFonts w:ascii="Arial" w:hAnsi="Arial" w:cs="Arial"/>
          <w:sz w:val="22"/>
          <w:szCs w:val="22"/>
          <w:lang w:val="fr-FR"/>
        </w:rPr>
        <w:t> </w:t>
      </w:r>
      <w:r w:rsidR="00546B53" w:rsidRPr="00953B52">
        <w:rPr>
          <w:rFonts w:ascii="Arial" w:hAnsi="Arial" w:cs="Arial"/>
          <w:sz w:val="22"/>
          <w:szCs w:val="22"/>
          <w:lang w:val="fr-FR"/>
        </w:rPr>
        <w:t>2</w:t>
      </w:r>
      <w:r w:rsidRPr="00953B52">
        <w:rPr>
          <w:rFonts w:ascii="Arial" w:hAnsi="Arial" w:cs="Arial"/>
          <w:sz w:val="22"/>
          <w:szCs w:val="22"/>
          <w:lang w:val="fr-FR"/>
        </w:rPr>
        <w:t xml:space="preserve">). </w:t>
      </w:r>
      <w:r w:rsidR="00513138">
        <w:rPr>
          <w:rFonts w:ascii="Arial" w:hAnsi="Arial" w:cs="Arial"/>
          <w:sz w:val="22"/>
          <w:szCs w:val="22"/>
          <w:lang w:val="fr-FR"/>
        </w:rPr>
        <w:t xml:space="preserve"> </w:t>
      </w:r>
      <w:r w:rsidRPr="00953B52">
        <w:rPr>
          <w:rFonts w:ascii="Arial" w:hAnsi="Arial" w:cs="Arial"/>
          <w:sz w:val="22"/>
          <w:szCs w:val="22"/>
          <w:lang w:val="fr-FR"/>
        </w:rPr>
        <w:t>Puis il détermine si la présence d</w:t>
      </w:r>
      <w:r w:rsidR="00E84189">
        <w:rPr>
          <w:rFonts w:ascii="Arial" w:hAnsi="Arial" w:cs="Arial"/>
          <w:sz w:val="22"/>
          <w:szCs w:val="22"/>
          <w:lang w:val="fr-FR"/>
        </w:rPr>
        <w:t>’</w:t>
      </w:r>
      <w:r w:rsidRPr="00953B52">
        <w:rPr>
          <w:rFonts w:ascii="Arial" w:hAnsi="Arial" w:cs="Arial"/>
          <w:sz w:val="22"/>
          <w:szCs w:val="22"/>
          <w:lang w:val="fr-FR"/>
        </w:rPr>
        <w:t>une exigence de divulgation internationale en matière de brevets dans un instrument juridique international de l</w:t>
      </w:r>
      <w:r w:rsidR="00E84189">
        <w:rPr>
          <w:rFonts w:ascii="Arial" w:hAnsi="Arial" w:cs="Arial"/>
          <w:sz w:val="22"/>
          <w:szCs w:val="22"/>
          <w:lang w:val="fr-FR"/>
        </w:rPr>
        <w:t>’</w:t>
      </w:r>
      <w:r w:rsidRPr="00953B52">
        <w:rPr>
          <w:rFonts w:ascii="Arial" w:hAnsi="Arial" w:cs="Arial"/>
          <w:sz w:val="22"/>
          <w:szCs w:val="22"/>
          <w:lang w:val="fr-FR"/>
        </w:rPr>
        <w:t>OMPI est encore utile pour protéger de manière équilibrée et efficace les ressources génétiques et les savoirs traditionnels connex</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Po</w:t>
      </w:r>
      <w:r w:rsidRPr="00953B52">
        <w:rPr>
          <w:rFonts w:ascii="Arial" w:hAnsi="Arial" w:cs="Arial"/>
          <w:sz w:val="22"/>
          <w:szCs w:val="22"/>
          <w:lang w:val="fr-FR"/>
        </w:rPr>
        <w:t>ur terminer, il décrit les principales modalités d</w:t>
      </w:r>
      <w:r w:rsidR="00E84189">
        <w:rPr>
          <w:rFonts w:ascii="Arial" w:hAnsi="Arial" w:cs="Arial"/>
          <w:sz w:val="22"/>
          <w:szCs w:val="22"/>
          <w:lang w:val="fr-FR"/>
        </w:rPr>
        <w:t>’</w:t>
      </w:r>
      <w:r w:rsidRPr="00953B52">
        <w:rPr>
          <w:rFonts w:ascii="Arial" w:hAnsi="Arial" w:cs="Arial"/>
          <w:sz w:val="22"/>
          <w:szCs w:val="22"/>
          <w:lang w:val="fr-FR"/>
        </w:rPr>
        <w:t>une exigence de divulgation internationale en matière de brevets et exprime deux</w:t>
      </w:r>
      <w:r w:rsidR="00095B51">
        <w:rPr>
          <w:rFonts w:ascii="Arial" w:hAnsi="Arial" w:cs="Arial"/>
          <w:sz w:val="22"/>
          <w:szCs w:val="22"/>
          <w:lang w:val="fr-FR"/>
        </w:rPr>
        <w:t> </w:t>
      </w:r>
      <w:r w:rsidRPr="00953B52">
        <w:rPr>
          <w:rFonts w:ascii="Arial" w:hAnsi="Arial" w:cs="Arial"/>
          <w:sz w:val="22"/>
          <w:szCs w:val="22"/>
          <w:lang w:val="fr-FR"/>
        </w:rPr>
        <w:t>nouvelles idées sur la manière dont l</w:t>
      </w:r>
      <w:r w:rsidR="00E84189">
        <w:rPr>
          <w:rFonts w:ascii="Arial" w:hAnsi="Arial" w:cs="Arial"/>
          <w:sz w:val="22"/>
          <w:szCs w:val="22"/>
          <w:lang w:val="fr-FR"/>
        </w:rPr>
        <w:t>’</w:t>
      </w:r>
      <w:r w:rsidRPr="00953B52">
        <w:rPr>
          <w:rFonts w:ascii="Arial" w:hAnsi="Arial" w:cs="Arial"/>
          <w:sz w:val="22"/>
          <w:szCs w:val="22"/>
          <w:lang w:val="fr-FR"/>
        </w:rPr>
        <w:t>instrument relatif aux ressources génétiques pourrait être plus attractif pour l</w:t>
      </w:r>
      <w:r w:rsidR="00E84189">
        <w:rPr>
          <w:rFonts w:ascii="Arial" w:hAnsi="Arial" w:cs="Arial"/>
          <w:sz w:val="22"/>
          <w:szCs w:val="22"/>
          <w:lang w:val="fr-FR"/>
        </w:rPr>
        <w:t>’</w:t>
      </w:r>
      <w:r w:rsidRPr="00953B52">
        <w:rPr>
          <w:rFonts w:ascii="Arial" w:hAnsi="Arial" w:cs="Arial"/>
          <w:sz w:val="22"/>
          <w:szCs w:val="22"/>
          <w:lang w:val="fr-FR"/>
        </w:rPr>
        <w:t>ensemble des États membres de l</w:t>
      </w:r>
      <w:r w:rsidR="00E84189">
        <w:rPr>
          <w:rFonts w:ascii="Arial" w:hAnsi="Arial" w:cs="Arial"/>
          <w:sz w:val="22"/>
          <w:szCs w:val="22"/>
          <w:lang w:val="fr-FR"/>
        </w:rPr>
        <w:t>’</w:t>
      </w:r>
      <w:r w:rsidRPr="00953B52">
        <w:rPr>
          <w:rFonts w:ascii="Arial" w:hAnsi="Arial" w:cs="Arial"/>
          <w:sz w:val="22"/>
          <w:szCs w:val="22"/>
          <w:lang w:val="fr-FR"/>
        </w:rPr>
        <w:t>OMPI (</w:t>
      </w:r>
      <w:r w:rsidR="00546B53" w:rsidRPr="00953B52">
        <w:rPr>
          <w:rFonts w:ascii="Arial" w:hAnsi="Arial" w:cs="Arial"/>
          <w:sz w:val="22"/>
          <w:szCs w:val="22"/>
          <w:lang w:val="fr-FR"/>
        </w:rPr>
        <w:t>section</w:t>
      </w:r>
      <w:r w:rsidR="00546B53">
        <w:rPr>
          <w:rFonts w:ascii="Arial" w:hAnsi="Arial" w:cs="Arial"/>
          <w:sz w:val="22"/>
          <w:szCs w:val="22"/>
          <w:lang w:val="fr-FR"/>
        </w:rPr>
        <w:t> </w:t>
      </w:r>
      <w:r w:rsidR="00546B53" w:rsidRPr="00953B52">
        <w:rPr>
          <w:rFonts w:ascii="Arial" w:hAnsi="Arial" w:cs="Arial"/>
          <w:sz w:val="22"/>
          <w:szCs w:val="22"/>
          <w:lang w:val="fr-FR"/>
        </w:rPr>
        <w:t>3</w:t>
      </w:r>
      <w:r w:rsidRPr="00953B52">
        <w:rPr>
          <w:rFonts w:ascii="Arial" w:hAnsi="Arial" w:cs="Arial"/>
          <w:sz w:val="22"/>
          <w:szCs w:val="22"/>
          <w:lang w:val="fr-FR"/>
        </w:rPr>
        <w:t>)</w:t>
      </w:r>
      <w:r w:rsidRPr="00953B52">
        <w:rPr>
          <w:rStyle w:val="FootnoteReference"/>
          <w:rFonts w:ascii="Arial" w:hAnsi="Arial" w:cs="Arial"/>
          <w:sz w:val="22"/>
          <w:szCs w:val="22"/>
          <w:lang w:val="fr-FR"/>
        </w:rPr>
        <w:footnoteReference w:id="2"/>
      </w:r>
      <w:r w:rsidR="00095B51" w:rsidRPr="00953B52">
        <w:rPr>
          <w:rFonts w:ascii="Arial" w:hAnsi="Arial" w:cs="Arial"/>
          <w:sz w:val="22"/>
          <w:szCs w:val="22"/>
          <w:lang w:val="fr-FR"/>
        </w:rPr>
        <w:t>.</w:t>
      </w:r>
    </w:p>
    <w:p w:rsidR="00546B53" w:rsidRDefault="00CC5DF6" w:rsidP="005C0BD9">
      <w:pPr>
        <w:pStyle w:val="Heading1"/>
        <w:keepLines/>
        <w:numPr>
          <w:ilvl w:val="0"/>
          <w:numId w:val="11"/>
        </w:numPr>
        <w:spacing w:before="360" w:after="0"/>
        <w:ind w:left="357" w:hanging="357"/>
        <w:rPr>
          <w:caps w:val="0"/>
          <w:szCs w:val="22"/>
          <w:lang w:val="fr-FR"/>
        </w:rPr>
      </w:pPr>
      <w:bookmarkStart w:id="15" w:name="_Toc51243818"/>
      <w:r w:rsidRPr="00953B52">
        <w:rPr>
          <w:caps w:val="0"/>
          <w:szCs w:val="22"/>
          <w:lang w:val="fr-FR"/>
        </w:rPr>
        <w:lastRenderedPageBreak/>
        <w:t xml:space="preserve">Évolution de la situation juridique, de la situation technologique et de la situation en termes de brevets, liées </w:t>
      </w:r>
      <w:bookmarkStart w:id="16" w:name="_Hlk50449736"/>
      <w:r w:rsidRPr="00953B52">
        <w:rPr>
          <w:caps w:val="0"/>
          <w:szCs w:val="22"/>
          <w:lang w:val="fr-FR"/>
        </w:rPr>
        <w:t>aux ressources génétiques et aux savoirs traditionnels connexes</w:t>
      </w:r>
      <w:bookmarkEnd w:id="16"/>
      <w:bookmarkEnd w:id="15"/>
    </w:p>
    <w:p w:rsidR="00CC5DF6" w:rsidRPr="00234673" w:rsidRDefault="00234673" w:rsidP="00234673">
      <w:pPr>
        <w:pStyle w:val="Heading2"/>
      </w:pPr>
      <w:bookmarkStart w:id="17" w:name="_Toc51243819"/>
      <w:r>
        <w:t>2.1</w:t>
      </w:r>
      <w:r>
        <w:tab/>
      </w:r>
      <w:r w:rsidR="00CC5DF6" w:rsidRPr="00234673">
        <w:t>La situation juridique</w:t>
      </w:r>
      <w:bookmarkEnd w:id="17"/>
    </w:p>
    <w:p w:rsidR="00546B53"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 xml:space="preserve">La situation juridique liée </w:t>
      </w:r>
      <w:bookmarkStart w:id="18" w:name="_Hlk50452001"/>
      <w:r w:rsidRPr="00953B52">
        <w:rPr>
          <w:rFonts w:ascii="Arial" w:hAnsi="Arial" w:cs="Arial"/>
          <w:sz w:val="22"/>
          <w:szCs w:val="22"/>
          <w:lang w:val="fr-FR"/>
        </w:rPr>
        <w:t>aux ressources génétiques et aux savoirs traditionnels connexes</w:t>
      </w:r>
      <w:bookmarkEnd w:id="18"/>
      <w:r w:rsidRPr="00953B52">
        <w:rPr>
          <w:rFonts w:ascii="Arial" w:hAnsi="Arial" w:cs="Arial"/>
          <w:sz w:val="22"/>
          <w:szCs w:val="22"/>
          <w:lang w:val="fr-FR"/>
        </w:rPr>
        <w:t xml:space="preserve"> a considérablement évolué, au niveau international comme au niveau national, depuis les premières discussions menées à l</w:t>
      </w:r>
      <w:r w:rsidR="00E84189">
        <w:rPr>
          <w:rFonts w:ascii="Arial" w:hAnsi="Arial" w:cs="Arial"/>
          <w:sz w:val="22"/>
          <w:szCs w:val="22"/>
          <w:lang w:val="fr-FR"/>
        </w:rPr>
        <w:t>’</w:t>
      </w:r>
      <w:r w:rsidRPr="00953B52">
        <w:rPr>
          <w:rFonts w:ascii="Arial" w:hAnsi="Arial" w:cs="Arial"/>
          <w:sz w:val="22"/>
          <w:szCs w:val="22"/>
          <w:lang w:val="fr-FR"/>
        </w:rPr>
        <w:t>OMPI sur les exigences de divulgation en matière de brevets.</w:t>
      </w:r>
    </w:p>
    <w:p w:rsidR="00CC5DF6" w:rsidRPr="00953B52" w:rsidRDefault="00CC5DF6" w:rsidP="005C0BD9">
      <w:pPr>
        <w:pStyle w:val="Text"/>
        <w:spacing w:after="80"/>
        <w:rPr>
          <w:rFonts w:ascii="Arial" w:hAnsi="Arial" w:cs="Arial"/>
          <w:sz w:val="22"/>
          <w:szCs w:val="22"/>
          <w:lang w:val="fr-FR"/>
        </w:rPr>
      </w:pPr>
      <w:r w:rsidRPr="00953B52">
        <w:rPr>
          <w:rFonts w:ascii="Arial" w:hAnsi="Arial" w:cs="Arial"/>
          <w:sz w:val="22"/>
          <w:szCs w:val="22"/>
          <w:lang w:val="fr-FR"/>
        </w:rPr>
        <w:t>Au niveau international</w:t>
      </w:r>
      <w:r w:rsidR="00E84189">
        <w:rPr>
          <w:rFonts w:ascii="Arial" w:hAnsi="Arial" w:cs="Arial"/>
          <w:sz w:val="22"/>
          <w:szCs w:val="22"/>
          <w:lang w:val="fr-FR"/>
        </w:rPr>
        <w:t> :</w:t>
      </w:r>
    </w:p>
    <w:p w:rsidR="00546B53" w:rsidRDefault="00CC5DF6" w:rsidP="005C0BD9">
      <w:pPr>
        <w:pStyle w:val="Text"/>
        <w:numPr>
          <w:ilvl w:val="0"/>
          <w:numId w:val="9"/>
        </w:numPr>
        <w:ind w:left="1134" w:hanging="567"/>
        <w:rPr>
          <w:rFonts w:ascii="Arial" w:hAnsi="Arial" w:cs="Arial"/>
          <w:sz w:val="22"/>
          <w:szCs w:val="22"/>
          <w:lang w:val="fr-FR"/>
        </w:rPr>
      </w:pPr>
      <w:r w:rsidRPr="00953B52">
        <w:rPr>
          <w:rFonts w:ascii="Arial" w:hAnsi="Arial" w:cs="Arial"/>
          <w:sz w:val="22"/>
          <w:szCs w:val="22"/>
          <w:lang w:val="fr-FR"/>
        </w:rPr>
        <w:t>des instruments juridiquement contraignants et non contraignants ont été adoptés</w:t>
      </w:r>
      <w:r w:rsidRPr="00953B52">
        <w:rPr>
          <w:rStyle w:val="FootnoteReference"/>
          <w:rFonts w:ascii="Arial" w:hAnsi="Arial" w:cs="Arial"/>
          <w:sz w:val="22"/>
          <w:szCs w:val="22"/>
          <w:lang w:val="fr-FR"/>
        </w:rPr>
        <w:footnoteReference w:id="3"/>
      </w:r>
      <w:r w:rsidR="00095B51" w:rsidRPr="00953B52">
        <w:rPr>
          <w:rFonts w:ascii="Arial" w:hAnsi="Arial" w:cs="Arial"/>
          <w:sz w:val="22"/>
          <w:szCs w:val="22"/>
          <w:lang w:val="fr-FR"/>
        </w:rPr>
        <w:t>;</w:t>
      </w:r>
    </w:p>
    <w:p w:rsidR="00CC5DF6" w:rsidRPr="00953B52" w:rsidRDefault="00CC5DF6" w:rsidP="005C0BD9">
      <w:pPr>
        <w:pStyle w:val="Text"/>
        <w:numPr>
          <w:ilvl w:val="0"/>
          <w:numId w:val="9"/>
        </w:numPr>
        <w:ind w:left="1134" w:hanging="567"/>
        <w:rPr>
          <w:rFonts w:ascii="Arial" w:hAnsi="Arial" w:cs="Arial"/>
          <w:sz w:val="22"/>
          <w:szCs w:val="22"/>
          <w:lang w:val="fr-FR"/>
        </w:rPr>
      </w:pPr>
      <w:r w:rsidRPr="00953B52">
        <w:rPr>
          <w:rFonts w:ascii="Arial" w:hAnsi="Arial" w:cs="Arial"/>
          <w:sz w:val="22"/>
          <w:szCs w:val="22"/>
          <w:lang w:val="fr-FR"/>
        </w:rPr>
        <w:t>tout ou partie d</w:t>
      </w:r>
      <w:r w:rsidR="00E84189">
        <w:rPr>
          <w:rFonts w:ascii="Arial" w:hAnsi="Arial" w:cs="Arial"/>
          <w:sz w:val="22"/>
          <w:szCs w:val="22"/>
          <w:lang w:val="fr-FR"/>
        </w:rPr>
        <w:t>’</w:t>
      </w:r>
      <w:r w:rsidRPr="00953B52">
        <w:rPr>
          <w:rFonts w:ascii="Arial" w:hAnsi="Arial" w:cs="Arial"/>
          <w:sz w:val="22"/>
          <w:szCs w:val="22"/>
          <w:lang w:val="fr-FR"/>
        </w:rPr>
        <w:t>instruments existants sont en cours de révision ou ont été modifiés</w:t>
      </w:r>
      <w:r w:rsidRPr="00953B52">
        <w:rPr>
          <w:rStyle w:val="FootnoteReference"/>
          <w:rFonts w:ascii="Arial" w:hAnsi="Arial" w:cs="Arial"/>
          <w:sz w:val="22"/>
          <w:szCs w:val="22"/>
          <w:lang w:val="fr-FR"/>
        </w:rPr>
        <w:footnoteReference w:id="4"/>
      </w:r>
      <w:r w:rsidR="00095B51">
        <w:rPr>
          <w:rFonts w:ascii="Arial" w:hAnsi="Arial" w:cs="Arial"/>
          <w:sz w:val="22"/>
          <w:szCs w:val="22"/>
          <w:lang w:val="fr-FR"/>
        </w:rPr>
        <w:t xml:space="preserve">; </w:t>
      </w:r>
      <w:r w:rsidRPr="00953B52">
        <w:rPr>
          <w:rFonts w:ascii="Arial" w:hAnsi="Arial" w:cs="Arial"/>
          <w:sz w:val="22"/>
          <w:szCs w:val="22"/>
          <w:lang w:val="fr-FR"/>
        </w:rPr>
        <w:t xml:space="preserve"> et</w:t>
      </w:r>
    </w:p>
    <w:p w:rsidR="00CC5DF6" w:rsidRPr="00953B52" w:rsidRDefault="00CC5DF6" w:rsidP="005C0BD9">
      <w:pPr>
        <w:pStyle w:val="Text"/>
        <w:numPr>
          <w:ilvl w:val="0"/>
          <w:numId w:val="9"/>
        </w:numPr>
        <w:spacing w:after="160"/>
        <w:ind w:left="1134" w:hanging="567"/>
        <w:rPr>
          <w:rFonts w:ascii="Arial" w:hAnsi="Arial" w:cs="Arial"/>
          <w:sz w:val="22"/>
          <w:szCs w:val="22"/>
          <w:lang w:val="fr-FR"/>
        </w:rPr>
      </w:pPr>
      <w:r w:rsidRPr="00953B52">
        <w:rPr>
          <w:rFonts w:ascii="Arial" w:hAnsi="Arial" w:cs="Arial"/>
          <w:sz w:val="22"/>
          <w:szCs w:val="22"/>
          <w:lang w:val="fr-FR"/>
        </w:rPr>
        <w:t>un certain nombre d</w:t>
      </w:r>
      <w:r w:rsidR="00E84189">
        <w:rPr>
          <w:rFonts w:ascii="Arial" w:hAnsi="Arial" w:cs="Arial"/>
          <w:sz w:val="22"/>
          <w:szCs w:val="22"/>
          <w:lang w:val="fr-FR"/>
        </w:rPr>
        <w:t>’</w:t>
      </w:r>
      <w:r w:rsidRPr="00953B52">
        <w:rPr>
          <w:rFonts w:ascii="Arial" w:hAnsi="Arial" w:cs="Arial"/>
          <w:sz w:val="22"/>
          <w:szCs w:val="22"/>
          <w:lang w:val="fr-FR"/>
        </w:rPr>
        <w:t>instances internationales travaillent actuellement sur des questions liées aux ressources génétiques et aux savoirs traditionnels connexes, avec notamment des négociations sur un nouvel instrument pour certains types de ressources génétiques</w:t>
      </w:r>
      <w:r w:rsidRPr="00953B52">
        <w:rPr>
          <w:rStyle w:val="FootnoteReference"/>
          <w:rFonts w:ascii="Arial" w:hAnsi="Arial" w:cs="Arial"/>
          <w:sz w:val="22"/>
          <w:szCs w:val="22"/>
          <w:lang w:val="fr-FR"/>
        </w:rPr>
        <w:footnoteReference w:id="5"/>
      </w:r>
      <w:r w:rsidR="00095B51" w:rsidRPr="00953B52">
        <w:rPr>
          <w:rFonts w:ascii="Arial" w:hAnsi="Arial" w:cs="Arial"/>
          <w:sz w:val="22"/>
          <w:szCs w:val="22"/>
          <w:lang w:val="fr-FR"/>
        </w:rPr>
        <w:t>.</w:t>
      </w:r>
    </w:p>
    <w:p w:rsidR="00CC5DF6" w:rsidRPr="00953B52" w:rsidRDefault="00CC5DF6" w:rsidP="005C0BD9">
      <w:pPr>
        <w:pStyle w:val="Text"/>
        <w:spacing w:after="80"/>
        <w:rPr>
          <w:rFonts w:ascii="Arial" w:hAnsi="Arial" w:cs="Arial"/>
          <w:sz w:val="22"/>
          <w:szCs w:val="22"/>
          <w:lang w:val="fr-FR"/>
        </w:rPr>
      </w:pPr>
      <w:r w:rsidRPr="00953B52">
        <w:rPr>
          <w:rFonts w:ascii="Arial" w:hAnsi="Arial" w:cs="Arial"/>
          <w:sz w:val="22"/>
          <w:szCs w:val="22"/>
          <w:lang w:val="fr-FR"/>
        </w:rPr>
        <w:t>Au niveau national</w:t>
      </w:r>
      <w:r w:rsidR="00E84189">
        <w:rPr>
          <w:rFonts w:ascii="Arial" w:hAnsi="Arial" w:cs="Arial"/>
          <w:sz w:val="22"/>
          <w:szCs w:val="22"/>
          <w:lang w:val="fr-FR"/>
        </w:rPr>
        <w:t> :</w:t>
      </w:r>
    </w:p>
    <w:p w:rsidR="00546B53" w:rsidRDefault="00CC5DF6" w:rsidP="005C0BD9">
      <w:pPr>
        <w:pStyle w:val="Text"/>
        <w:numPr>
          <w:ilvl w:val="0"/>
          <w:numId w:val="10"/>
        </w:numPr>
        <w:spacing w:after="80"/>
        <w:ind w:left="1134" w:hanging="567"/>
        <w:rPr>
          <w:rFonts w:ascii="Arial" w:hAnsi="Arial" w:cs="Arial"/>
          <w:sz w:val="22"/>
          <w:szCs w:val="22"/>
          <w:lang w:val="fr-FR"/>
        </w:rPr>
      </w:pPr>
      <w:r w:rsidRPr="00953B52">
        <w:rPr>
          <w:rFonts w:ascii="Arial" w:hAnsi="Arial" w:cs="Arial"/>
          <w:sz w:val="22"/>
          <w:szCs w:val="22"/>
          <w:lang w:val="fr-FR"/>
        </w:rPr>
        <w:t>plus de 30</w:t>
      </w:r>
      <w:r w:rsidR="00513138">
        <w:rPr>
          <w:rFonts w:ascii="Arial" w:hAnsi="Arial" w:cs="Arial"/>
          <w:sz w:val="22"/>
          <w:szCs w:val="22"/>
          <w:lang w:val="fr-FR"/>
        </w:rPr>
        <w:t> </w:t>
      </w:r>
      <w:r w:rsidRPr="00953B52">
        <w:rPr>
          <w:rFonts w:ascii="Arial" w:hAnsi="Arial" w:cs="Arial"/>
          <w:sz w:val="22"/>
          <w:szCs w:val="22"/>
          <w:lang w:val="fr-FR"/>
        </w:rPr>
        <w:t xml:space="preserve">exigences de divulgation en matière de brevets ont été introduites dans les systèmes juridiques nationaux de pays en développement et de pays industrialisés; </w:t>
      </w:r>
      <w:r w:rsidR="00095B51">
        <w:rPr>
          <w:rFonts w:ascii="Arial" w:hAnsi="Arial" w:cs="Arial"/>
          <w:sz w:val="22"/>
          <w:szCs w:val="22"/>
          <w:lang w:val="fr-FR"/>
        </w:rPr>
        <w:t xml:space="preserve"> </w:t>
      </w:r>
      <w:r w:rsidRPr="00953B52">
        <w:rPr>
          <w:rFonts w:ascii="Arial" w:hAnsi="Arial" w:cs="Arial"/>
          <w:sz w:val="22"/>
          <w:szCs w:val="22"/>
          <w:lang w:val="fr-FR"/>
        </w:rPr>
        <w:t>ces exigences varient considérablement en termes de portée et de contenu et en ce qui concerne les liens avec les régimes d</w:t>
      </w:r>
      <w:r w:rsidR="00E84189">
        <w:rPr>
          <w:rFonts w:ascii="Arial" w:hAnsi="Arial" w:cs="Arial"/>
          <w:sz w:val="22"/>
          <w:szCs w:val="22"/>
          <w:lang w:val="fr-FR"/>
        </w:rPr>
        <w:t>’</w:t>
      </w:r>
      <w:r w:rsidRPr="00953B52">
        <w:rPr>
          <w:rFonts w:ascii="Arial" w:hAnsi="Arial" w:cs="Arial"/>
          <w:sz w:val="22"/>
          <w:szCs w:val="22"/>
          <w:lang w:val="fr-FR"/>
        </w:rPr>
        <w:t>accès et de partage des avantages, ainsi que les sanctions</w:t>
      </w:r>
      <w:r w:rsidRPr="00953B52">
        <w:rPr>
          <w:rStyle w:val="FootnoteReference"/>
          <w:rFonts w:ascii="Arial" w:hAnsi="Arial" w:cs="Arial"/>
          <w:sz w:val="22"/>
          <w:szCs w:val="22"/>
          <w:lang w:val="fr-FR"/>
        </w:rPr>
        <w:footnoteReference w:id="6"/>
      </w:r>
      <w:r w:rsidR="00095B51" w:rsidRPr="00953B52">
        <w:rPr>
          <w:rFonts w:ascii="Arial" w:hAnsi="Arial" w:cs="Arial"/>
          <w:sz w:val="22"/>
          <w:szCs w:val="22"/>
          <w:lang w:val="fr-FR"/>
        </w:rPr>
        <w:t>;</w:t>
      </w:r>
    </w:p>
    <w:p w:rsidR="00CC5DF6" w:rsidRPr="00953B52" w:rsidRDefault="00CC5DF6" w:rsidP="005C0BD9">
      <w:pPr>
        <w:pStyle w:val="Text"/>
        <w:numPr>
          <w:ilvl w:val="0"/>
          <w:numId w:val="10"/>
        </w:numPr>
        <w:spacing w:after="80"/>
        <w:ind w:left="1134" w:hanging="567"/>
        <w:rPr>
          <w:rFonts w:ascii="Arial" w:hAnsi="Arial" w:cs="Arial"/>
          <w:sz w:val="22"/>
          <w:szCs w:val="22"/>
          <w:lang w:val="fr-FR"/>
        </w:rPr>
      </w:pPr>
      <w:r w:rsidRPr="00953B52">
        <w:rPr>
          <w:rFonts w:ascii="Arial" w:hAnsi="Arial" w:cs="Arial"/>
          <w:sz w:val="22"/>
          <w:szCs w:val="22"/>
          <w:lang w:val="fr-FR"/>
        </w:rPr>
        <w:t>plusieurs pays ont introduit des mesures ayant force juridique pour protéger les ressources génétiques et savoirs traditionnels connexes d</w:t>
      </w:r>
      <w:r w:rsidR="00E84189">
        <w:rPr>
          <w:rFonts w:ascii="Arial" w:hAnsi="Arial" w:cs="Arial"/>
          <w:sz w:val="22"/>
          <w:szCs w:val="22"/>
          <w:lang w:val="fr-FR"/>
        </w:rPr>
        <w:t>’</w:t>
      </w:r>
      <w:r w:rsidRPr="00953B52">
        <w:rPr>
          <w:rFonts w:ascii="Arial" w:hAnsi="Arial" w:cs="Arial"/>
          <w:sz w:val="22"/>
          <w:szCs w:val="22"/>
          <w:lang w:val="fr-FR"/>
        </w:rPr>
        <w:t>autres pays, en dehors des systèmes de propriété intellectuelle, par exemple dans leur système de gestion de l</w:t>
      </w:r>
      <w:r w:rsidR="00E84189">
        <w:rPr>
          <w:rFonts w:ascii="Arial" w:hAnsi="Arial" w:cs="Arial"/>
          <w:sz w:val="22"/>
          <w:szCs w:val="22"/>
          <w:lang w:val="fr-FR"/>
        </w:rPr>
        <w:t>’</w:t>
      </w:r>
      <w:r w:rsidRPr="00953B52">
        <w:rPr>
          <w:rFonts w:ascii="Arial" w:hAnsi="Arial" w:cs="Arial"/>
          <w:sz w:val="22"/>
          <w:szCs w:val="22"/>
          <w:lang w:val="fr-FR"/>
        </w:rPr>
        <w:t>environnement (</w:t>
      </w:r>
      <w:r w:rsidR="00502EE7">
        <w:rPr>
          <w:rFonts w:ascii="Arial" w:hAnsi="Arial" w:cs="Arial"/>
          <w:sz w:val="22"/>
          <w:szCs w:val="22"/>
          <w:lang w:val="fr-FR"/>
        </w:rPr>
        <w:t>p. </w:t>
      </w:r>
      <w:r w:rsidRPr="00953B52">
        <w:rPr>
          <w:rFonts w:ascii="Arial" w:hAnsi="Arial" w:cs="Arial"/>
          <w:sz w:val="22"/>
          <w:szCs w:val="22"/>
          <w:lang w:val="fr-FR"/>
        </w:rPr>
        <w:t>ex.</w:t>
      </w:r>
      <w:r w:rsidR="00E84189">
        <w:rPr>
          <w:rFonts w:ascii="Arial" w:hAnsi="Arial" w:cs="Arial"/>
          <w:sz w:val="22"/>
          <w:szCs w:val="22"/>
          <w:lang w:val="fr-FR"/>
        </w:rPr>
        <w:t> :</w:t>
      </w:r>
      <w:r w:rsidRPr="00953B52">
        <w:rPr>
          <w:rFonts w:ascii="Arial" w:hAnsi="Arial" w:cs="Arial"/>
          <w:sz w:val="22"/>
          <w:szCs w:val="22"/>
          <w:lang w:val="fr-FR"/>
        </w:rPr>
        <w:t xml:space="preserve"> UE et Suisse</w:t>
      </w:r>
      <w:r w:rsidRPr="00953B52">
        <w:rPr>
          <w:rStyle w:val="FootnoteReference"/>
          <w:rFonts w:ascii="Arial" w:hAnsi="Arial" w:cs="Arial"/>
          <w:sz w:val="22"/>
          <w:szCs w:val="22"/>
          <w:lang w:val="fr-FR"/>
        </w:rPr>
        <w:footnoteReference w:id="7"/>
      </w:r>
      <w:r w:rsidRPr="00953B52">
        <w:rPr>
          <w:rFonts w:ascii="Arial" w:hAnsi="Arial" w:cs="Arial"/>
          <w:sz w:val="22"/>
          <w:szCs w:val="22"/>
          <w:lang w:val="fr-FR"/>
        </w:rPr>
        <w:t>);</w:t>
      </w:r>
    </w:p>
    <w:p w:rsidR="00546B53" w:rsidRDefault="00CC5DF6" w:rsidP="005C0BD9">
      <w:pPr>
        <w:pStyle w:val="Text"/>
        <w:numPr>
          <w:ilvl w:val="0"/>
          <w:numId w:val="10"/>
        </w:numPr>
        <w:spacing w:after="240"/>
        <w:ind w:left="1134" w:hanging="567"/>
        <w:rPr>
          <w:rFonts w:ascii="Arial" w:hAnsi="Arial" w:cs="Arial"/>
          <w:sz w:val="22"/>
          <w:szCs w:val="22"/>
          <w:lang w:val="fr-FR"/>
        </w:rPr>
      </w:pPr>
      <w:r w:rsidRPr="00953B52">
        <w:rPr>
          <w:rFonts w:ascii="Arial" w:hAnsi="Arial" w:cs="Arial"/>
          <w:sz w:val="22"/>
          <w:szCs w:val="22"/>
          <w:lang w:val="fr-FR"/>
        </w:rPr>
        <w:lastRenderedPageBreak/>
        <w:t>il est probable que les système</w:t>
      </w:r>
      <w:r w:rsidR="00E42C2C">
        <w:rPr>
          <w:rFonts w:ascii="Arial" w:hAnsi="Arial" w:cs="Arial"/>
          <w:sz w:val="22"/>
          <w:szCs w:val="22"/>
          <w:lang w:val="fr-FR"/>
        </w:rPr>
        <w:t>s</w:t>
      </w:r>
      <w:r w:rsidRPr="00953B52">
        <w:rPr>
          <w:rFonts w:ascii="Arial" w:hAnsi="Arial" w:cs="Arial"/>
          <w:sz w:val="22"/>
          <w:szCs w:val="22"/>
          <w:lang w:val="fr-FR"/>
        </w:rPr>
        <w:t xml:space="preserve"> nationaux relatifs aux ressources génétiques et aux savoirs traditionnels connexes continueront d</w:t>
      </w:r>
      <w:r w:rsidR="00E84189">
        <w:rPr>
          <w:rFonts w:ascii="Arial" w:hAnsi="Arial" w:cs="Arial"/>
          <w:sz w:val="22"/>
          <w:szCs w:val="22"/>
          <w:lang w:val="fr-FR"/>
        </w:rPr>
        <w:t>’</w:t>
      </w:r>
      <w:r w:rsidRPr="00953B52">
        <w:rPr>
          <w:rFonts w:ascii="Arial" w:hAnsi="Arial" w:cs="Arial"/>
          <w:sz w:val="22"/>
          <w:szCs w:val="22"/>
          <w:lang w:val="fr-FR"/>
        </w:rPr>
        <w:t xml:space="preserve">évoluer dans un avenir proche; </w:t>
      </w:r>
      <w:r w:rsidR="00095B51">
        <w:rPr>
          <w:rFonts w:ascii="Arial" w:hAnsi="Arial" w:cs="Arial"/>
          <w:sz w:val="22"/>
          <w:szCs w:val="22"/>
          <w:lang w:val="fr-FR"/>
        </w:rPr>
        <w:t xml:space="preserve"> </w:t>
      </w:r>
      <w:r w:rsidRPr="00953B52">
        <w:rPr>
          <w:rFonts w:ascii="Arial" w:hAnsi="Arial" w:cs="Arial"/>
          <w:sz w:val="22"/>
          <w:szCs w:val="22"/>
          <w:lang w:val="fr-FR"/>
        </w:rPr>
        <w:t>en effet, avec l</w:t>
      </w:r>
      <w:r w:rsidR="00E84189">
        <w:rPr>
          <w:rFonts w:ascii="Arial" w:hAnsi="Arial" w:cs="Arial"/>
          <w:sz w:val="22"/>
          <w:szCs w:val="22"/>
          <w:lang w:val="fr-FR"/>
        </w:rPr>
        <w:t>’</w:t>
      </w:r>
      <w:r w:rsidRPr="00953B52">
        <w:rPr>
          <w:rFonts w:ascii="Arial" w:hAnsi="Arial" w:cs="Arial"/>
          <w:sz w:val="22"/>
          <w:szCs w:val="22"/>
          <w:lang w:val="fr-FR"/>
        </w:rPr>
        <w:t>entrée en vigueur du Protocole de Nagoya (</w:t>
      </w:r>
      <w:r w:rsidR="00546B53" w:rsidRPr="00953B52">
        <w:rPr>
          <w:rFonts w:ascii="Arial" w:hAnsi="Arial" w:cs="Arial"/>
          <w:sz w:val="22"/>
          <w:szCs w:val="22"/>
          <w:lang w:val="fr-FR"/>
        </w:rPr>
        <w:t>octobre</w:t>
      </w:r>
      <w:r w:rsidR="00546B53">
        <w:rPr>
          <w:rFonts w:ascii="Arial" w:hAnsi="Arial" w:cs="Arial"/>
          <w:sz w:val="22"/>
          <w:szCs w:val="22"/>
          <w:lang w:val="fr-FR"/>
        </w:rPr>
        <w:t> </w:t>
      </w:r>
      <w:r w:rsidR="00546B53" w:rsidRPr="00953B52">
        <w:rPr>
          <w:rFonts w:ascii="Arial" w:hAnsi="Arial" w:cs="Arial"/>
          <w:sz w:val="22"/>
          <w:szCs w:val="22"/>
          <w:lang w:val="fr-FR"/>
        </w:rPr>
        <w:t>20</w:t>
      </w:r>
      <w:r w:rsidRPr="00953B52">
        <w:rPr>
          <w:rFonts w:ascii="Arial" w:hAnsi="Arial" w:cs="Arial"/>
          <w:sz w:val="22"/>
          <w:szCs w:val="22"/>
          <w:lang w:val="fr-FR"/>
        </w:rPr>
        <w:t xml:space="preserve">14), toutes les </w:t>
      </w:r>
      <w:r w:rsidR="003D438A">
        <w:rPr>
          <w:rFonts w:ascii="Arial" w:hAnsi="Arial" w:cs="Arial"/>
          <w:sz w:val="22"/>
          <w:szCs w:val="22"/>
          <w:lang w:val="fr-FR"/>
        </w:rPr>
        <w:t>p</w:t>
      </w:r>
      <w:r w:rsidRPr="00953B52">
        <w:rPr>
          <w:rFonts w:ascii="Arial" w:hAnsi="Arial" w:cs="Arial"/>
          <w:sz w:val="22"/>
          <w:szCs w:val="22"/>
          <w:lang w:val="fr-FR"/>
        </w:rPr>
        <w:t xml:space="preserve">arties à ce Protocole sont tenues de prendre des </w:t>
      </w:r>
      <w:bookmarkStart w:id="22" w:name="_Hlk50455848"/>
      <w:r w:rsidRPr="00953B52">
        <w:rPr>
          <w:rFonts w:ascii="Arial" w:hAnsi="Arial" w:cs="Arial"/>
          <w:sz w:val="22"/>
          <w:szCs w:val="22"/>
          <w:lang w:val="fr-FR"/>
        </w:rPr>
        <w:t>mesures pour que les utilisateurs respectent les exigences en matière d</w:t>
      </w:r>
      <w:r w:rsidR="00E84189">
        <w:rPr>
          <w:rFonts w:ascii="Arial" w:hAnsi="Arial" w:cs="Arial"/>
          <w:sz w:val="22"/>
          <w:szCs w:val="22"/>
          <w:lang w:val="fr-FR"/>
        </w:rPr>
        <w:t>’</w:t>
      </w:r>
      <w:r w:rsidRPr="00953B52">
        <w:rPr>
          <w:rFonts w:ascii="Arial" w:hAnsi="Arial" w:cs="Arial"/>
          <w:sz w:val="22"/>
          <w:szCs w:val="22"/>
          <w:lang w:val="fr-FR"/>
        </w:rPr>
        <w:t>accès et de partage des avantages</w:t>
      </w:r>
      <w:bookmarkEnd w:id="22"/>
      <w:r w:rsidRPr="00953B52">
        <w:rPr>
          <w:rStyle w:val="FootnoteReference"/>
          <w:rFonts w:ascii="Arial" w:hAnsi="Arial" w:cs="Arial"/>
          <w:sz w:val="22"/>
          <w:szCs w:val="22"/>
          <w:lang w:val="fr-FR"/>
        </w:rPr>
        <w:footnoteReference w:id="8"/>
      </w:r>
      <w:r w:rsidRPr="00953B52">
        <w:rPr>
          <w:rFonts w:ascii="Arial" w:hAnsi="Arial" w:cs="Arial"/>
          <w:sz w:val="22"/>
          <w:szCs w:val="22"/>
          <w:lang w:val="fr-FR"/>
        </w:rPr>
        <w:t>;</w:t>
      </w:r>
    </w:p>
    <w:p w:rsidR="00CC5DF6" w:rsidRPr="00953B52" w:rsidRDefault="00CC5DF6" w:rsidP="005C0BD9">
      <w:pPr>
        <w:pStyle w:val="Text"/>
        <w:numPr>
          <w:ilvl w:val="0"/>
          <w:numId w:val="10"/>
        </w:numPr>
        <w:spacing w:after="240"/>
        <w:ind w:left="1134" w:hanging="567"/>
        <w:rPr>
          <w:rFonts w:ascii="Arial" w:hAnsi="Arial" w:cs="Arial"/>
          <w:sz w:val="22"/>
          <w:szCs w:val="22"/>
          <w:lang w:val="fr-FR"/>
        </w:rPr>
      </w:pPr>
      <w:r w:rsidRPr="00953B52">
        <w:rPr>
          <w:rFonts w:ascii="Arial" w:hAnsi="Arial" w:cs="Arial"/>
          <w:sz w:val="22"/>
          <w:szCs w:val="22"/>
          <w:lang w:val="fr-FR"/>
        </w:rPr>
        <w:t>il est probable que certains pays mettront en œuvre le Protocole de Nagoya en modifiant leur législation nationale en matière de brevets, comme d</w:t>
      </w:r>
      <w:r w:rsidR="00E84189">
        <w:rPr>
          <w:rFonts w:ascii="Arial" w:hAnsi="Arial" w:cs="Arial"/>
          <w:sz w:val="22"/>
          <w:szCs w:val="22"/>
          <w:lang w:val="fr-FR"/>
        </w:rPr>
        <w:t>’</w:t>
      </w:r>
      <w:r w:rsidRPr="00953B52">
        <w:rPr>
          <w:rFonts w:ascii="Arial" w:hAnsi="Arial" w:cs="Arial"/>
          <w:sz w:val="22"/>
          <w:szCs w:val="22"/>
          <w:lang w:val="fr-FR"/>
        </w:rPr>
        <w:t>autres pays l</w:t>
      </w:r>
      <w:r w:rsidR="00E84189">
        <w:rPr>
          <w:rFonts w:ascii="Arial" w:hAnsi="Arial" w:cs="Arial"/>
          <w:sz w:val="22"/>
          <w:szCs w:val="22"/>
          <w:lang w:val="fr-FR"/>
        </w:rPr>
        <w:t>’</w:t>
      </w:r>
      <w:r w:rsidRPr="00953B52">
        <w:rPr>
          <w:rFonts w:ascii="Arial" w:hAnsi="Arial" w:cs="Arial"/>
          <w:sz w:val="22"/>
          <w:szCs w:val="22"/>
          <w:lang w:val="fr-FR"/>
        </w:rPr>
        <w:t>ont déjà fait</w:t>
      </w:r>
      <w:r w:rsidRPr="00953B52">
        <w:rPr>
          <w:rStyle w:val="FootnoteReference"/>
          <w:rFonts w:ascii="Arial" w:hAnsi="Arial" w:cs="Arial"/>
          <w:sz w:val="22"/>
          <w:szCs w:val="22"/>
          <w:lang w:val="fr-FR"/>
        </w:rPr>
        <w:footnoteReference w:id="9"/>
      </w:r>
      <w:r w:rsidR="00095B51" w:rsidRPr="00953B52">
        <w:rPr>
          <w:rFonts w:ascii="Arial" w:hAnsi="Arial" w:cs="Arial"/>
          <w:sz w:val="22"/>
          <w:szCs w:val="22"/>
          <w:lang w:val="fr-FR"/>
        </w:rPr>
        <w:t>.</w:t>
      </w:r>
    </w:p>
    <w:p w:rsidR="00CC5DF6" w:rsidRPr="00953B52" w:rsidRDefault="00CC5DF6" w:rsidP="005C0BD9">
      <w:pPr>
        <w:pStyle w:val="Text"/>
        <w:pBdr>
          <w:top w:val="single" w:sz="4" w:space="1" w:color="auto"/>
          <w:left w:val="single" w:sz="4" w:space="4" w:color="auto"/>
          <w:bottom w:val="single" w:sz="4" w:space="1" w:color="auto"/>
          <w:right w:val="single" w:sz="4" w:space="4" w:color="auto"/>
        </w:pBdr>
        <w:spacing w:before="80" w:after="80"/>
        <w:rPr>
          <w:rFonts w:ascii="Arial" w:hAnsi="Arial" w:cs="Arial"/>
          <w:b/>
          <w:sz w:val="22"/>
          <w:szCs w:val="22"/>
          <w:lang w:val="fr-FR"/>
        </w:rPr>
      </w:pPr>
      <w:r w:rsidRPr="00953B52">
        <w:rPr>
          <w:rFonts w:ascii="Arial" w:hAnsi="Arial" w:cs="Arial"/>
          <w:b/>
          <w:sz w:val="22"/>
          <w:szCs w:val="22"/>
          <w:lang w:val="fr-FR"/>
        </w:rPr>
        <w:t>Incidences sur les travaux de l</w:t>
      </w:r>
      <w:r w:rsidR="00E84189">
        <w:rPr>
          <w:rFonts w:ascii="Arial" w:hAnsi="Arial" w:cs="Arial"/>
          <w:b/>
          <w:sz w:val="22"/>
          <w:szCs w:val="22"/>
          <w:lang w:val="fr-FR"/>
        </w:rPr>
        <w:t>’</w:t>
      </w:r>
      <w:r w:rsidRPr="00953B52">
        <w:rPr>
          <w:rFonts w:ascii="Arial" w:hAnsi="Arial" w:cs="Arial"/>
          <w:b/>
          <w:sz w:val="22"/>
          <w:szCs w:val="22"/>
          <w:lang w:val="fr-FR"/>
        </w:rPr>
        <w:t>IGC</w:t>
      </w:r>
      <w:r w:rsidR="00E84189">
        <w:rPr>
          <w:rFonts w:ascii="Arial" w:hAnsi="Arial" w:cs="Arial"/>
          <w:b/>
          <w:sz w:val="22"/>
          <w:szCs w:val="22"/>
          <w:lang w:val="fr-FR"/>
        </w:rPr>
        <w:t> :</w:t>
      </w:r>
    </w:p>
    <w:p w:rsidR="00546B53" w:rsidRDefault="00CC5DF6" w:rsidP="005C0BD9">
      <w:pPr>
        <w:pStyle w:val="Text"/>
        <w:numPr>
          <w:ilvl w:val="0"/>
          <w:numId w:val="14"/>
        </w:numPr>
        <w:pBdr>
          <w:top w:val="single" w:sz="4" w:space="1" w:color="auto"/>
          <w:left w:val="single" w:sz="4" w:space="4" w:color="auto"/>
          <w:bottom w:val="single" w:sz="4" w:space="1"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L</w:t>
      </w:r>
      <w:r w:rsidR="00E84189">
        <w:rPr>
          <w:rFonts w:ascii="Arial" w:hAnsi="Arial" w:cs="Arial"/>
          <w:sz w:val="22"/>
          <w:szCs w:val="22"/>
          <w:lang w:val="fr-FR"/>
        </w:rPr>
        <w:t>’</w:t>
      </w:r>
      <w:r w:rsidRPr="00953B52">
        <w:rPr>
          <w:rFonts w:ascii="Arial" w:hAnsi="Arial" w:cs="Arial"/>
          <w:sz w:val="22"/>
          <w:szCs w:val="22"/>
          <w:lang w:val="fr-FR"/>
        </w:rPr>
        <w:t xml:space="preserve">IGC devrait tenir compte du fait que la situation juridique liée </w:t>
      </w:r>
      <w:bookmarkStart w:id="23" w:name="_Hlk50457604"/>
      <w:r w:rsidRPr="00953B52">
        <w:rPr>
          <w:rFonts w:ascii="Arial" w:hAnsi="Arial" w:cs="Arial"/>
          <w:sz w:val="22"/>
          <w:szCs w:val="22"/>
          <w:lang w:val="fr-FR"/>
        </w:rPr>
        <w:t xml:space="preserve">aux ressources génétiques et aux savoirs traditionnels connexes </w:t>
      </w:r>
      <w:bookmarkEnd w:id="23"/>
      <w:r w:rsidRPr="00953B52">
        <w:rPr>
          <w:rFonts w:ascii="Arial" w:hAnsi="Arial" w:cs="Arial"/>
          <w:sz w:val="22"/>
          <w:szCs w:val="22"/>
          <w:lang w:val="fr-FR"/>
        </w:rPr>
        <w:t>a considérablement changé depuis le début des discussions à ce sujet à l</w:t>
      </w:r>
      <w:r w:rsidR="00E84189">
        <w:rPr>
          <w:rFonts w:ascii="Arial" w:hAnsi="Arial" w:cs="Arial"/>
          <w:sz w:val="22"/>
          <w:szCs w:val="22"/>
          <w:lang w:val="fr-FR"/>
        </w:rPr>
        <w:t>’</w:t>
      </w:r>
      <w:r w:rsidRPr="00953B52">
        <w:rPr>
          <w:rFonts w:ascii="Arial" w:hAnsi="Arial" w:cs="Arial"/>
          <w:sz w:val="22"/>
          <w:szCs w:val="22"/>
          <w:lang w:val="fr-FR"/>
        </w:rPr>
        <w:t>OMPI.</w:t>
      </w:r>
    </w:p>
    <w:p w:rsidR="00546B53" w:rsidRDefault="00CC5DF6" w:rsidP="005C0BD9">
      <w:pPr>
        <w:pStyle w:val="Text"/>
        <w:numPr>
          <w:ilvl w:val="0"/>
          <w:numId w:val="14"/>
        </w:numPr>
        <w:pBdr>
          <w:top w:val="single" w:sz="4" w:space="1" w:color="auto"/>
          <w:left w:val="single" w:sz="4" w:space="4" w:color="auto"/>
          <w:bottom w:val="single" w:sz="4" w:space="1"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Il conviendrait de ne pas reprendre, dans un futur instrument juridique international de l</w:t>
      </w:r>
      <w:r w:rsidR="00E84189">
        <w:rPr>
          <w:rFonts w:ascii="Arial" w:hAnsi="Arial" w:cs="Arial"/>
          <w:sz w:val="22"/>
          <w:szCs w:val="22"/>
          <w:lang w:val="fr-FR"/>
        </w:rPr>
        <w:t>’</w:t>
      </w:r>
      <w:r w:rsidRPr="00953B52">
        <w:rPr>
          <w:rFonts w:ascii="Arial" w:hAnsi="Arial" w:cs="Arial"/>
          <w:sz w:val="22"/>
          <w:szCs w:val="22"/>
          <w:lang w:val="fr-FR"/>
        </w:rPr>
        <w:t>OMPI, les aspects liés aux ressources génétiques et aux savoirs traditionnels connexes, déjà traités dans des accords internationaux existants (tels que le Protocole de Nago</w:t>
      </w:r>
      <w:r w:rsidR="0003571D" w:rsidRPr="00953B52">
        <w:rPr>
          <w:rFonts w:ascii="Arial" w:hAnsi="Arial" w:cs="Arial"/>
          <w:sz w:val="22"/>
          <w:szCs w:val="22"/>
          <w:lang w:val="fr-FR"/>
        </w:rPr>
        <w:t>ya)</w:t>
      </w:r>
      <w:r w:rsidR="0003571D">
        <w:rPr>
          <w:rFonts w:ascii="Arial" w:hAnsi="Arial" w:cs="Arial"/>
          <w:sz w:val="22"/>
          <w:szCs w:val="22"/>
          <w:lang w:val="fr-FR"/>
        </w:rPr>
        <w:t xml:space="preserve">.  </w:t>
      </w:r>
      <w:r w:rsidR="0003571D" w:rsidRPr="00953B52">
        <w:rPr>
          <w:rFonts w:ascii="Arial" w:hAnsi="Arial" w:cs="Arial"/>
          <w:sz w:val="22"/>
          <w:szCs w:val="22"/>
          <w:lang w:val="fr-FR"/>
        </w:rPr>
        <w:t>Da</w:t>
      </w:r>
      <w:r w:rsidRPr="00953B52">
        <w:rPr>
          <w:rFonts w:ascii="Arial" w:hAnsi="Arial" w:cs="Arial"/>
          <w:sz w:val="22"/>
          <w:szCs w:val="22"/>
          <w:lang w:val="fr-FR"/>
        </w:rPr>
        <w:t>ns les faits, il est important que les travaux de l</w:t>
      </w:r>
      <w:r w:rsidR="00E84189">
        <w:rPr>
          <w:rFonts w:ascii="Arial" w:hAnsi="Arial" w:cs="Arial"/>
          <w:sz w:val="22"/>
          <w:szCs w:val="22"/>
          <w:lang w:val="fr-FR"/>
        </w:rPr>
        <w:t>’</w:t>
      </w:r>
      <w:r w:rsidRPr="00953B52">
        <w:rPr>
          <w:rFonts w:ascii="Arial" w:hAnsi="Arial" w:cs="Arial"/>
          <w:sz w:val="22"/>
          <w:szCs w:val="22"/>
          <w:lang w:val="fr-FR"/>
        </w:rPr>
        <w:t>IGC continuent de se concentrer sur des aspects liés à la propriété intellectuelle en ce qui concerne les ressources génétiques et les savoirs traditionnels connexes.</w:t>
      </w:r>
    </w:p>
    <w:p w:rsidR="00CC5DF6" w:rsidRPr="00953B52" w:rsidRDefault="00CC5DF6" w:rsidP="005C0BD9">
      <w:pPr>
        <w:pStyle w:val="Text"/>
        <w:numPr>
          <w:ilvl w:val="0"/>
          <w:numId w:val="14"/>
        </w:numPr>
        <w:pBdr>
          <w:top w:val="single" w:sz="4" w:space="1" w:color="auto"/>
          <w:left w:val="single" w:sz="4" w:space="4" w:color="auto"/>
          <w:bottom w:val="single" w:sz="4" w:space="1"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En l</w:t>
      </w:r>
      <w:r w:rsidR="00E84189">
        <w:rPr>
          <w:rFonts w:ascii="Arial" w:hAnsi="Arial" w:cs="Arial"/>
          <w:sz w:val="22"/>
          <w:szCs w:val="22"/>
          <w:lang w:val="fr-FR"/>
        </w:rPr>
        <w:t>’</w:t>
      </w:r>
      <w:r w:rsidRPr="00953B52">
        <w:rPr>
          <w:rFonts w:ascii="Arial" w:hAnsi="Arial" w:cs="Arial"/>
          <w:sz w:val="22"/>
          <w:szCs w:val="22"/>
          <w:lang w:val="fr-FR"/>
        </w:rPr>
        <w:t>absence de norme sur les exigences de divulgation en matière de brevets dans un instrument juridique international de l</w:t>
      </w:r>
      <w:r w:rsidR="00E84189">
        <w:rPr>
          <w:rFonts w:ascii="Arial" w:hAnsi="Arial" w:cs="Arial"/>
          <w:sz w:val="22"/>
          <w:szCs w:val="22"/>
          <w:lang w:val="fr-FR"/>
        </w:rPr>
        <w:t>’</w:t>
      </w:r>
      <w:r w:rsidRPr="00953B52">
        <w:rPr>
          <w:rFonts w:ascii="Arial" w:hAnsi="Arial" w:cs="Arial"/>
          <w:sz w:val="22"/>
          <w:szCs w:val="22"/>
          <w:lang w:val="fr-FR"/>
        </w:rPr>
        <w:t>OMPI, il est probable que les exigences nationales de ce type seront encore plus nombreuses et diverses à l</w:t>
      </w:r>
      <w:r w:rsidR="00E84189">
        <w:rPr>
          <w:rFonts w:ascii="Arial" w:hAnsi="Arial" w:cs="Arial"/>
          <w:sz w:val="22"/>
          <w:szCs w:val="22"/>
          <w:lang w:val="fr-FR"/>
        </w:rPr>
        <w:t>’</w:t>
      </w:r>
      <w:r w:rsidRPr="00953B52">
        <w:rPr>
          <w:rFonts w:ascii="Arial" w:hAnsi="Arial" w:cs="Arial"/>
          <w:sz w:val="22"/>
          <w:szCs w:val="22"/>
          <w:lang w:val="fr-FR"/>
        </w:rPr>
        <w:t xml:space="preserve">avenir, </w:t>
      </w:r>
      <w:r w:rsidR="00E84189">
        <w:rPr>
          <w:rFonts w:ascii="Arial" w:hAnsi="Arial" w:cs="Arial"/>
          <w:sz w:val="22"/>
          <w:szCs w:val="22"/>
          <w:lang w:val="fr-FR"/>
        </w:rPr>
        <w:t>y compris</w:t>
      </w:r>
      <w:r w:rsidRPr="00953B52">
        <w:rPr>
          <w:rFonts w:ascii="Arial" w:hAnsi="Arial" w:cs="Arial"/>
          <w:sz w:val="22"/>
          <w:szCs w:val="22"/>
          <w:lang w:val="fr-FR"/>
        </w:rPr>
        <w:t xml:space="preserve"> celles concernant l</w:t>
      </w:r>
      <w:r w:rsidR="00E84189">
        <w:rPr>
          <w:rFonts w:ascii="Arial" w:hAnsi="Arial" w:cs="Arial"/>
          <w:sz w:val="22"/>
          <w:szCs w:val="22"/>
          <w:lang w:val="fr-FR"/>
        </w:rPr>
        <w:t>’</w:t>
      </w:r>
      <w:r w:rsidRPr="00953B52">
        <w:rPr>
          <w:rFonts w:ascii="Arial" w:hAnsi="Arial" w:cs="Arial"/>
          <w:sz w:val="22"/>
          <w:szCs w:val="22"/>
          <w:lang w:val="fr-FR"/>
        </w:rPr>
        <w:t>accès et le partage des avantag</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Ce</w:t>
      </w:r>
      <w:r w:rsidRPr="00953B52">
        <w:rPr>
          <w:rFonts w:ascii="Arial" w:hAnsi="Arial" w:cs="Arial"/>
          <w:sz w:val="22"/>
          <w:szCs w:val="22"/>
          <w:lang w:val="fr-FR"/>
        </w:rPr>
        <w:t>la pourrait donner lieu à des r</w:t>
      </w:r>
      <w:r w:rsidR="00E42C2C">
        <w:rPr>
          <w:rFonts w:ascii="Arial" w:hAnsi="Arial" w:cs="Arial"/>
          <w:sz w:val="22"/>
          <w:szCs w:val="22"/>
          <w:lang w:val="fr-FR"/>
        </w:rPr>
        <w:t>é</w:t>
      </w:r>
      <w:r w:rsidRPr="00953B52">
        <w:rPr>
          <w:rFonts w:ascii="Arial" w:hAnsi="Arial" w:cs="Arial"/>
          <w:sz w:val="22"/>
          <w:szCs w:val="22"/>
          <w:lang w:val="fr-FR"/>
        </w:rPr>
        <w:t>glementations encore plus fragmentées et donner un coup d</w:t>
      </w:r>
      <w:r w:rsidR="00E84189">
        <w:rPr>
          <w:rFonts w:ascii="Arial" w:hAnsi="Arial" w:cs="Arial"/>
          <w:sz w:val="22"/>
          <w:szCs w:val="22"/>
          <w:lang w:val="fr-FR"/>
        </w:rPr>
        <w:t>’</w:t>
      </w:r>
      <w:r w:rsidRPr="00953B52">
        <w:rPr>
          <w:rFonts w:ascii="Arial" w:hAnsi="Arial" w:cs="Arial"/>
          <w:sz w:val="22"/>
          <w:szCs w:val="22"/>
          <w:lang w:val="fr-FR"/>
        </w:rPr>
        <w:t>arrêt aux innovations basées sur des ressources génétiques ou des savoirs traditionnels connexes.</w:t>
      </w:r>
    </w:p>
    <w:p w:rsidR="00CC5DF6" w:rsidRPr="00953B52" w:rsidRDefault="00CC5DF6" w:rsidP="003A25F1">
      <w:pPr>
        <w:pStyle w:val="Text"/>
        <w:numPr>
          <w:ilvl w:val="0"/>
          <w:numId w:val="14"/>
        </w:numPr>
        <w:pBdr>
          <w:top w:val="single" w:sz="4" w:space="1" w:color="auto"/>
          <w:left w:val="single" w:sz="4" w:space="4" w:color="auto"/>
          <w:bottom w:val="single" w:sz="4" w:space="1"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Les exigences réglementaires concernant l</w:t>
      </w:r>
      <w:r w:rsidR="00E84189">
        <w:rPr>
          <w:rFonts w:ascii="Arial" w:hAnsi="Arial" w:cs="Arial"/>
          <w:sz w:val="22"/>
          <w:szCs w:val="22"/>
          <w:lang w:val="fr-FR"/>
        </w:rPr>
        <w:t>’</w:t>
      </w:r>
      <w:r w:rsidRPr="00953B52">
        <w:rPr>
          <w:rFonts w:ascii="Arial" w:hAnsi="Arial" w:cs="Arial"/>
          <w:sz w:val="22"/>
          <w:szCs w:val="22"/>
          <w:lang w:val="fr-FR"/>
        </w:rPr>
        <w:t>accès et le partage des avantages varient considérablement entre les pays appliquant ce type d</w:t>
      </w:r>
      <w:r w:rsidR="00E84189">
        <w:rPr>
          <w:rFonts w:ascii="Arial" w:hAnsi="Arial" w:cs="Arial"/>
          <w:sz w:val="22"/>
          <w:szCs w:val="22"/>
          <w:lang w:val="fr-FR"/>
        </w:rPr>
        <w:t>’</w:t>
      </w:r>
      <w:r w:rsidRPr="00953B52">
        <w:rPr>
          <w:rFonts w:ascii="Arial" w:hAnsi="Arial" w:cs="Arial"/>
          <w:sz w:val="22"/>
          <w:szCs w:val="22"/>
          <w:lang w:val="fr-FR"/>
        </w:rPr>
        <w:t>exigences au niveau national</w:t>
      </w:r>
      <w:r w:rsidRPr="00953B52">
        <w:rPr>
          <w:rStyle w:val="FootnoteReference"/>
          <w:rFonts w:ascii="Arial" w:hAnsi="Arial" w:cs="Arial"/>
          <w:sz w:val="22"/>
          <w:szCs w:val="22"/>
          <w:lang w:val="fr-FR"/>
        </w:rPr>
        <w:footnoteReference w:id="10"/>
      </w:r>
      <w:r w:rsidR="00095B51">
        <w:rPr>
          <w:rFonts w:ascii="Arial" w:hAnsi="Arial" w:cs="Arial"/>
          <w:sz w:val="22"/>
          <w:szCs w:val="22"/>
          <w:lang w:val="fr-FR"/>
        </w:rPr>
        <w:t xml:space="preserve">. </w:t>
      </w:r>
      <w:r w:rsidRPr="00953B52">
        <w:rPr>
          <w:rFonts w:ascii="Arial" w:hAnsi="Arial" w:cs="Arial"/>
          <w:sz w:val="22"/>
          <w:szCs w:val="22"/>
          <w:lang w:val="fr-FR"/>
        </w:rPr>
        <w:t xml:space="preserve"> Le fait de lier les demandes de brevet au respect des exigences en matière d</w:t>
      </w:r>
      <w:r w:rsidR="00E84189">
        <w:rPr>
          <w:rFonts w:ascii="Arial" w:hAnsi="Arial" w:cs="Arial"/>
          <w:sz w:val="22"/>
          <w:szCs w:val="22"/>
          <w:lang w:val="fr-FR"/>
        </w:rPr>
        <w:t>’</w:t>
      </w:r>
      <w:r w:rsidRPr="00953B52">
        <w:rPr>
          <w:rFonts w:ascii="Arial" w:hAnsi="Arial" w:cs="Arial"/>
          <w:sz w:val="22"/>
          <w:szCs w:val="22"/>
          <w:lang w:val="fr-FR"/>
        </w:rPr>
        <w:t xml:space="preserve">accès et de partage des avantages pourrait introduire des incertitudes juridiques dans le système de </w:t>
      </w:r>
      <w:r w:rsidR="00095B51" w:rsidRPr="00953B52">
        <w:rPr>
          <w:rFonts w:ascii="Arial" w:hAnsi="Arial" w:cs="Arial"/>
          <w:sz w:val="22"/>
          <w:szCs w:val="22"/>
          <w:lang w:val="fr-FR"/>
        </w:rPr>
        <w:t>brevet</w:t>
      </w:r>
      <w:r w:rsidR="00095B51">
        <w:rPr>
          <w:rFonts w:ascii="Arial" w:hAnsi="Arial" w:cs="Arial"/>
          <w:sz w:val="22"/>
          <w:szCs w:val="22"/>
          <w:lang w:val="fr-FR"/>
        </w:rPr>
        <w:t>s</w:t>
      </w:r>
      <w:r w:rsidRPr="00953B52">
        <w:rPr>
          <w:rFonts w:ascii="Arial" w:hAnsi="Arial" w:cs="Arial"/>
          <w:sz w:val="22"/>
          <w:szCs w:val="22"/>
          <w:lang w:val="fr-FR"/>
        </w:rPr>
        <w:t xml:space="preserve"> et générer des retards importants dans le traitement des brevets ainsi que des incidences économiques majeures</w:t>
      </w:r>
      <w:r w:rsidRPr="00953B52">
        <w:rPr>
          <w:rStyle w:val="FootnoteReference"/>
          <w:rFonts w:ascii="Arial" w:hAnsi="Arial" w:cs="Arial"/>
          <w:sz w:val="22"/>
          <w:szCs w:val="22"/>
          <w:lang w:val="fr-FR"/>
        </w:rPr>
        <w:footnoteReference w:id="11"/>
      </w:r>
      <w:r w:rsidR="00095B51" w:rsidRPr="00953B52">
        <w:rPr>
          <w:rFonts w:ascii="Arial" w:hAnsi="Arial" w:cs="Arial"/>
          <w:sz w:val="22"/>
          <w:szCs w:val="22"/>
          <w:lang w:val="fr-FR"/>
        </w:rPr>
        <w:t>.</w:t>
      </w:r>
    </w:p>
    <w:p w:rsidR="00CC5DF6" w:rsidRPr="00953B52" w:rsidRDefault="00234673" w:rsidP="00234673">
      <w:pPr>
        <w:pStyle w:val="Heading2"/>
      </w:pPr>
      <w:bookmarkStart w:id="24" w:name="_Toc51243820"/>
      <w:r>
        <w:t>2.2</w:t>
      </w:r>
      <w:r>
        <w:tab/>
      </w:r>
      <w:r w:rsidR="00CC5DF6" w:rsidRPr="00953B52">
        <w:t>La situation technologique</w:t>
      </w:r>
      <w:bookmarkEnd w:id="24"/>
    </w:p>
    <w:p w:rsidR="00546B53"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Les technologies et les pratiques d</w:t>
      </w:r>
      <w:r w:rsidR="00E84189">
        <w:rPr>
          <w:rFonts w:ascii="Arial" w:hAnsi="Arial" w:cs="Arial"/>
          <w:sz w:val="22"/>
          <w:szCs w:val="22"/>
          <w:lang w:val="fr-FR"/>
        </w:rPr>
        <w:t>’</w:t>
      </w:r>
      <w:r w:rsidRPr="00953B52">
        <w:rPr>
          <w:rFonts w:ascii="Arial" w:hAnsi="Arial" w:cs="Arial"/>
          <w:sz w:val="22"/>
          <w:szCs w:val="22"/>
          <w:lang w:val="fr-FR"/>
        </w:rPr>
        <w:t>utilisation des ressources génétiques ont également évol</w:t>
      </w:r>
      <w:r w:rsidR="0003571D" w:rsidRPr="00953B52">
        <w:rPr>
          <w:rFonts w:ascii="Arial" w:hAnsi="Arial" w:cs="Arial"/>
          <w:sz w:val="22"/>
          <w:szCs w:val="22"/>
          <w:lang w:val="fr-FR"/>
        </w:rPr>
        <w:t>ué</w:t>
      </w:r>
      <w:r w:rsidR="0003571D">
        <w:rPr>
          <w:rFonts w:ascii="Arial" w:hAnsi="Arial" w:cs="Arial"/>
          <w:sz w:val="22"/>
          <w:szCs w:val="22"/>
          <w:lang w:val="fr-FR"/>
        </w:rPr>
        <w:t xml:space="preserve">.  </w:t>
      </w:r>
      <w:r w:rsidR="0003571D" w:rsidRPr="00953B52">
        <w:rPr>
          <w:rFonts w:ascii="Arial" w:hAnsi="Arial" w:cs="Arial"/>
          <w:sz w:val="22"/>
          <w:szCs w:val="22"/>
          <w:lang w:val="fr-FR"/>
        </w:rPr>
        <w:t>En</w:t>
      </w:r>
      <w:r w:rsidRPr="00953B52">
        <w:rPr>
          <w:rFonts w:ascii="Arial" w:hAnsi="Arial" w:cs="Arial"/>
          <w:sz w:val="22"/>
          <w:szCs w:val="22"/>
          <w:lang w:val="fr-FR"/>
        </w:rPr>
        <w:t xml:space="preserve"> particulier les technologies de séquençage génétique ont progressé rapidement, entraînant une baisse radicale du coût du séquençage et une augmentation impressionnante des données relatives aux séquences génétiques</w:t>
      </w:r>
      <w:r w:rsidRPr="00953B52">
        <w:rPr>
          <w:rStyle w:val="FootnoteReference"/>
          <w:rFonts w:ascii="Arial" w:hAnsi="Arial" w:cs="Arial"/>
          <w:sz w:val="22"/>
          <w:szCs w:val="22"/>
          <w:lang w:val="fr-FR"/>
        </w:rPr>
        <w:footnoteReference w:id="12"/>
      </w:r>
      <w:r w:rsidR="00095B51">
        <w:rPr>
          <w:rFonts w:ascii="Arial" w:hAnsi="Arial" w:cs="Arial"/>
          <w:sz w:val="22"/>
          <w:szCs w:val="22"/>
          <w:lang w:val="fr-FR"/>
        </w:rPr>
        <w:t xml:space="preserve">. </w:t>
      </w:r>
      <w:r w:rsidRPr="00953B52">
        <w:rPr>
          <w:rFonts w:ascii="Arial" w:hAnsi="Arial" w:cs="Arial"/>
          <w:sz w:val="22"/>
          <w:szCs w:val="22"/>
          <w:lang w:val="fr-FR"/>
        </w:rPr>
        <w:t xml:space="preserve"> Les progrès technologiques peuvent être l</w:t>
      </w:r>
      <w:r w:rsidR="00E84189">
        <w:rPr>
          <w:rFonts w:ascii="Arial" w:hAnsi="Arial" w:cs="Arial"/>
          <w:sz w:val="22"/>
          <w:szCs w:val="22"/>
          <w:lang w:val="fr-FR"/>
        </w:rPr>
        <w:t>’</w:t>
      </w:r>
      <w:r w:rsidRPr="00953B52">
        <w:rPr>
          <w:rFonts w:ascii="Arial" w:hAnsi="Arial" w:cs="Arial"/>
          <w:sz w:val="22"/>
          <w:szCs w:val="22"/>
          <w:lang w:val="fr-FR"/>
        </w:rPr>
        <w:t>une des raisons pour lesquelles il a été proposé d</w:t>
      </w:r>
      <w:r w:rsidR="00E84189">
        <w:rPr>
          <w:rFonts w:ascii="Arial" w:hAnsi="Arial" w:cs="Arial"/>
          <w:sz w:val="22"/>
          <w:szCs w:val="22"/>
          <w:lang w:val="fr-FR"/>
        </w:rPr>
        <w:t>’</w:t>
      </w:r>
      <w:r w:rsidRPr="00953B52">
        <w:rPr>
          <w:rFonts w:ascii="Arial" w:hAnsi="Arial" w:cs="Arial"/>
          <w:sz w:val="22"/>
          <w:szCs w:val="22"/>
          <w:lang w:val="fr-FR"/>
        </w:rPr>
        <w:t xml:space="preserve">élargir les exigences de divulgation en matière de </w:t>
      </w:r>
      <w:r w:rsidRPr="00953B52">
        <w:rPr>
          <w:rFonts w:ascii="Arial" w:hAnsi="Arial" w:cs="Arial"/>
          <w:sz w:val="22"/>
          <w:szCs w:val="22"/>
          <w:lang w:val="fr-FR"/>
        </w:rPr>
        <w:lastRenderedPageBreak/>
        <w:t>brevets aux aspects intangibles des ressources génétiques, tels que les informations de séquençage numérique, ainsi qu</w:t>
      </w:r>
      <w:r w:rsidR="00E84189">
        <w:rPr>
          <w:rFonts w:ascii="Arial" w:hAnsi="Arial" w:cs="Arial"/>
          <w:sz w:val="22"/>
          <w:szCs w:val="22"/>
          <w:lang w:val="fr-FR"/>
        </w:rPr>
        <w:t>’</w:t>
      </w:r>
      <w:r w:rsidRPr="00953B52">
        <w:rPr>
          <w:rFonts w:ascii="Arial" w:hAnsi="Arial" w:cs="Arial"/>
          <w:sz w:val="22"/>
          <w:szCs w:val="22"/>
          <w:lang w:val="fr-FR"/>
        </w:rPr>
        <w:t xml:space="preserve">aux </w:t>
      </w:r>
      <w:r w:rsidR="00546B53">
        <w:rPr>
          <w:rFonts w:ascii="Arial" w:hAnsi="Arial" w:cs="Arial"/>
          <w:sz w:val="22"/>
          <w:szCs w:val="22"/>
          <w:lang w:val="fr-FR"/>
        </w:rPr>
        <w:t>“</w:t>
      </w:r>
      <w:r w:rsidR="00546B53" w:rsidRPr="00953B52">
        <w:rPr>
          <w:rFonts w:ascii="Arial" w:hAnsi="Arial" w:cs="Arial"/>
          <w:sz w:val="22"/>
          <w:szCs w:val="22"/>
          <w:lang w:val="fr-FR"/>
        </w:rPr>
        <w:t>d</w:t>
      </w:r>
      <w:r w:rsidRPr="00953B52">
        <w:rPr>
          <w:rFonts w:ascii="Arial" w:hAnsi="Arial" w:cs="Arial"/>
          <w:sz w:val="22"/>
          <w:szCs w:val="22"/>
          <w:lang w:val="fr-FR"/>
        </w:rPr>
        <w:t>érivé</w:t>
      </w:r>
      <w:r w:rsidR="00546B53" w:rsidRPr="00953B52">
        <w:rPr>
          <w:rFonts w:ascii="Arial" w:hAnsi="Arial" w:cs="Arial"/>
          <w:sz w:val="22"/>
          <w:szCs w:val="22"/>
          <w:lang w:val="fr-FR"/>
        </w:rPr>
        <w:t>s</w:t>
      </w:r>
      <w:r w:rsidR="00546B53">
        <w:rPr>
          <w:rFonts w:ascii="Arial" w:hAnsi="Arial" w:cs="Arial"/>
          <w:sz w:val="22"/>
          <w:szCs w:val="22"/>
          <w:lang w:val="fr-FR"/>
        </w:rPr>
        <w:t>”</w:t>
      </w:r>
      <w:r w:rsidRPr="00953B52">
        <w:rPr>
          <w:rFonts w:ascii="Arial" w:hAnsi="Arial" w:cs="Arial"/>
          <w:sz w:val="22"/>
          <w:szCs w:val="22"/>
          <w:lang w:val="fr-FR"/>
        </w:rPr>
        <w:t xml:space="preserve">. </w:t>
      </w:r>
      <w:r w:rsidR="00513138">
        <w:rPr>
          <w:rFonts w:ascii="Arial" w:hAnsi="Arial" w:cs="Arial"/>
          <w:sz w:val="22"/>
          <w:szCs w:val="22"/>
          <w:lang w:val="fr-FR"/>
        </w:rPr>
        <w:t xml:space="preserve"> </w:t>
      </w:r>
      <w:r w:rsidRPr="00953B52">
        <w:rPr>
          <w:rFonts w:ascii="Arial" w:hAnsi="Arial" w:cs="Arial"/>
          <w:sz w:val="22"/>
          <w:szCs w:val="22"/>
          <w:lang w:val="fr-FR"/>
        </w:rPr>
        <w:t>Du point de vue de la Suisse, il conviendrait de se pencher, dans ce contexte, sur les points suivants</w:t>
      </w:r>
      <w:r w:rsidR="00E84189">
        <w:rPr>
          <w:rFonts w:ascii="Arial" w:hAnsi="Arial" w:cs="Arial"/>
          <w:sz w:val="22"/>
          <w:szCs w:val="22"/>
          <w:lang w:val="fr-FR"/>
        </w:rPr>
        <w:t> :</w:t>
      </w:r>
    </w:p>
    <w:p w:rsidR="00546B53" w:rsidRPr="005C0BD9" w:rsidRDefault="005C0BD9" w:rsidP="005C0BD9">
      <w:pPr>
        <w:pStyle w:val="Heading3"/>
      </w:pPr>
      <w:bookmarkStart w:id="25" w:name="_Toc51243821"/>
      <w:r w:rsidRPr="005C0BD9">
        <w:t>a)</w:t>
      </w:r>
      <w:r w:rsidR="00CC5DF6" w:rsidRPr="005C0BD9">
        <w:tab/>
        <w:t>Aspects intangibles des ressources génétiques</w:t>
      </w:r>
      <w:bookmarkEnd w:id="25"/>
    </w:p>
    <w:p w:rsidR="00CC5DF6" w:rsidRPr="00953B52" w:rsidRDefault="00546B53" w:rsidP="005C0BD9">
      <w:pPr>
        <w:pStyle w:val="Text"/>
        <w:spacing w:after="80"/>
        <w:rPr>
          <w:rFonts w:ascii="Arial" w:hAnsi="Arial" w:cs="Arial"/>
          <w:sz w:val="22"/>
          <w:szCs w:val="22"/>
          <w:lang w:val="fr-FR"/>
        </w:rPr>
      </w:pPr>
      <w:r w:rsidRPr="00953B52">
        <w:rPr>
          <w:rFonts w:ascii="Arial" w:hAnsi="Arial" w:cs="Arial"/>
          <w:sz w:val="22"/>
          <w:szCs w:val="22"/>
          <w:lang w:val="fr-FR"/>
        </w:rPr>
        <w:t>En</w:t>
      </w:r>
      <w:r>
        <w:rPr>
          <w:rFonts w:ascii="Arial" w:hAnsi="Arial" w:cs="Arial"/>
          <w:sz w:val="22"/>
          <w:szCs w:val="22"/>
          <w:lang w:val="fr-FR"/>
        </w:rPr>
        <w:t> </w:t>
      </w:r>
      <w:r w:rsidRPr="00953B52">
        <w:rPr>
          <w:rFonts w:ascii="Arial" w:hAnsi="Arial" w:cs="Arial"/>
          <w:sz w:val="22"/>
          <w:szCs w:val="22"/>
          <w:lang w:val="fr-FR"/>
        </w:rPr>
        <w:t>2018</w:t>
      </w:r>
      <w:r w:rsidR="00CC5DF6" w:rsidRPr="00953B52">
        <w:rPr>
          <w:rFonts w:ascii="Arial" w:hAnsi="Arial" w:cs="Arial"/>
          <w:sz w:val="22"/>
          <w:szCs w:val="22"/>
          <w:lang w:val="fr-FR"/>
        </w:rPr>
        <w:t>,</w:t>
      </w:r>
      <w:r w:rsidRPr="00953B52">
        <w:rPr>
          <w:rFonts w:ascii="Arial" w:hAnsi="Arial" w:cs="Arial"/>
          <w:sz w:val="22"/>
          <w:szCs w:val="22"/>
          <w:lang w:val="fr-FR"/>
        </w:rPr>
        <w:t xml:space="preserve"> la</w:t>
      </w:r>
      <w:r>
        <w:rPr>
          <w:rFonts w:ascii="Arial" w:hAnsi="Arial" w:cs="Arial"/>
          <w:sz w:val="22"/>
          <w:szCs w:val="22"/>
          <w:lang w:val="fr-FR"/>
        </w:rPr>
        <w:t> </w:t>
      </w:r>
      <w:r w:rsidRPr="00953B52">
        <w:rPr>
          <w:rFonts w:ascii="Arial" w:hAnsi="Arial" w:cs="Arial"/>
          <w:sz w:val="22"/>
          <w:szCs w:val="22"/>
          <w:lang w:val="fr-FR"/>
        </w:rPr>
        <w:t>CDB</w:t>
      </w:r>
      <w:r w:rsidR="00CC5DF6" w:rsidRPr="00953B52">
        <w:rPr>
          <w:rFonts w:ascii="Arial" w:hAnsi="Arial" w:cs="Arial"/>
          <w:sz w:val="22"/>
          <w:szCs w:val="22"/>
          <w:lang w:val="fr-FR"/>
        </w:rPr>
        <w:t xml:space="preserve"> a mis en place un processus fondé sur la science et les politiques générales concernant les informations de séquençage numérique, et la Commission des ressources génétiques pour l</w:t>
      </w:r>
      <w:r w:rsidR="00E84189">
        <w:rPr>
          <w:rFonts w:ascii="Arial" w:hAnsi="Arial" w:cs="Arial"/>
          <w:sz w:val="22"/>
          <w:szCs w:val="22"/>
          <w:lang w:val="fr-FR"/>
        </w:rPr>
        <w:t>’</w:t>
      </w:r>
      <w:r w:rsidR="00CC5DF6" w:rsidRPr="00953B52">
        <w:rPr>
          <w:rFonts w:ascii="Arial" w:hAnsi="Arial" w:cs="Arial"/>
          <w:sz w:val="22"/>
          <w:szCs w:val="22"/>
          <w:lang w:val="fr-FR"/>
        </w:rPr>
        <w:t>alimentation et l</w:t>
      </w:r>
      <w:r w:rsidR="00E84189">
        <w:rPr>
          <w:rFonts w:ascii="Arial" w:hAnsi="Arial" w:cs="Arial"/>
          <w:sz w:val="22"/>
          <w:szCs w:val="22"/>
          <w:lang w:val="fr-FR"/>
        </w:rPr>
        <w:t>’</w:t>
      </w:r>
      <w:r w:rsidR="00CC5DF6" w:rsidRPr="00953B52">
        <w:rPr>
          <w:rFonts w:ascii="Arial" w:hAnsi="Arial" w:cs="Arial"/>
          <w:sz w:val="22"/>
          <w:szCs w:val="22"/>
          <w:lang w:val="fr-FR"/>
        </w:rPr>
        <w:t>agriculture (CRGAA) de</w:t>
      </w:r>
      <w:r w:rsidRPr="00953B52">
        <w:rPr>
          <w:rFonts w:ascii="Arial" w:hAnsi="Arial" w:cs="Arial"/>
          <w:sz w:val="22"/>
          <w:szCs w:val="22"/>
          <w:lang w:val="fr-FR"/>
        </w:rPr>
        <w:t xml:space="preserve"> la</w:t>
      </w:r>
      <w:r>
        <w:rPr>
          <w:rFonts w:ascii="Arial" w:hAnsi="Arial" w:cs="Arial"/>
          <w:sz w:val="22"/>
          <w:szCs w:val="22"/>
          <w:lang w:val="fr-FR"/>
        </w:rPr>
        <w:t> </w:t>
      </w:r>
      <w:r w:rsidRPr="00953B52">
        <w:rPr>
          <w:rFonts w:ascii="Arial" w:hAnsi="Arial" w:cs="Arial"/>
          <w:sz w:val="22"/>
          <w:szCs w:val="22"/>
          <w:lang w:val="fr-FR"/>
        </w:rPr>
        <w:t>FAO</w:t>
      </w:r>
      <w:r w:rsidR="00CC5DF6" w:rsidRPr="00953B52">
        <w:rPr>
          <w:rFonts w:ascii="Arial" w:hAnsi="Arial" w:cs="Arial"/>
          <w:sz w:val="22"/>
          <w:szCs w:val="22"/>
          <w:lang w:val="fr-FR"/>
        </w:rPr>
        <w:t xml:space="preserve"> a engagé des travaux similaires sur les ressources génétiques pour l</w:t>
      </w:r>
      <w:r w:rsidR="00E84189">
        <w:rPr>
          <w:rFonts w:ascii="Arial" w:hAnsi="Arial" w:cs="Arial"/>
          <w:sz w:val="22"/>
          <w:szCs w:val="22"/>
          <w:lang w:val="fr-FR"/>
        </w:rPr>
        <w:t>’</w:t>
      </w:r>
      <w:r w:rsidR="00CC5DF6" w:rsidRPr="00953B52">
        <w:rPr>
          <w:rFonts w:ascii="Arial" w:hAnsi="Arial" w:cs="Arial"/>
          <w:sz w:val="22"/>
          <w:szCs w:val="22"/>
          <w:lang w:val="fr-FR"/>
        </w:rPr>
        <w:t>alimentation et l</w:t>
      </w:r>
      <w:r w:rsidR="00E84189">
        <w:rPr>
          <w:rFonts w:ascii="Arial" w:hAnsi="Arial" w:cs="Arial"/>
          <w:sz w:val="22"/>
          <w:szCs w:val="22"/>
          <w:lang w:val="fr-FR"/>
        </w:rPr>
        <w:t>’</w:t>
      </w:r>
      <w:r w:rsidR="00CC5DF6" w:rsidRPr="00953B52">
        <w:rPr>
          <w:rFonts w:ascii="Arial" w:hAnsi="Arial" w:cs="Arial"/>
          <w:sz w:val="22"/>
          <w:szCs w:val="22"/>
          <w:lang w:val="fr-FR"/>
        </w:rPr>
        <w:t>agricultu</w:t>
      </w:r>
      <w:r w:rsidR="0003571D" w:rsidRPr="00953B52">
        <w:rPr>
          <w:rFonts w:ascii="Arial" w:hAnsi="Arial" w:cs="Arial"/>
          <w:sz w:val="22"/>
          <w:szCs w:val="22"/>
          <w:lang w:val="fr-FR"/>
        </w:rPr>
        <w:t>re</w:t>
      </w:r>
      <w:r w:rsidR="0003571D">
        <w:rPr>
          <w:rFonts w:ascii="Arial" w:hAnsi="Arial" w:cs="Arial"/>
          <w:sz w:val="22"/>
          <w:szCs w:val="22"/>
          <w:lang w:val="fr-FR"/>
        </w:rPr>
        <w:t xml:space="preserve">.  </w:t>
      </w:r>
      <w:r w:rsidR="0003571D" w:rsidRPr="00953B52">
        <w:rPr>
          <w:rFonts w:ascii="Arial" w:hAnsi="Arial" w:cs="Arial"/>
          <w:sz w:val="22"/>
          <w:szCs w:val="22"/>
          <w:lang w:val="fr-FR"/>
        </w:rPr>
        <w:t>Le</w:t>
      </w:r>
      <w:r w:rsidR="00CC5DF6" w:rsidRPr="00953B52">
        <w:rPr>
          <w:rFonts w:ascii="Arial" w:hAnsi="Arial" w:cs="Arial"/>
          <w:sz w:val="22"/>
          <w:szCs w:val="22"/>
          <w:lang w:val="fr-FR"/>
        </w:rPr>
        <w:t>s études menées par</w:t>
      </w:r>
      <w:r w:rsidRPr="00953B52">
        <w:rPr>
          <w:rFonts w:ascii="Arial" w:hAnsi="Arial" w:cs="Arial"/>
          <w:sz w:val="22"/>
          <w:szCs w:val="22"/>
          <w:lang w:val="fr-FR"/>
        </w:rPr>
        <w:t xml:space="preserve"> la</w:t>
      </w:r>
      <w:r>
        <w:rPr>
          <w:rFonts w:ascii="Arial" w:hAnsi="Arial" w:cs="Arial"/>
          <w:sz w:val="22"/>
          <w:szCs w:val="22"/>
          <w:lang w:val="fr-FR"/>
        </w:rPr>
        <w:t> </w:t>
      </w:r>
      <w:r w:rsidRPr="00953B52">
        <w:rPr>
          <w:rFonts w:ascii="Arial" w:hAnsi="Arial" w:cs="Arial"/>
          <w:sz w:val="22"/>
          <w:szCs w:val="22"/>
          <w:lang w:val="fr-FR"/>
        </w:rPr>
        <w:t>CDB</w:t>
      </w:r>
      <w:r w:rsidR="00CC5DF6" w:rsidRPr="00953B52">
        <w:rPr>
          <w:rFonts w:ascii="Arial" w:hAnsi="Arial" w:cs="Arial"/>
          <w:sz w:val="22"/>
          <w:szCs w:val="22"/>
          <w:lang w:val="fr-FR"/>
        </w:rPr>
        <w:t xml:space="preserve"> illustrent la complexité et les incertitudes liées aux informations de séquençage numérique, notamment parce qu</w:t>
      </w:r>
      <w:r w:rsidR="00E84189">
        <w:rPr>
          <w:rFonts w:ascii="Arial" w:hAnsi="Arial" w:cs="Arial"/>
          <w:sz w:val="22"/>
          <w:szCs w:val="22"/>
          <w:lang w:val="fr-FR"/>
        </w:rPr>
        <w:t>’</w:t>
      </w:r>
      <w:r w:rsidR="00CC5DF6" w:rsidRPr="00953B52">
        <w:rPr>
          <w:rFonts w:ascii="Arial" w:hAnsi="Arial" w:cs="Arial"/>
          <w:sz w:val="22"/>
          <w:szCs w:val="22"/>
          <w:lang w:val="fr-FR"/>
        </w:rPr>
        <w:t>il n</w:t>
      </w:r>
      <w:r w:rsidR="00E84189">
        <w:rPr>
          <w:rFonts w:ascii="Arial" w:hAnsi="Arial" w:cs="Arial"/>
          <w:sz w:val="22"/>
          <w:szCs w:val="22"/>
          <w:lang w:val="fr-FR"/>
        </w:rPr>
        <w:t>’</w:t>
      </w:r>
      <w:r w:rsidR="00CC5DF6" w:rsidRPr="00953B52">
        <w:rPr>
          <w:rFonts w:ascii="Arial" w:hAnsi="Arial" w:cs="Arial"/>
          <w:sz w:val="22"/>
          <w:szCs w:val="22"/>
          <w:lang w:val="fr-FR"/>
        </w:rPr>
        <w:t>existe pas de terminologie précise à ce sujet ni de communauté de vues sur ces concepts</w:t>
      </w:r>
      <w:r w:rsidR="00CC5DF6" w:rsidRPr="00953B52">
        <w:rPr>
          <w:rStyle w:val="FootnoteReference"/>
          <w:rFonts w:ascii="Arial" w:hAnsi="Arial" w:cs="Arial"/>
          <w:sz w:val="22"/>
          <w:szCs w:val="22"/>
          <w:lang w:val="fr-FR"/>
        </w:rPr>
        <w:footnoteReference w:id="13"/>
      </w:r>
      <w:r w:rsidR="00095B51">
        <w:rPr>
          <w:rFonts w:ascii="Arial" w:hAnsi="Arial" w:cs="Arial"/>
          <w:sz w:val="22"/>
          <w:szCs w:val="22"/>
          <w:lang w:val="fr-FR"/>
        </w:rPr>
        <w:t xml:space="preserve">. </w:t>
      </w:r>
      <w:r w:rsidR="00CC5DF6" w:rsidRPr="00953B52">
        <w:rPr>
          <w:rFonts w:ascii="Arial" w:hAnsi="Arial" w:cs="Arial"/>
          <w:sz w:val="22"/>
          <w:szCs w:val="22"/>
          <w:lang w:val="fr-FR"/>
        </w:rPr>
        <w:t xml:space="preserve"> Certaines conclusions de ces études nous semblent également pertinentes dans le contexte d</w:t>
      </w:r>
      <w:r w:rsidR="00E84189">
        <w:rPr>
          <w:rFonts w:ascii="Arial" w:hAnsi="Arial" w:cs="Arial"/>
          <w:sz w:val="22"/>
          <w:szCs w:val="22"/>
          <w:lang w:val="fr-FR"/>
        </w:rPr>
        <w:t>’</w:t>
      </w:r>
      <w:r w:rsidR="00CC5DF6" w:rsidRPr="00953B52">
        <w:rPr>
          <w:rFonts w:ascii="Arial" w:hAnsi="Arial" w:cs="Arial"/>
          <w:sz w:val="22"/>
          <w:szCs w:val="22"/>
          <w:lang w:val="fr-FR"/>
        </w:rPr>
        <w:t xml:space="preserve">une exigence de divulgation en matière de brevets, </w:t>
      </w:r>
      <w:r w:rsidR="00E84189">
        <w:rPr>
          <w:rFonts w:ascii="Arial" w:hAnsi="Arial" w:cs="Arial"/>
          <w:sz w:val="22"/>
          <w:szCs w:val="22"/>
          <w:lang w:val="fr-FR"/>
        </w:rPr>
        <w:t>à savoir :</w:t>
      </w:r>
    </w:p>
    <w:p w:rsidR="00CC5DF6" w:rsidRPr="00953B52" w:rsidRDefault="00CC5DF6" w:rsidP="005C0BD9">
      <w:pPr>
        <w:pStyle w:val="Text"/>
        <w:numPr>
          <w:ilvl w:val="0"/>
          <w:numId w:val="22"/>
        </w:numPr>
        <w:spacing w:after="160"/>
        <w:ind w:left="1134" w:hanging="567"/>
        <w:rPr>
          <w:rFonts w:ascii="Arial" w:hAnsi="Arial" w:cs="Arial"/>
          <w:sz w:val="22"/>
          <w:szCs w:val="22"/>
          <w:lang w:val="fr-FR"/>
        </w:rPr>
      </w:pPr>
      <w:r w:rsidRPr="00953B52">
        <w:rPr>
          <w:rFonts w:ascii="Arial" w:hAnsi="Arial" w:cs="Arial"/>
          <w:sz w:val="22"/>
          <w:szCs w:val="22"/>
          <w:lang w:val="fr-FR"/>
        </w:rPr>
        <w:t>les données sur les séquences génétiques sont stockées dans un grand nombre de bases de données différentes</w:t>
      </w:r>
      <w:r w:rsidRPr="00953B52">
        <w:rPr>
          <w:rStyle w:val="FootnoteReference"/>
          <w:rFonts w:ascii="Arial" w:hAnsi="Arial" w:cs="Arial"/>
          <w:sz w:val="22"/>
          <w:szCs w:val="22"/>
          <w:lang w:val="fr-FR"/>
        </w:rPr>
        <w:footnoteReference w:id="14"/>
      </w:r>
      <w:r w:rsidR="00095B51" w:rsidRPr="00953B52">
        <w:rPr>
          <w:rFonts w:ascii="Arial" w:hAnsi="Arial" w:cs="Arial"/>
          <w:sz w:val="22"/>
          <w:szCs w:val="22"/>
          <w:lang w:val="fr-FR"/>
        </w:rPr>
        <w:t>;</w:t>
      </w:r>
    </w:p>
    <w:p w:rsidR="00CC5DF6" w:rsidRPr="00953B52" w:rsidRDefault="00CC5DF6" w:rsidP="005C0BD9">
      <w:pPr>
        <w:pStyle w:val="Text"/>
        <w:numPr>
          <w:ilvl w:val="0"/>
          <w:numId w:val="22"/>
        </w:numPr>
        <w:spacing w:after="160"/>
        <w:ind w:left="1134" w:hanging="567"/>
        <w:rPr>
          <w:rFonts w:ascii="Arial" w:hAnsi="Arial" w:cs="Arial"/>
          <w:sz w:val="22"/>
          <w:szCs w:val="22"/>
          <w:lang w:val="fr-FR"/>
        </w:rPr>
      </w:pPr>
      <w:r w:rsidRPr="00953B52">
        <w:rPr>
          <w:rFonts w:ascii="Arial" w:hAnsi="Arial" w:cs="Arial"/>
          <w:sz w:val="22"/>
          <w:szCs w:val="22"/>
          <w:lang w:val="fr-FR"/>
        </w:rPr>
        <w:t>la possibilité de retrouver les données de séquences génétiques correspondant aux ressources génétiques tangibles spécifiques à partir desquelles elles ont été générées et correspondant par ailleurs à la source ou à l</w:t>
      </w:r>
      <w:r w:rsidR="00E84189">
        <w:rPr>
          <w:rFonts w:ascii="Arial" w:hAnsi="Arial" w:cs="Arial"/>
          <w:sz w:val="22"/>
          <w:szCs w:val="22"/>
          <w:lang w:val="fr-FR"/>
        </w:rPr>
        <w:t>’</w:t>
      </w:r>
      <w:r w:rsidRPr="00953B52">
        <w:rPr>
          <w:rFonts w:ascii="Arial" w:hAnsi="Arial" w:cs="Arial"/>
          <w:sz w:val="22"/>
          <w:szCs w:val="22"/>
          <w:lang w:val="fr-FR"/>
        </w:rPr>
        <w:t>origine spécifique de ces ressources génétiques dépend de plusieurs paramètres différents</w:t>
      </w:r>
      <w:r w:rsidRPr="00953B52">
        <w:rPr>
          <w:rStyle w:val="FootnoteReference"/>
          <w:rFonts w:ascii="Arial" w:hAnsi="Arial" w:cs="Arial"/>
          <w:sz w:val="22"/>
          <w:szCs w:val="22"/>
          <w:lang w:val="fr-FR"/>
        </w:rPr>
        <w:footnoteReference w:id="15"/>
      </w:r>
      <w:r w:rsidR="00095B51" w:rsidRPr="00953B52">
        <w:rPr>
          <w:rFonts w:ascii="Arial" w:hAnsi="Arial" w:cs="Arial"/>
          <w:sz w:val="22"/>
          <w:szCs w:val="22"/>
          <w:lang w:val="fr-FR"/>
        </w:rPr>
        <w:t>.</w:t>
      </w:r>
    </w:p>
    <w:p w:rsidR="00CC5DF6" w:rsidRPr="00953B52" w:rsidRDefault="00CC5DF6" w:rsidP="005C0BD9">
      <w:pPr>
        <w:pStyle w:val="Text"/>
        <w:spacing w:after="80"/>
        <w:rPr>
          <w:rFonts w:ascii="Arial" w:hAnsi="Arial" w:cs="Arial"/>
          <w:sz w:val="22"/>
          <w:szCs w:val="22"/>
          <w:lang w:val="fr-FR"/>
        </w:rPr>
      </w:pPr>
      <w:r w:rsidRPr="00953B52">
        <w:rPr>
          <w:rFonts w:ascii="Arial" w:hAnsi="Arial" w:cs="Arial"/>
          <w:sz w:val="22"/>
          <w:szCs w:val="22"/>
          <w:lang w:val="fr-FR"/>
        </w:rPr>
        <w:t>En outre, dans le contexte d</w:t>
      </w:r>
      <w:r w:rsidR="00E84189">
        <w:rPr>
          <w:rFonts w:ascii="Arial" w:hAnsi="Arial" w:cs="Arial"/>
          <w:sz w:val="22"/>
          <w:szCs w:val="22"/>
          <w:lang w:val="fr-FR"/>
        </w:rPr>
        <w:t>’</w:t>
      </w:r>
      <w:r w:rsidRPr="00953B52">
        <w:rPr>
          <w:rFonts w:ascii="Arial" w:hAnsi="Arial" w:cs="Arial"/>
          <w:sz w:val="22"/>
          <w:szCs w:val="22"/>
          <w:lang w:val="fr-FR"/>
        </w:rPr>
        <w:t>exigences de divulgation en matière de brevets, il est important aussi de noter que</w:t>
      </w:r>
      <w:r w:rsidR="00E84189">
        <w:rPr>
          <w:rFonts w:ascii="Arial" w:hAnsi="Arial" w:cs="Arial"/>
          <w:sz w:val="22"/>
          <w:szCs w:val="22"/>
          <w:lang w:val="fr-FR"/>
        </w:rPr>
        <w:t> :</w:t>
      </w:r>
    </w:p>
    <w:p w:rsidR="00CC5DF6" w:rsidRPr="00953B52" w:rsidRDefault="00CC5DF6" w:rsidP="005C0BD9">
      <w:pPr>
        <w:pStyle w:val="Text"/>
        <w:numPr>
          <w:ilvl w:val="0"/>
          <w:numId w:val="20"/>
        </w:numPr>
        <w:spacing w:after="80"/>
        <w:ind w:left="1134" w:hanging="567"/>
        <w:rPr>
          <w:rFonts w:ascii="Arial" w:hAnsi="Arial" w:cs="Arial"/>
          <w:sz w:val="22"/>
          <w:szCs w:val="22"/>
          <w:lang w:val="fr-FR"/>
        </w:rPr>
      </w:pPr>
      <w:r w:rsidRPr="00953B52">
        <w:rPr>
          <w:rFonts w:ascii="Arial" w:hAnsi="Arial" w:cs="Arial"/>
          <w:sz w:val="22"/>
          <w:szCs w:val="22"/>
          <w:lang w:val="fr-FR"/>
        </w:rPr>
        <w:t>les séquences génétiques existant à l</w:t>
      </w:r>
      <w:r w:rsidR="00E84189">
        <w:rPr>
          <w:rFonts w:ascii="Arial" w:hAnsi="Arial" w:cs="Arial"/>
          <w:sz w:val="22"/>
          <w:szCs w:val="22"/>
          <w:lang w:val="fr-FR"/>
        </w:rPr>
        <w:t>’</w:t>
      </w:r>
      <w:r w:rsidRPr="00953B52">
        <w:rPr>
          <w:rFonts w:ascii="Arial" w:hAnsi="Arial" w:cs="Arial"/>
          <w:sz w:val="22"/>
          <w:szCs w:val="22"/>
          <w:lang w:val="fr-FR"/>
        </w:rPr>
        <w:t>état naturel ne sont pas brevetables en tant que telles dans un grand nombre de pays</w:t>
      </w:r>
      <w:r w:rsidRPr="00953B52">
        <w:rPr>
          <w:rStyle w:val="FootnoteReference"/>
          <w:rFonts w:ascii="Arial" w:hAnsi="Arial" w:cs="Arial"/>
          <w:sz w:val="22"/>
          <w:szCs w:val="22"/>
          <w:lang w:val="fr-FR"/>
        </w:rPr>
        <w:footnoteReference w:id="16"/>
      </w:r>
      <w:r w:rsidR="00095B51">
        <w:rPr>
          <w:rFonts w:ascii="Arial" w:hAnsi="Arial" w:cs="Arial"/>
          <w:sz w:val="22"/>
          <w:szCs w:val="22"/>
          <w:lang w:val="fr-FR"/>
        </w:rPr>
        <w:t xml:space="preserve">; </w:t>
      </w:r>
      <w:r w:rsidRPr="00953B52">
        <w:rPr>
          <w:rFonts w:ascii="Arial" w:hAnsi="Arial" w:cs="Arial"/>
          <w:sz w:val="22"/>
          <w:szCs w:val="22"/>
          <w:lang w:val="fr-FR"/>
        </w:rPr>
        <w:t xml:space="preserve"> en outre, les séquences génétiques figurant dans les descriptions de brevets ne sont pas nécessairement </w:t>
      </w:r>
      <w:r w:rsidR="00546B53">
        <w:rPr>
          <w:rFonts w:ascii="Arial" w:hAnsi="Arial" w:cs="Arial"/>
          <w:sz w:val="22"/>
          <w:szCs w:val="22"/>
          <w:lang w:val="fr-FR"/>
        </w:rPr>
        <w:t>“</w:t>
      </w:r>
      <w:r w:rsidR="00546B53" w:rsidRPr="00953B52">
        <w:rPr>
          <w:rFonts w:ascii="Arial" w:hAnsi="Arial" w:cs="Arial"/>
          <w:sz w:val="22"/>
          <w:szCs w:val="22"/>
          <w:lang w:val="fr-FR"/>
        </w:rPr>
        <w:t>b</w:t>
      </w:r>
      <w:r w:rsidRPr="00953B52">
        <w:rPr>
          <w:rFonts w:ascii="Arial" w:hAnsi="Arial" w:cs="Arial"/>
          <w:sz w:val="22"/>
          <w:szCs w:val="22"/>
          <w:lang w:val="fr-FR"/>
        </w:rPr>
        <w:t>revetée</w:t>
      </w:r>
      <w:r w:rsidR="00546B53" w:rsidRPr="00953B52">
        <w:rPr>
          <w:rFonts w:ascii="Arial" w:hAnsi="Arial" w:cs="Arial"/>
          <w:sz w:val="22"/>
          <w:szCs w:val="22"/>
          <w:lang w:val="fr-FR"/>
        </w:rPr>
        <w:t>s</w:t>
      </w:r>
      <w:r w:rsidR="00546B53">
        <w:rPr>
          <w:rFonts w:ascii="Arial" w:hAnsi="Arial" w:cs="Arial"/>
          <w:sz w:val="22"/>
          <w:szCs w:val="22"/>
          <w:lang w:val="fr-FR"/>
        </w:rPr>
        <w:t>”</w:t>
      </w:r>
      <w:r w:rsidRPr="00953B52">
        <w:rPr>
          <w:rFonts w:ascii="Arial" w:hAnsi="Arial" w:cs="Arial"/>
          <w:sz w:val="22"/>
          <w:szCs w:val="22"/>
          <w:lang w:val="fr-FR"/>
        </w:rPr>
        <w:t xml:space="preserve"> en soi; </w:t>
      </w:r>
      <w:r w:rsidR="00095B51">
        <w:rPr>
          <w:rFonts w:ascii="Arial" w:hAnsi="Arial" w:cs="Arial"/>
          <w:sz w:val="22"/>
          <w:szCs w:val="22"/>
          <w:lang w:val="fr-FR"/>
        </w:rPr>
        <w:t xml:space="preserve"> </w:t>
      </w:r>
      <w:r w:rsidRPr="00953B52">
        <w:rPr>
          <w:rFonts w:ascii="Arial" w:hAnsi="Arial" w:cs="Arial"/>
          <w:sz w:val="22"/>
          <w:szCs w:val="22"/>
          <w:lang w:val="fr-FR"/>
        </w:rPr>
        <w:t>elles peuvent être seulement divulguées car elles doivent permettre à une personne du métier de réaliser l</w:t>
      </w:r>
      <w:r w:rsidR="00E84189">
        <w:rPr>
          <w:rFonts w:ascii="Arial" w:hAnsi="Arial" w:cs="Arial"/>
          <w:sz w:val="22"/>
          <w:szCs w:val="22"/>
          <w:lang w:val="fr-FR"/>
        </w:rPr>
        <w:t>’</w:t>
      </w:r>
      <w:r w:rsidRPr="00953B52">
        <w:rPr>
          <w:rFonts w:ascii="Arial" w:hAnsi="Arial" w:cs="Arial"/>
          <w:sz w:val="22"/>
          <w:szCs w:val="22"/>
          <w:lang w:val="fr-FR"/>
        </w:rPr>
        <w:t>invention;</w:t>
      </w:r>
    </w:p>
    <w:p w:rsidR="00546B53" w:rsidRDefault="00CC5DF6" w:rsidP="005C0BD9">
      <w:pPr>
        <w:pStyle w:val="Text"/>
        <w:numPr>
          <w:ilvl w:val="0"/>
          <w:numId w:val="20"/>
        </w:numPr>
        <w:spacing w:after="80"/>
        <w:ind w:left="1134" w:hanging="567"/>
        <w:rPr>
          <w:rFonts w:ascii="Arial" w:hAnsi="Arial" w:cs="Arial"/>
          <w:sz w:val="22"/>
          <w:szCs w:val="22"/>
          <w:lang w:val="fr-FR"/>
        </w:rPr>
      </w:pPr>
      <w:r w:rsidRPr="00953B52">
        <w:rPr>
          <w:rFonts w:ascii="Arial" w:hAnsi="Arial" w:cs="Arial"/>
          <w:sz w:val="22"/>
          <w:szCs w:val="22"/>
          <w:lang w:val="fr-FR"/>
        </w:rPr>
        <w:t>en outre, appliquer une exigence de divulgation en matière de brevets à des données concernant des séquences génétiques ou à tout autre type d</w:t>
      </w:r>
      <w:r w:rsidR="00E84189">
        <w:rPr>
          <w:rFonts w:ascii="Arial" w:hAnsi="Arial" w:cs="Arial"/>
          <w:sz w:val="22"/>
          <w:szCs w:val="22"/>
          <w:lang w:val="fr-FR"/>
        </w:rPr>
        <w:t>’</w:t>
      </w:r>
      <w:r w:rsidRPr="00953B52">
        <w:rPr>
          <w:rFonts w:ascii="Arial" w:hAnsi="Arial" w:cs="Arial"/>
          <w:sz w:val="22"/>
          <w:szCs w:val="22"/>
          <w:lang w:val="fr-FR"/>
        </w:rPr>
        <w:t>information de séquençage numérique n</w:t>
      </w:r>
      <w:r w:rsidR="00E84189">
        <w:rPr>
          <w:rFonts w:ascii="Arial" w:hAnsi="Arial" w:cs="Arial"/>
          <w:sz w:val="22"/>
          <w:szCs w:val="22"/>
          <w:lang w:val="fr-FR"/>
        </w:rPr>
        <w:t>’</w:t>
      </w:r>
      <w:r w:rsidRPr="00953B52">
        <w:rPr>
          <w:rFonts w:ascii="Arial" w:hAnsi="Arial" w:cs="Arial"/>
          <w:sz w:val="22"/>
          <w:szCs w:val="22"/>
          <w:lang w:val="fr-FR"/>
        </w:rPr>
        <w:t xml:space="preserve">apporte généralement pas plus de transparence </w:t>
      </w:r>
      <w:r w:rsidR="00E84189">
        <w:rPr>
          <w:rFonts w:ascii="Arial" w:hAnsi="Arial" w:cs="Arial"/>
          <w:sz w:val="22"/>
          <w:szCs w:val="22"/>
          <w:lang w:val="fr-FR"/>
        </w:rPr>
        <w:t>à l’égard</w:t>
      </w:r>
      <w:r w:rsidRPr="00953B52">
        <w:rPr>
          <w:rFonts w:ascii="Arial" w:hAnsi="Arial" w:cs="Arial"/>
          <w:sz w:val="22"/>
          <w:szCs w:val="22"/>
          <w:lang w:val="fr-FR"/>
        </w:rPr>
        <w:t xml:space="preserve"> des ressources génétiques tangibles, qui, à notre avis, devraient être l</w:t>
      </w:r>
      <w:r w:rsidR="00E84189">
        <w:rPr>
          <w:rFonts w:ascii="Arial" w:hAnsi="Arial" w:cs="Arial"/>
          <w:sz w:val="22"/>
          <w:szCs w:val="22"/>
          <w:lang w:val="fr-FR"/>
        </w:rPr>
        <w:t>’</w:t>
      </w:r>
      <w:r w:rsidRPr="00953B52">
        <w:rPr>
          <w:rFonts w:ascii="Arial" w:hAnsi="Arial" w:cs="Arial"/>
          <w:sz w:val="22"/>
          <w:szCs w:val="22"/>
          <w:lang w:val="fr-FR"/>
        </w:rPr>
        <w:t>objet sur lequel porte l</w:t>
      </w:r>
      <w:r w:rsidR="00E84189">
        <w:rPr>
          <w:rFonts w:ascii="Arial" w:hAnsi="Arial" w:cs="Arial"/>
          <w:sz w:val="22"/>
          <w:szCs w:val="22"/>
          <w:lang w:val="fr-FR"/>
        </w:rPr>
        <w:t>’</w:t>
      </w:r>
      <w:r w:rsidRPr="00953B52">
        <w:rPr>
          <w:rFonts w:ascii="Arial" w:hAnsi="Arial" w:cs="Arial"/>
          <w:sz w:val="22"/>
          <w:szCs w:val="22"/>
          <w:lang w:val="fr-FR"/>
        </w:rPr>
        <w:t>exigence de divulgation</w:t>
      </w:r>
      <w:r w:rsidR="00E84189">
        <w:rPr>
          <w:rFonts w:ascii="Arial" w:hAnsi="Arial" w:cs="Arial"/>
          <w:sz w:val="22"/>
          <w:szCs w:val="22"/>
          <w:lang w:val="fr-FR"/>
        </w:rPr>
        <w:t> :</w:t>
      </w:r>
      <w:r w:rsidRPr="00953B52">
        <w:rPr>
          <w:rFonts w:ascii="Arial" w:hAnsi="Arial" w:cs="Arial"/>
          <w:sz w:val="22"/>
          <w:szCs w:val="22"/>
          <w:lang w:val="fr-FR"/>
        </w:rPr>
        <w:t xml:space="preserve"> 1) toutes les entrées correspondant à des séquences génétiques dans des bases de données ne sont pas liées à une source ou origine spécifique des ressources génétiques tangibles; </w:t>
      </w:r>
      <w:r w:rsidR="00095B51">
        <w:rPr>
          <w:rFonts w:ascii="Arial" w:hAnsi="Arial" w:cs="Arial"/>
          <w:sz w:val="22"/>
          <w:szCs w:val="22"/>
          <w:lang w:val="fr-FR"/>
        </w:rPr>
        <w:t xml:space="preserve"> </w:t>
      </w:r>
      <w:r w:rsidRPr="00953B52">
        <w:rPr>
          <w:rFonts w:ascii="Arial" w:hAnsi="Arial" w:cs="Arial"/>
          <w:sz w:val="22"/>
          <w:szCs w:val="22"/>
          <w:lang w:val="fr-FR"/>
        </w:rPr>
        <w:t xml:space="preserve">2) les séquences génétiques ne sont souvent pas les seules à correspondre à une ressource génétique spécifique; </w:t>
      </w:r>
      <w:r w:rsidR="00095B51">
        <w:rPr>
          <w:rFonts w:ascii="Arial" w:hAnsi="Arial" w:cs="Arial"/>
          <w:sz w:val="22"/>
          <w:szCs w:val="22"/>
          <w:lang w:val="fr-FR"/>
        </w:rPr>
        <w:t xml:space="preserve"> </w:t>
      </w:r>
      <w:r w:rsidRPr="00953B52">
        <w:rPr>
          <w:rFonts w:ascii="Arial" w:hAnsi="Arial" w:cs="Arial"/>
          <w:sz w:val="22"/>
          <w:szCs w:val="22"/>
          <w:lang w:val="fr-FR"/>
        </w:rPr>
        <w:t>il peut y avoir des séquences génétiques identiques ou très similaires dans différentes ressources génétiques</w:t>
      </w:r>
      <w:r w:rsidRPr="00953B52">
        <w:rPr>
          <w:rStyle w:val="FootnoteReference"/>
          <w:rFonts w:ascii="Arial" w:hAnsi="Arial" w:cs="Arial"/>
          <w:sz w:val="22"/>
          <w:szCs w:val="22"/>
          <w:lang w:val="fr-FR"/>
        </w:rPr>
        <w:footnoteReference w:id="17"/>
      </w:r>
      <w:r w:rsidR="00095B51">
        <w:rPr>
          <w:rFonts w:ascii="Arial" w:hAnsi="Arial" w:cs="Arial"/>
          <w:sz w:val="22"/>
          <w:szCs w:val="22"/>
          <w:lang w:val="fr-FR"/>
        </w:rPr>
        <w:t xml:space="preserve">; </w:t>
      </w:r>
      <w:r w:rsidR="00502EE7">
        <w:rPr>
          <w:rFonts w:ascii="Arial" w:hAnsi="Arial" w:cs="Arial"/>
          <w:sz w:val="22"/>
          <w:szCs w:val="22"/>
          <w:lang w:val="fr-FR"/>
        </w:rPr>
        <w:t xml:space="preserve"> et </w:t>
      </w:r>
      <w:r w:rsidRPr="00953B52">
        <w:rPr>
          <w:rFonts w:ascii="Arial" w:hAnsi="Arial" w:cs="Arial"/>
          <w:sz w:val="22"/>
          <w:szCs w:val="22"/>
          <w:lang w:val="fr-FR"/>
        </w:rPr>
        <w:t xml:space="preserve">3) une </w:t>
      </w:r>
      <w:r w:rsidRPr="00953B52">
        <w:rPr>
          <w:rFonts w:ascii="Arial" w:hAnsi="Arial" w:cs="Arial"/>
          <w:sz w:val="22"/>
          <w:szCs w:val="22"/>
          <w:lang w:val="fr-FR"/>
        </w:rPr>
        <w:lastRenderedPageBreak/>
        <w:t>séquence génétique spécifique peut avoir été séquencée de nombreuses fois, donnant lieu à plusieurs entrées de la même séquence génétique ou d</w:t>
      </w:r>
      <w:r w:rsidR="00E84189">
        <w:rPr>
          <w:rFonts w:ascii="Arial" w:hAnsi="Arial" w:cs="Arial"/>
          <w:sz w:val="22"/>
          <w:szCs w:val="22"/>
          <w:lang w:val="fr-FR"/>
        </w:rPr>
        <w:t>’</w:t>
      </w:r>
      <w:r w:rsidRPr="00953B52">
        <w:rPr>
          <w:rFonts w:ascii="Arial" w:hAnsi="Arial" w:cs="Arial"/>
          <w:sz w:val="22"/>
          <w:szCs w:val="22"/>
          <w:lang w:val="fr-FR"/>
        </w:rPr>
        <w:t>une séquence génétique similaire dans une base de données spécifique</w:t>
      </w:r>
      <w:r w:rsidRPr="00953B52">
        <w:rPr>
          <w:rStyle w:val="FootnoteReference"/>
          <w:rFonts w:ascii="Arial" w:hAnsi="Arial" w:cs="Arial"/>
          <w:sz w:val="22"/>
          <w:szCs w:val="22"/>
          <w:lang w:val="fr-FR"/>
        </w:rPr>
        <w:footnoteReference w:id="18"/>
      </w:r>
      <w:r w:rsidR="00095B51">
        <w:rPr>
          <w:rFonts w:ascii="Arial" w:hAnsi="Arial" w:cs="Arial"/>
          <w:sz w:val="22"/>
          <w:szCs w:val="22"/>
          <w:lang w:val="fr-FR"/>
        </w:rPr>
        <w:t xml:space="preserve">; </w:t>
      </w:r>
      <w:r w:rsidRPr="00953B52">
        <w:rPr>
          <w:rFonts w:ascii="Arial" w:hAnsi="Arial" w:cs="Arial"/>
          <w:sz w:val="22"/>
          <w:szCs w:val="22"/>
          <w:lang w:val="fr-FR"/>
        </w:rPr>
        <w:t xml:space="preserve"> pour toutes ces raisons, un demandeur de brevet ne sait pas forcément à partir de quelle ressource génétique la séquence génétique a été générée pour la première fois;</w:t>
      </w:r>
    </w:p>
    <w:p w:rsidR="00CC5DF6" w:rsidRPr="00953B52" w:rsidRDefault="00CC5DF6" w:rsidP="005C0BD9">
      <w:pPr>
        <w:pStyle w:val="Text"/>
        <w:numPr>
          <w:ilvl w:val="0"/>
          <w:numId w:val="23"/>
        </w:numPr>
        <w:spacing w:after="160"/>
        <w:ind w:left="1134" w:hanging="567"/>
        <w:rPr>
          <w:rFonts w:ascii="Arial" w:hAnsi="Arial" w:cs="Arial"/>
          <w:sz w:val="22"/>
          <w:szCs w:val="22"/>
          <w:lang w:val="fr-FR"/>
        </w:rPr>
      </w:pPr>
      <w:r w:rsidRPr="00953B52">
        <w:rPr>
          <w:rFonts w:ascii="Arial" w:hAnsi="Arial" w:cs="Arial"/>
          <w:sz w:val="22"/>
          <w:szCs w:val="22"/>
          <w:lang w:val="fr-FR"/>
        </w:rPr>
        <w:t>enfin, appliquer une exigence de divulgation en matière de brevets à des données de séquences génétiques ou à tout autre type d</w:t>
      </w:r>
      <w:r w:rsidR="00E84189">
        <w:rPr>
          <w:rFonts w:ascii="Arial" w:hAnsi="Arial" w:cs="Arial"/>
          <w:sz w:val="22"/>
          <w:szCs w:val="22"/>
          <w:lang w:val="fr-FR"/>
        </w:rPr>
        <w:t>’</w:t>
      </w:r>
      <w:r w:rsidRPr="00953B52">
        <w:rPr>
          <w:rFonts w:ascii="Arial" w:hAnsi="Arial" w:cs="Arial"/>
          <w:sz w:val="22"/>
          <w:szCs w:val="22"/>
          <w:lang w:val="fr-FR"/>
        </w:rPr>
        <w:t>information de séquençage numérique entraînerait des difficultés juridiques et pratiques considérables, parce que dans son invention, souvent l</w:t>
      </w:r>
      <w:r w:rsidR="00E84189">
        <w:rPr>
          <w:rFonts w:ascii="Arial" w:hAnsi="Arial" w:cs="Arial"/>
          <w:sz w:val="22"/>
          <w:szCs w:val="22"/>
          <w:lang w:val="fr-FR"/>
        </w:rPr>
        <w:t>’</w:t>
      </w:r>
      <w:r w:rsidRPr="00953B52">
        <w:rPr>
          <w:rFonts w:ascii="Arial" w:hAnsi="Arial" w:cs="Arial"/>
          <w:sz w:val="22"/>
          <w:szCs w:val="22"/>
          <w:lang w:val="fr-FR"/>
        </w:rPr>
        <w:t>inventeur n</w:t>
      </w:r>
      <w:r w:rsidR="00E84189">
        <w:rPr>
          <w:rFonts w:ascii="Arial" w:hAnsi="Arial" w:cs="Arial"/>
          <w:sz w:val="22"/>
          <w:szCs w:val="22"/>
          <w:lang w:val="fr-FR"/>
        </w:rPr>
        <w:t>’</w:t>
      </w:r>
      <w:r w:rsidRPr="00953B52">
        <w:rPr>
          <w:rFonts w:ascii="Arial" w:hAnsi="Arial" w:cs="Arial"/>
          <w:sz w:val="22"/>
          <w:szCs w:val="22"/>
          <w:lang w:val="fr-FR"/>
        </w:rPr>
        <w:t>utilise pas qu</w:t>
      </w:r>
      <w:r w:rsidR="00E84189">
        <w:rPr>
          <w:rFonts w:ascii="Arial" w:hAnsi="Arial" w:cs="Arial"/>
          <w:sz w:val="22"/>
          <w:szCs w:val="22"/>
          <w:lang w:val="fr-FR"/>
        </w:rPr>
        <w:t>’</w:t>
      </w:r>
      <w:r w:rsidRPr="00953B52">
        <w:rPr>
          <w:rFonts w:ascii="Arial" w:hAnsi="Arial" w:cs="Arial"/>
          <w:sz w:val="22"/>
          <w:szCs w:val="22"/>
          <w:lang w:val="fr-FR"/>
        </w:rPr>
        <w:t xml:space="preserve">une seule séquence génétique; </w:t>
      </w:r>
      <w:r w:rsidR="00095B51">
        <w:rPr>
          <w:rFonts w:ascii="Arial" w:hAnsi="Arial" w:cs="Arial"/>
          <w:sz w:val="22"/>
          <w:szCs w:val="22"/>
          <w:lang w:val="fr-FR"/>
        </w:rPr>
        <w:t xml:space="preserve"> </w:t>
      </w:r>
      <w:r w:rsidRPr="00953B52">
        <w:rPr>
          <w:rFonts w:ascii="Arial" w:hAnsi="Arial" w:cs="Arial"/>
          <w:sz w:val="22"/>
          <w:szCs w:val="22"/>
          <w:lang w:val="fr-FR"/>
        </w:rPr>
        <w:t>en réalité, la valeur en matière d</w:t>
      </w:r>
      <w:r w:rsidR="00E84189">
        <w:rPr>
          <w:rFonts w:ascii="Arial" w:hAnsi="Arial" w:cs="Arial"/>
          <w:sz w:val="22"/>
          <w:szCs w:val="22"/>
          <w:lang w:val="fr-FR"/>
        </w:rPr>
        <w:t>’</w:t>
      </w:r>
      <w:r w:rsidRPr="00953B52">
        <w:rPr>
          <w:rFonts w:ascii="Arial" w:hAnsi="Arial" w:cs="Arial"/>
          <w:sz w:val="22"/>
          <w:szCs w:val="22"/>
          <w:lang w:val="fr-FR"/>
        </w:rPr>
        <w:t>information d</w:t>
      </w:r>
      <w:r w:rsidR="00E84189">
        <w:rPr>
          <w:rFonts w:ascii="Arial" w:hAnsi="Arial" w:cs="Arial"/>
          <w:sz w:val="22"/>
          <w:szCs w:val="22"/>
          <w:lang w:val="fr-FR"/>
        </w:rPr>
        <w:t>’</w:t>
      </w:r>
      <w:r w:rsidRPr="00953B52">
        <w:rPr>
          <w:rFonts w:ascii="Arial" w:hAnsi="Arial" w:cs="Arial"/>
          <w:sz w:val="22"/>
          <w:szCs w:val="22"/>
          <w:lang w:val="fr-FR"/>
        </w:rPr>
        <w:t>une séquence génétique est souvent définie par rapport à d</w:t>
      </w:r>
      <w:r w:rsidR="00E84189">
        <w:rPr>
          <w:rFonts w:ascii="Arial" w:hAnsi="Arial" w:cs="Arial"/>
          <w:sz w:val="22"/>
          <w:szCs w:val="22"/>
          <w:lang w:val="fr-FR"/>
        </w:rPr>
        <w:t>’</w:t>
      </w:r>
      <w:r w:rsidRPr="00953B52">
        <w:rPr>
          <w:rFonts w:ascii="Arial" w:hAnsi="Arial" w:cs="Arial"/>
          <w:sz w:val="22"/>
          <w:szCs w:val="22"/>
          <w:lang w:val="fr-FR"/>
        </w:rPr>
        <w:t>autres séquences génétiques, plutôt par l</w:t>
      </w:r>
      <w:r w:rsidR="00E84189">
        <w:rPr>
          <w:rFonts w:ascii="Arial" w:hAnsi="Arial" w:cs="Arial"/>
          <w:sz w:val="22"/>
          <w:szCs w:val="22"/>
          <w:lang w:val="fr-FR"/>
        </w:rPr>
        <w:t>’</w:t>
      </w:r>
      <w:r w:rsidRPr="00953B52">
        <w:rPr>
          <w:rFonts w:ascii="Arial" w:hAnsi="Arial" w:cs="Arial"/>
          <w:sz w:val="22"/>
          <w:szCs w:val="22"/>
          <w:lang w:val="fr-FR"/>
        </w:rPr>
        <w:t xml:space="preserve">utilisation de cette seule séquence génétique; </w:t>
      </w:r>
      <w:r w:rsidR="00095B51">
        <w:rPr>
          <w:rFonts w:ascii="Arial" w:hAnsi="Arial" w:cs="Arial"/>
          <w:sz w:val="22"/>
          <w:szCs w:val="22"/>
          <w:lang w:val="fr-FR"/>
        </w:rPr>
        <w:t xml:space="preserve"> </w:t>
      </w:r>
      <w:r w:rsidRPr="00953B52">
        <w:rPr>
          <w:rFonts w:ascii="Arial" w:hAnsi="Arial" w:cs="Arial"/>
          <w:sz w:val="22"/>
          <w:szCs w:val="22"/>
          <w:lang w:val="fr-FR"/>
        </w:rPr>
        <w:t>par conséquent, il serait certainement très lourd pour les demandeurs de brevets et pour les offices de brevets d</w:t>
      </w:r>
      <w:r w:rsidR="00E84189">
        <w:rPr>
          <w:rFonts w:ascii="Arial" w:hAnsi="Arial" w:cs="Arial"/>
          <w:sz w:val="22"/>
          <w:szCs w:val="22"/>
          <w:lang w:val="fr-FR"/>
        </w:rPr>
        <w:t>’</w:t>
      </w:r>
      <w:r w:rsidRPr="00953B52">
        <w:rPr>
          <w:rFonts w:ascii="Arial" w:hAnsi="Arial" w:cs="Arial"/>
          <w:sz w:val="22"/>
          <w:szCs w:val="22"/>
          <w:lang w:val="fr-FR"/>
        </w:rPr>
        <w:t>élargir l</w:t>
      </w:r>
      <w:r w:rsidR="00E84189">
        <w:rPr>
          <w:rFonts w:ascii="Arial" w:hAnsi="Arial" w:cs="Arial"/>
          <w:sz w:val="22"/>
          <w:szCs w:val="22"/>
          <w:lang w:val="fr-FR"/>
        </w:rPr>
        <w:t>’</w:t>
      </w:r>
      <w:r w:rsidRPr="00953B52">
        <w:rPr>
          <w:rFonts w:ascii="Arial" w:hAnsi="Arial" w:cs="Arial"/>
          <w:sz w:val="22"/>
          <w:szCs w:val="22"/>
          <w:lang w:val="fr-FR"/>
        </w:rPr>
        <w:t>exigence de divulgation aux données de séquences génétiques ou à tout autre type d</w:t>
      </w:r>
      <w:r w:rsidR="00E84189">
        <w:rPr>
          <w:rFonts w:ascii="Arial" w:hAnsi="Arial" w:cs="Arial"/>
          <w:sz w:val="22"/>
          <w:szCs w:val="22"/>
          <w:lang w:val="fr-FR"/>
        </w:rPr>
        <w:t>’</w:t>
      </w:r>
      <w:r w:rsidRPr="00953B52">
        <w:rPr>
          <w:rFonts w:ascii="Arial" w:hAnsi="Arial" w:cs="Arial"/>
          <w:sz w:val="22"/>
          <w:szCs w:val="22"/>
          <w:lang w:val="fr-FR"/>
        </w:rPr>
        <w:t xml:space="preserve">information de séquençage numérique, et cela pourrait être impossible à mettre en œuvre en pratique; </w:t>
      </w:r>
      <w:r w:rsidR="00095B51">
        <w:rPr>
          <w:rFonts w:ascii="Arial" w:hAnsi="Arial" w:cs="Arial"/>
          <w:sz w:val="22"/>
          <w:szCs w:val="22"/>
          <w:lang w:val="fr-FR"/>
        </w:rPr>
        <w:t xml:space="preserve"> </w:t>
      </w:r>
      <w:r w:rsidRPr="00953B52">
        <w:rPr>
          <w:rFonts w:ascii="Arial" w:hAnsi="Arial" w:cs="Arial"/>
          <w:sz w:val="22"/>
          <w:szCs w:val="22"/>
          <w:lang w:val="fr-FR"/>
        </w:rPr>
        <w:t>le demandeur serait obligé de divulguer la source de nombreuses, parfois de centaines de séquences génétiques intervenant dans l</w:t>
      </w:r>
      <w:r w:rsidR="00E84189">
        <w:rPr>
          <w:rFonts w:ascii="Arial" w:hAnsi="Arial" w:cs="Arial"/>
          <w:sz w:val="22"/>
          <w:szCs w:val="22"/>
          <w:lang w:val="fr-FR"/>
        </w:rPr>
        <w:t>’</w:t>
      </w:r>
      <w:r w:rsidRPr="00953B52">
        <w:rPr>
          <w:rFonts w:ascii="Arial" w:hAnsi="Arial" w:cs="Arial"/>
          <w:sz w:val="22"/>
          <w:szCs w:val="22"/>
          <w:lang w:val="fr-FR"/>
        </w:rPr>
        <w:t>invention.</w:t>
      </w:r>
    </w:p>
    <w:p w:rsidR="00CC5DF6" w:rsidRPr="00953B52" w:rsidRDefault="00CC5DF6" w:rsidP="005C0BD9">
      <w:pPr>
        <w:pStyle w:val="Heading3"/>
      </w:pPr>
      <w:bookmarkStart w:id="26" w:name="_Toc51243822"/>
      <w:r w:rsidRPr="00953B52">
        <w:t>b)</w:t>
      </w:r>
      <w:r w:rsidRPr="00953B52">
        <w:tab/>
        <w:t>Dérivés</w:t>
      </w:r>
      <w:bookmarkEnd w:id="26"/>
    </w:p>
    <w:p w:rsidR="00CC5DF6" w:rsidRPr="00953B52"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 xml:space="preserve">Les </w:t>
      </w:r>
      <w:r w:rsidR="00546B53">
        <w:rPr>
          <w:rFonts w:ascii="Arial" w:hAnsi="Arial" w:cs="Arial"/>
          <w:sz w:val="22"/>
          <w:szCs w:val="22"/>
          <w:lang w:val="fr-FR"/>
        </w:rPr>
        <w:t>“</w:t>
      </w:r>
      <w:r w:rsidR="00546B53" w:rsidRPr="00953B52">
        <w:rPr>
          <w:rFonts w:ascii="Arial" w:hAnsi="Arial" w:cs="Arial"/>
          <w:sz w:val="22"/>
          <w:szCs w:val="22"/>
          <w:lang w:val="fr-FR"/>
        </w:rPr>
        <w:t>d</w:t>
      </w:r>
      <w:r w:rsidRPr="00953B52">
        <w:rPr>
          <w:rFonts w:ascii="Arial" w:hAnsi="Arial" w:cs="Arial"/>
          <w:sz w:val="22"/>
          <w:szCs w:val="22"/>
          <w:lang w:val="fr-FR"/>
        </w:rPr>
        <w:t>érivé</w:t>
      </w:r>
      <w:r w:rsidR="00546B53" w:rsidRPr="00953B52">
        <w:rPr>
          <w:rFonts w:ascii="Arial" w:hAnsi="Arial" w:cs="Arial"/>
          <w:sz w:val="22"/>
          <w:szCs w:val="22"/>
          <w:lang w:val="fr-FR"/>
        </w:rPr>
        <w:t>s</w:t>
      </w:r>
      <w:r w:rsidR="00546B53">
        <w:rPr>
          <w:rFonts w:ascii="Arial" w:hAnsi="Arial" w:cs="Arial"/>
          <w:sz w:val="22"/>
          <w:szCs w:val="22"/>
          <w:lang w:val="fr-FR"/>
        </w:rPr>
        <w:t>”</w:t>
      </w:r>
      <w:r w:rsidRPr="00953B52">
        <w:rPr>
          <w:rFonts w:ascii="Arial" w:hAnsi="Arial" w:cs="Arial"/>
          <w:sz w:val="22"/>
          <w:szCs w:val="22"/>
          <w:lang w:val="fr-FR"/>
        </w:rPr>
        <w:t xml:space="preserve"> constituent un autre aspect qu</w:t>
      </w:r>
      <w:r w:rsidR="00E84189">
        <w:rPr>
          <w:rFonts w:ascii="Arial" w:hAnsi="Arial" w:cs="Arial"/>
          <w:sz w:val="22"/>
          <w:szCs w:val="22"/>
          <w:lang w:val="fr-FR"/>
        </w:rPr>
        <w:t>’</w:t>
      </w:r>
      <w:r w:rsidRPr="00953B52">
        <w:rPr>
          <w:rFonts w:ascii="Arial" w:hAnsi="Arial" w:cs="Arial"/>
          <w:sz w:val="22"/>
          <w:szCs w:val="22"/>
          <w:lang w:val="fr-FR"/>
        </w:rPr>
        <w:t>il a été proposé d</w:t>
      </w:r>
      <w:r w:rsidR="00E84189">
        <w:rPr>
          <w:rFonts w:ascii="Arial" w:hAnsi="Arial" w:cs="Arial"/>
          <w:sz w:val="22"/>
          <w:szCs w:val="22"/>
          <w:lang w:val="fr-FR"/>
        </w:rPr>
        <w:t>’</w:t>
      </w:r>
      <w:r w:rsidRPr="00953B52">
        <w:rPr>
          <w:rFonts w:ascii="Arial" w:hAnsi="Arial" w:cs="Arial"/>
          <w:sz w:val="22"/>
          <w:szCs w:val="22"/>
          <w:lang w:val="fr-FR"/>
        </w:rPr>
        <w:t xml:space="preserve">intégrer dans le </w:t>
      </w:r>
      <w:r w:rsidR="00E42C2C">
        <w:rPr>
          <w:rFonts w:ascii="Arial" w:hAnsi="Arial" w:cs="Arial"/>
          <w:sz w:val="22"/>
          <w:szCs w:val="22"/>
          <w:lang w:val="fr-FR"/>
        </w:rPr>
        <w:t>d</w:t>
      </w:r>
      <w:r w:rsidRPr="00953B52">
        <w:rPr>
          <w:rFonts w:ascii="Arial" w:hAnsi="Arial" w:cs="Arial"/>
          <w:sz w:val="22"/>
          <w:szCs w:val="22"/>
          <w:lang w:val="fr-FR"/>
        </w:rPr>
        <w:t>ocument de synthèse sur les ressources génétiques, probablement en raison des négociations du Protocole de Nago</w:t>
      </w:r>
      <w:r w:rsidR="0003571D" w:rsidRPr="00953B52">
        <w:rPr>
          <w:rFonts w:ascii="Arial" w:hAnsi="Arial" w:cs="Arial"/>
          <w:sz w:val="22"/>
          <w:szCs w:val="22"/>
          <w:lang w:val="fr-FR"/>
        </w:rPr>
        <w:t>ya</w:t>
      </w:r>
      <w:r w:rsidR="0003571D">
        <w:rPr>
          <w:rFonts w:ascii="Arial" w:hAnsi="Arial" w:cs="Arial"/>
          <w:sz w:val="22"/>
          <w:szCs w:val="22"/>
          <w:lang w:val="fr-FR"/>
        </w:rPr>
        <w:t xml:space="preserve">.  </w:t>
      </w:r>
      <w:r w:rsidR="0003571D" w:rsidRPr="00953B52">
        <w:rPr>
          <w:rFonts w:ascii="Arial" w:hAnsi="Arial" w:cs="Arial"/>
          <w:sz w:val="22"/>
          <w:szCs w:val="22"/>
          <w:lang w:val="fr-FR"/>
        </w:rPr>
        <w:t xml:space="preserve">À </w:t>
      </w:r>
      <w:r w:rsidRPr="00953B52">
        <w:rPr>
          <w:rFonts w:ascii="Arial" w:hAnsi="Arial" w:cs="Arial"/>
          <w:sz w:val="22"/>
          <w:szCs w:val="22"/>
          <w:lang w:val="fr-FR"/>
        </w:rPr>
        <w:t>l</w:t>
      </w:r>
      <w:r w:rsidR="00E84189">
        <w:rPr>
          <w:rFonts w:ascii="Arial" w:hAnsi="Arial" w:cs="Arial"/>
          <w:sz w:val="22"/>
          <w:szCs w:val="22"/>
          <w:lang w:val="fr-FR"/>
        </w:rPr>
        <w:t>’</w:t>
      </w:r>
      <w:r w:rsidR="00546B53" w:rsidRPr="00953B52">
        <w:rPr>
          <w:rFonts w:ascii="Arial" w:hAnsi="Arial" w:cs="Arial"/>
          <w:sz w:val="22"/>
          <w:szCs w:val="22"/>
          <w:lang w:val="fr-FR"/>
        </w:rPr>
        <w:t>article</w:t>
      </w:r>
      <w:r w:rsidR="00546B53">
        <w:rPr>
          <w:rFonts w:ascii="Arial" w:hAnsi="Arial" w:cs="Arial"/>
          <w:sz w:val="22"/>
          <w:szCs w:val="22"/>
          <w:lang w:val="fr-FR"/>
        </w:rPr>
        <w:t> </w:t>
      </w:r>
      <w:r w:rsidR="00546B53" w:rsidRPr="00953B52">
        <w:rPr>
          <w:rFonts w:ascii="Arial" w:hAnsi="Arial" w:cs="Arial"/>
          <w:sz w:val="22"/>
          <w:szCs w:val="22"/>
          <w:lang w:val="fr-FR"/>
        </w:rPr>
        <w:t>2</w:t>
      </w:r>
      <w:r w:rsidRPr="00953B52">
        <w:rPr>
          <w:rFonts w:ascii="Arial" w:hAnsi="Arial" w:cs="Arial"/>
          <w:sz w:val="22"/>
          <w:szCs w:val="22"/>
          <w:lang w:val="fr-FR"/>
        </w:rPr>
        <w:t xml:space="preserve"> du Protocole de Nagoya, le terme </w:t>
      </w:r>
      <w:r w:rsidR="00546B53">
        <w:rPr>
          <w:rFonts w:ascii="Arial" w:hAnsi="Arial" w:cs="Arial"/>
          <w:sz w:val="22"/>
          <w:szCs w:val="22"/>
          <w:lang w:val="fr-FR"/>
        </w:rPr>
        <w:t>“</w:t>
      </w:r>
      <w:r w:rsidR="00546B53" w:rsidRPr="00953B52">
        <w:rPr>
          <w:rFonts w:ascii="Arial" w:hAnsi="Arial" w:cs="Arial"/>
          <w:sz w:val="22"/>
          <w:szCs w:val="22"/>
          <w:lang w:val="fr-FR"/>
        </w:rPr>
        <w:t>d</w:t>
      </w:r>
      <w:r w:rsidRPr="00953B52">
        <w:rPr>
          <w:rFonts w:ascii="Arial" w:hAnsi="Arial" w:cs="Arial"/>
          <w:sz w:val="22"/>
          <w:szCs w:val="22"/>
          <w:lang w:val="fr-FR"/>
        </w:rPr>
        <w:t>ériv</w:t>
      </w:r>
      <w:r w:rsidR="00546B53" w:rsidRPr="00953B52">
        <w:rPr>
          <w:rFonts w:ascii="Arial" w:hAnsi="Arial" w:cs="Arial"/>
          <w:sz w:val="22"/>
          <w:szCs w:val="22"/>
          <w:lang w:val="fr-FR"/>
        </w:rPr>
        <w:t>é</w:t>
      </w:r>
      <w:r w:rsidR="00546B53">
        <w:rPr>
          <w:rFonts w:ascii="Arial" w:hAnsi="Arial" w:cs="Arial"/>
          <w:sz w:val="22"/>
          <w:szCs w:val="22"/>
          <w:lang w:val="fr-FR"/>
        </w:rPr>
        <w:t>”</w:t>
      </w:r>
      <w:r w:rsidRPr="00953B52">
        <w:rPr>
          <w:rFonts w:ascii="Arial" w:hAnsi="Arial" w:cs="Arial"/>
          <w:sz w:val="22"/>
          <w:szCs w:val="22"/>
          <w:lang w:val="fr-FR"/>
        </w:rPr>
        <w:t xml:space="preserve"> est défini comme </w:t>
      </w:r>
      <w:r w:rsidR="00513138">
        <w:rPr>
          <w:rFonts w:ascii="Arial" w:hAnsi="Arial" w:cs="Arial"/>
          <w:sz w:val="22"/>
          <w:szCs w:val="22"/>
          <w:lang w:val="fr-FR"/>
        </w:rPr>
        <w:t>“</w:t>
      </w:r>
      <w:r w:rsidRPr="00953B52">
        <w:rPr>
          <w:rFonts w:ascii="Arial" w:hAnsi="Arial" w:cs="Arial"/>
          <w:sz w:val="22"/>
          <w:szCs w:val="22"/>
          <w:lang w:val="fr-FR"/>
        </w:rPr>
        <w:t>tout composé biochimique qui existe à l</w:t>
      </w:r>
      <w:r w:rsidR="00E84189">
        <w:rPr>
          <w:rFonts w:ascii="Arial" w:hAnsi="Arial" w:cs="Arial"/>
          <w:sz w:val="22"/>
          <w:szCs w:val="22"/>
          <w:lang w:val="fr-FR"/>
        </w:rPr>
        <w:t>’</w:t>
      </w:r>
      <w:r w:rsidRPr="00953B52">
        <w:rPr>
          <w:rFonts w:ascii="Arial" w:hAnsi="Arial" w:cs="Arial"/>
          <w:sz w:val="22"/>
          <w:szCs w:val="22"/>
          <w:lang w:val="fr-FR"/>
        </w:rPr>
        <w:t>état naturel résultant de l</w:t>
      </w:r>
      <w:r w:rsidR="00E84189">
        <w:rPr>
          <w:rFonts w:ascii="Arial" w:hAnsi="Arial" w:cs="Arial"/>
          <w:sz w:val="22"/>
          <w:szCs w:val="22"/>
          <w:lang w:val="fr-FR"/>
        </w:rPr>
        <w:t>’</w:t>
      </w:r>
      <w:r w:rsidRPr="00953B52">
        <w:rPr>
          <w:rFonts w:ascii="Arial" w:hAnsi="Arial" w:cs="Arial"/>
          <w:sz w:val="22"/>
          <w:szCs w:val="22"/>
          <w:lang w:val="fr-FR"/>
        </w:rPr>
        <w:t>expression génétique ou du métabolisme de ressources biologiques ou génétiques, même s</w:t>
      </w:r>
      <w:r w:rsidR="00E84189">
        <w:rPr>
          <w:rFonts w:ascii="Arial" w:hAnsi="Arial" w:cs="Arial"/>
          <w:sz w:val="22"/>
          <w:szCs w:val="22"/>
          <w:lang w:val="fr-FR"/>
        </w:rPr>
        <w:t>’</w:t>
      </w:r>
      <w:r w:rsidRPr="00953B52">
        <w:rPr>
          <w:rFonts w:ascii="Arial" w:hAnsi="Arial" w:cs="Arial"/>
          <w:sz w:val="22"/>
          <w:szCs w:val="22"/>
          <w:lang w:val="fr-FR"/>
        </w:rPr>
        <w:t>il ne contient pas d</w:t>
      </w:r>
      <w:r w:rsidR="00E84189">
        <w:rPr>
          <w:rFonts w:ascii="Arial" w:hAnsi="Arial" w:cs="Arial"/>
          <w:sz w:val="22"/>
          <w:szCs w:val="22"/>
          <w:lang w:val="fr-FR"/>
        </w:rPr>
        <w:t>’</w:t>
      </w:r>
      <w:r w:rsidRPr="00953B52">
        <w:rPr>
          <w:rFonts w:ascii="Arial" w:hAnsi="Arial" w:cs="Arial"/>
          <w:sz w:val="22"/>
          <w:szCs w:val="22"/>
          <w:lang w:val="fr-FR"/>
        </w:rPr>
        <w:t>unités fonctionnelles de l</w:t>
      </w:r>
      <w:r w:rsidR="00E84189">
        <w:rPr>
          <w:rFonts w:ascii="Arial" w:hAnsi="Arial" w:cs="Arial"/>
          <w:sz w:val="22"/>
          <w:szCs w:val="22"/>
          <w:lang w:val="fr-FR"/>
        </w:rPr>
        <w:t>’</w:t>
      </w:r>
      <w:r w:rsidRPr="00953B52">
        <w:rPr>
          <w:rFonts w:ascii="Arial" w:hAnsi="Arial" w:cs="Arial"/>
          <w:sz w:val="22"/>
          <w:szCs w:val="22"/>
          <w:lang w:val="fr-FR"/>
        </w:rPr>
        <w:t>hérédit</w:t>
      </w:r>
      <w:r w:rsidR="00546B53" w:rsidRPr="00953B52">
        <w:rPr>
          <w:rFonts w:ascii="Arial" w:hAnsi="Arial" w:cs="Arial"/>
          <w:sz w:val="22"/>
          <w:szCs w:val="22"/>
          <w:lang w:val="fr-FR"/>
        </w:rPr>
        <w:t>é</w:t>
      </w:r>
      <w:r w:rsidR="00546B53">
        <w:rPr>
          <w:rFonts w:ascii="Arial" w:hAnsi="Arial" w:cs="Arial"/>
          <w:sz w:val="22"/>
          <w:szCs w:val="22"/>
          <w:lang w:val="fr-FR"/>
        </w:rPr>
        <w:t>”</w:t>
      </w:r>
      <w:r w:rsidRPr="00953B52">
        <w:rPr>
          <w:rFonts w:ascii="Arial" w:hAnsi="Arial" w:cs="Arial"/>
          <w:sz w:val="22"/>
          <w:szCs w:val="22"/>
          <w:lang w:val="fr-FR"/>
        </w:rPr>
        <w:t xml:space="preserve">. </w:t>
      </w:r>
      <w:r w:rsidR="00513138">
        <w:rPr>
          <w:rFonts w:ascii="Arial" w:hAnsi="Arial" w:cs="Arial"/>
          <w:sz w:val="22"/>
          <w:szCs w:val="22"/>
          <w:lang w:val="fr-FR"/>
        </w:rPr>
        <w:t xml:space="preserve"> </w:t>
      </w:r>
      <w:r w:rsidRPr="00953B52">
        <w:rPr>
          <w:rFonts w:ascii="Arial" w:hAnsi="Arial" w:cs="Arial"/>
          <w:sz w:val="22"/>
          <w:szCs w:val="22"/>
          <w:lang w:val="fr-FR"/>
        </w:rPr>
        <w:t>Il est important de noter qu</w:t>
      </w:r>
      <w:r w:rsidR="00E84189">
        <w:rPr>
          <w:rFonts w:ascii="Arial" w:hAnsi="Arial" w:cs="Arial"/>
          <w:sz w:val="22"/>
          <w:szCs w:val="22"/>
          <w:lang w:val="fr-FR"/>
        </w:rPr>
        <w:t>’</w:t>
      </w:r>
      <w:r w:rsidRPr="00953B52">
        <w:rPr>
          <w:rFonts w:ascii="Arial" w:hAnsi="Arial" w:cs="Arial"/>
          <w:sz w:val="22"/>
          <w:szCs w:val="22"/>
          <w:lang w:val="fr-FR"/>
        </w:rPr>
        <w:t xml:space="preserve">aucune des dispositions opérationnelles du Protocole de Nagoya ne fait référence aux </w:t>
      </w:r>
      <w:r w:rsidR="00546B53">
        <w:rPr>
          <w:rFonts w:ascii="Arial" w:hAnsi="Arial" w:cs="Arial"/>
          <w:sz w:val="22"/>
          <w:szCs w:val="22"/>
          <w:lang w:val="fr-FR"/>
        </w:rPr>
        <w:t>“</w:t>
      </w:r>
      <w:r w:rsidR="00546B53" w:rsidRPr="00953B52">
        <w:rPr>
          <w:rFonts w:ascii="Arial" w:hAnsi="Arial" w:cs="Arial"/>
          <w:sz w:val="22"/>
          <w:szCs w:val="22"/>
          <w:lang w:val="fr-FR"/>
        </w:rPr>
        <w:t>d</w:t>
      </w:r>
      <w:r w:rsidRPr="00953B52">
        <w:rPr>
          <w:rFonts w:ascii="Arial" w:hAnsi="Arial" w:cs="Arial"/>
          <w:sz w:val="22"/>
          <w:szCs w:val="22"/>
          <w:lang w:val="fr-FR"/>
        </w:rPr>
        <w:t>érivé</w:t>
      </w:r>
      <w:r w:rsidR="00546B53" w:rsidRPr="00953B52">
        <w:rPr>
          <w:rFonts w:ascii="Arial" w:hAnsi="Arial" w:cs="Arial"/>
          <w:sz w:val="22"/>
          <w:szCs w:val="22"/>
          <w:lang w:val="fr-FR"/>
        </w:rPr>
        <w:t>s</w:t>
      </w:r>
      <w:r w:rsidR="00546B53">
        <w:rPr>
          <w:rFonts w:ascii="Arial" w:hAnsi="Arial" w:cs="Arial"/>
          <w:sz w:val="22"/>
          <w:szCs w:val="22"/>
          <w:lang w:val="fr-FR"/>
        </w:rPr>
        <w:t>”</w:t>
      </w:r>
      <w:r w:rsidRPr="00953B52">
        <w:rPr>
          <w:rFonts w:ascii="Arial" w:hAnsi="Arial" w:cs="Arial"/>
          <w:sz w:val="22"/>
          <w:szCs w:val="22"/>
          <w:lang w:val="fr-FR"/>
        </w:rPr>
        <w:t xml:space="preserve"> en tant que </w:t>
      </w:r>
      <w:proofErr w:type="gramStart"/>
      <w:r w:rsidRPr="00953B52">
        <w:rPr>
          <w:rFonts w:ascii="Arial" w:hAnsi="Arial" w:cs="Arial"/>
          <w:sz w:val="22"/>
          <w:szCs w:val="22"/>
          <w:lang w:val="fr-FR"/>
        </w:rPr>
        <w:t xml:space="preserve">tels; </w:t>
      </w:r>
      <w:r w:rsidR="00095B51">
        <w:rPr>
          <w:rFonts w:ascii="Arial" w:hAnsi="Arial" w:cs="Arial"/>
          <w:sz w:val="22"/>
          <w:szCs w:val="22"/>
          <w:lang w:val="fr-FR"/>
        </w:rPr>
        <w:t xml:space="preserve"> </w:t>
      </w:r>
      <w:r w:rsidRPr="00953B52">
        <w:rPr>
          <w:rFonts w:ascii="Arial" w:hAnsi="Arial" w:cs="Arial"/>
          <w:sz w:val="22"/>
          <w:szCs w:val="22"/>
          <w:lang w:val="fr-FR"/>
        </w:rPr>
        <w:t>les</w:t>
      </w:r>
      <w:proofErr w:type="gramEnd"/>
      <w:r w:rsidRPr="00953B52">
        <w:rPr>
          <w:rFonts w:ascii="Arial" w:hAnsi="Arial" w:cs="Arial"/>
          <w:sz w:val="22"/>
          <w:szCs w:val="22"/>
          <w:lang w:val="fr-FR"/>
        </w:rPr>
        <w:t xml:space="preserve"> dérivés seuls, en dehors des ressources génétiques, ne sont donc pas couverts par le Protocole de Nagoya.</w:t>
      </w:r>
    </w:p>
    <w:p w:rsidR="00CC5DF6" w:rsidRPr="00953B52" w:rsidRDefault="00CC5DF6" w:rsidP="005C0BD9">
      <w:pPr>
        <w:pStyle w:val="Text"/>
        <w:spacing w:after="240"/>
        <w:rPr>
          <w:rFonts w:ascii="Arial" w:hAnsi="Arial" w:cs="Arial"/>
          <w:sz w:val="22"/>
          <w:szCs w:val="22"/>
          <w:lang w:val="fr-FR"/>
        </w:rPr>
      </w:pPr>
      <w:r w:rsidRPr="00953B52">
        <w:rPr>
          <w:rFonts w:ascii="Arial" w:hAnsi="Arial" w:cs="Arial"/>
          <w:sz w:val="22"/>
          <w:szCs w:val="22"/>
          <w:lang w:val="fr-FR"/>
        </w:rPr>
        <w:t>Les mêmes problèmes pratiques peuvent se poser si l</w:t>
      </w:r>
      <w:r w:rsidR="00E84189">
        <w:rPr>
          <w:rFonts w:ascii="Arial" w:hAnsi="Arial" w:cs="Arial"/>
          <w:sz w:val="22"/>
          <w:szCs w:val="22"/>
          <w:lang w:val="fr-FR"/>
        </w:rPr>
        <w:t>’</w:t>
      </w:r>
      <w:r w:rsidRPr="00953B52">
        <w:rPr>
          <w:rFonts w:ascii="Arial" w:hAnsi="Arial" w:cs="Arial"/>
          <w:sz w:val="22"/>
          <w:szCs w:val="22"/>
          <w:lang w:val="fr-FR"/>
        </w:rPr>
        <w:t>exigence de divulgation en matière de brevets s</w:t>
      </w:r>
      <w:r w:rsidR="00E84189">
        <w:rPr>
          <w:rFonts w:ascii="Arial" w:hAnsi="Arial" w:cs="Arial"/>
          <w:sz w:val="22"/>
          <w:szCs w:val="22"/>
          <w:lang w:val="fr-FR"/>
        </w:rPr>
        <w:t>’</w:t>
      </w:r>
      <w:r w:rsidRPr="00953B52">
        <w:rPr>
          <w:rFonts w:ascii="Arial" w:hAnsi="Arial" w:cs="Arial"/>
          <w:sz w:val="22"/>
          <w:szCs w:val="22"/>
          <w:lang w:val="fr-FR"/>
        </w:rPr>
        <w:t>applique aussi aux dérivés, comme avec les aspects intangibles des ressources génétiqu</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En</w:t>
      </w:r>
      <w:r w:rsidRPr="00953B52">
        <w:rPr>
          <w:rFonts w:ascii="Arial" w:hAnsi="Arial" w:cs="Arial"/>
          <w:sz w:val="22"/>
          <w:szCs w:val="22"/>
          <w:lang w:val="fr-FR"/>
        </w:rPr>
        <w:t>core une fois, le même dérivé (défini comme un composé biochimique existant à l</w:t>
      </w:r>
      <w:r w:rsidR="00E84189">
        <w:rPr>
          <w:rFonts w:ascii="Arial" w:hAnsi="Arial" w:cs="Arial"/>
          <w:sz w:val="22"/>
          <w:szCs w:val="22"/>
          <w:lang w:val="fr-FR"/>
        </w:rPr>
        <w:t>’</w:t>
      </w:r>
      <w:r w:rsidRPr="00953B52">
        <w:rPr>
          <w:rFonts w:ascii="Arial" w:hAnsi="Arial" w:cs="Arial"/>
          <w:sz w:val="22"/>
          <w:szCs w:val="22"/>
          <w:lang w:val="fr-FR"/>
        </w:rPr>
        <w:t>état naturel) peut apparaître dans différents types de ressources génétiques et être obtenu à partir de diverses sources, sans qu</w:t>
      </w:r>
      <w:r w:rsidR="00E84189">
        <w:rPr>
          <w:rFonts w:ascii="Arial" w:hAnsi="Arial" w:cs="Arial"/>
          <w:sz w:val="22"/>
          <w:szCs w:val="22"/>
          <w:lang w:val="fr-FR"/>
        </w:rPr>
        <w:t>’</w:t>
      </w:r>
      <w:r w:rsidRPr="00953B52">
        <w:rPr>
          <w:rFonts w:ascii="Arial" w:hAnsi="Arial" w:cs="Arial"/>
          <w:sz w:val="22"/>
          <w:szCs w:val="22"/>
          <w:lang w:val="fr-FR"/>
        </w:rPr>
        <w:t>il soit nécessaire d</w:t>
      </w:r>
      <w:r w:rsidR="00E84189">
        <w:rPr>
          <w:rFonts w:ascii="Arial" w:hAnsi="Arial" w:cs="Arial"/>
          <w:sz w:val="22"/>
          <w:szCs w:val="22"/>
          <w:lang w:val="fr-FR"/>
        </w:rPr>
        <w:t>’</w:t>
      </w:r>
      <w:r w:rsidRPr="00953B52">
        <w:rPr>
          <w:rFonts w:ascii="Arial" w:hAnsi="Arial" w:cs="Arial"/>
          <w:sz w:val="22"/>
          <w:szCs w:val="22"/>
          <w:lang w:val="fr-FR"/>
        </w:rPr>
        <w:t>accéder à la ressource génétique spécifique en elle</w:t>
      </w:r>
      <w:r w:rsidR="000B2FBE">
        <w:rPr>
          <w:rFonts w:ascii="Arial" w:hAnsi="Arial" w:cs="Arial"/>
          <w:sz w:val="22"/>
          <w:szCs w:val="22"/>
          <w:lang w:val="fr-FR"/>
        </w:rPr>
        <w:noBreakHyphen/>
      </w:r>
      <w:r w:rsidRPr="00953B52">
        <w:rPr>
          <w:rFonts w:ascii="Arial" w:hAnsi="Arial" w:cs="Arial"/>
          <w:sz w:val="22"/>
          <w:szCs w:val="22"/>
          <w:lang w:val="fr-FR"/>
        </w:rPr>
        <w:t>mê</w:t>
      </w:r>
      <w:r w:rsidR="0003571D" w:rsidRPr="00953B52">
        <w:rPr>
          <w:rFonts w:ascii="Arial" w:hAnsi="Arial" w:cs="Arial"/>
          <w:sz w:val="22"/>
          <w:szCs w:val="22"/>
          <w:lang w:val="fr-FR"/>
        </w:rPr>
        <w:t>me</w:t>
      </w:r>
      <w:r w:rsidR="0003571D">
        <w:rPr>
          <w:rFonts w:ascii="Arial" w:hAnsi="Arial" w:cs="Arial"/>
          <w:sz w:val="22"/>
          <w:szCs w:val="22"/>
          <w:lang w:val="fr-FR"/>
        </w:rPr>
        <w:t xml:space="preserve">.  </w:t>
      </w:r>
      <w:r w:rsidR="0003571D" w:rsidRPr="00953B52">
        <w:rPr>
          <w:rFonts w:ascii="Arial" w:hAnsi="Arial" w:cs="Arial"/>
          <w:sz w:val="22"/>
          <w:szCs w:val="22"/>
          <w:lang w:val="fr-FR"/>
        </w:rPr>
        <w:t>Le</w:t>
      </w:r>
      <w:r w:rsidRPr="00953B52">
        <w:rPr>
          <w:rFonts w:ascii="Arial" w:hAnsi="Arial" w:cs="Arial"/>
          <w:sz w:val="22"/>
          <w:szCs w:val="22"/>
          <w:lang w:val="fr-FR"/>
        </w:rPr>
        <w:t xml:space="preserve"> fait d</w:t>
      </w:r>
      <w:r w:rsidR="00E84189">
        <w:rPr>
          <w:rFonts w:ascii="Arial" w:hAnsi="Arial" w:cs="Arial"/>
          <w:sz w:val="22"/>
          <w:szCs w:val="22"/>
          <w:lang w:val="fr-FR"/>
        </w:rPr>
        <w:t>’</w:t>
      </w:r>
      <w:r w:rsidRPr="00953B52">
        <w:rPr>
          <w:rFonts w:ascii="Arial" w:hAnsi="Arial" w:cs="Arial"/>
          <w:sz w:val="22"/>
          <w:szCs w:val="22"/>
          <w:lang w:val="fr-FR"/>
        </w:rPr>
        <w:t>exiger la divulgation de l</w:t>
      </w:r>
      <w:r w:rsidR="00E84189">
        <w:rPr>
          <w:rFonts w:ascii="Arial" w:hAnsi="Arial" w:cs="Arial"/>
          <w:sz w:val="22"/>
          <w:szCs w:val="22"/>
          <w:lang w:val="fr-FR"/>
        </w:rPr>
        <w:t>’</w:t>
      </w:r>
      <w:r w:rsidRPr="00953B52">
        <w:rPr>
          <w:rFonts w:ascii="Arial" w:hAnsi="Arial" w:cs="Arial"/>
          <w:sz w:val="22"/>
          <w:szCs w:val="22"/>
          <w:lang w:val="fr-FR"/>
        </w:rPr>
        <w:t>origine ou de la source pour les dérivés n</w:t>
      </w:r>
      <w:r w:rsidR="00E84189">
        <w:rPr>
          <w:rFonts w:ascii="Arial" w:hAnsi="Arial" w:cs="Arial"/>
          <w:sz w:val="22"/>
          <w:szCs w:val="22"/>
          <w:lang w:val="fr-FR"/>
        </w:rPr>
        <w:t>’</w:t>
      </w:r>
      <w:r w:rsidRPr="00953B52">
        <w:rPr>
          <w:rFonts w:ascii="Arial" w:hAnsi="Arial" w:cs="Arial"/>
          <w:sz w:val="22"/>
          <w:szCs w:val="22"/>
          <w:lang w:val="fr-FR"/>
        </w:rPr>
        <w:t>apporte donc généralement pas plus de transparence sur la source ou l</w:t>
      </w:r>
      <w:r w:rsidR="00E84189">
        <w:rPr>
          <w:rFonts w:ascii="Arial" w:hAnsi="Arial" w:cs="Arial"/>
          <w:sz w:val="22"/>
          <w:szCs w:val="22"/>
          <w:lang w:val="fr-FR"/>
        </w:rPr>
        <w:t>’</w:t>
      </w:r>
      <w:r w:rsidRPr="00953B52">
        <w:rPr>
          <w:rFonts w:ascii="Arial" w:hAnsi="Arial" w:cs="Arial"/>
          <w:sz w:val="22"/>
          <w:szCs w:val="22"/>
          <w:lang w:val="fr-FR"/>
        </w:rPr>
        <w:t>origine de la ressource génétique en elle</w:t>
      </w:r>
      <w:r w:rsidR="000B2FBE">
        <w:rPr>
          <w:rFonts w:ascii="Arial" w:hAnsi="Arial" w:cs="Arial"/>
          <w:sz w:val="22"/>
          <w:szCs w:val="22"/>
          <w:lang w:val="fr-FR"/>
        </w:rPr>
        <w:noBreakHyphen/>
      </w:r>
      <w:r w:rsidRPr="00953B52">
        <w:rPr>
          <w:rFonts w:ascii="Arial" w:hAnsi="Arial" w:cs="Arial"/>
          <w:sz w:val="22"/>
          <w:szCs w:val="22"/>
          <w:lang w:val="fr-FR"/>
        </w:rPr>
        <w:t>même mais peut entraîner des difficultés juridiques et pratiques pour les demandeurs de brevets et les offices de brevets.</w:t>
      </w:r>
    </w:p>
    <w:p w:rsidR="00CC5DF6" w:rsidRPr="00953B52" w:rsidRDefault="00CC5DF6" w:rsidP="005C0BD9">
      <w:pPr>
        <w:pStyle w:val="Text"/>
        <w:spacing w:after="240"/>
        <w:rPr>
          <w:rFonts w:ascii="Arial" w:hAnsi="Arial" w:cs="Arial"/>
          <w:b/>
          <w:sz w:val="22"/>
          <w:szCs w:val="22"/>
          <w:lang w:val="fr-FR"/>
        </w:rPr>
      </w:pPr>
      <w:r w:rsidRPr="00953B52">
        <w:rPr>
          <w:rFonts w:ascii="Arial" w:hAnsi="Arial" w:cs="Arial"/>
          <w:b/>
          <w:sz w:val="22"/>
          <w:szCs w:val="22"/>
          <w:lang w:val="fr-FR"/>
        </w:rPr>
        <w:t>Incidences sur les travaux de l</w:t>
      </w:r>
      <w:r w:rsidR="00E84189">
        <w:rPr>
          <w:rFonts w:ascii="Arial" w:hAnsi="Arial" w:cs="Arial"/>
          <w:b/>
          <w:sz w:val="22"/>
          <w:szCs w:val="22"/>
          <w:lang w:val="fr-FR"/>
        </w:rPr>
        <w:t>’</w:t>
      </w:r>
      <w:r w:rsidRPr="00953B52">
        <w:rPr>
          <w:rFonts w:ascii="Arial" w:hAnsi="Arial" w:cs="Arial"/>
          <w:b/>
          <w:sz w:val="22"/>
          <w:szCs w:val="22"/>
          <w:lang w:val="fr-FR"/>
        </w:rPr>
        <w:t>IGC</w:t>
      </w:r>
      <w:r w:rsidR="00E84189">
        <w:rPr>
          <w:rFonts w:ascii="Arial" w:hAnsi="Arial" w:cs="Arial"/>
          <w:b/>
          <w:sz w:val="22"/>
          <w:szCs w:val="22"/>
          <w:lang w:val="fr-FR"/>
        </w:rPr>
        <w:t> :</w:t>
      </w:r>
    </w:p>
    <w:p w:rsidR="00CC5DF6" w:rsidRPr="00953B52" w:rsidRDefault="00CC5DF6" w:rsidP="00234673">
      <w:pPr>
        <w:pStyle w:val="Text"/>
        <w:numPr>
          <w:ilvl w:val="0"/>
          <w:numId w:val="14"/>
        </w:numPr>
        <w:pBdr>
          <w:top w:val="single" w:sz="4" w:space="1" w:color="auto"/>
          <w:left w:val="single" w:sz="4" w:space="1" w:color="auto"/>
          <w:bottom w:val="single" w:sz="4" w:space="1" w:color="auto"/>
          <w:right w:val="single" w:sz="4" w:space="1" w:color="auto"/>
        </w:pBdr>
        <w:spacing w:before="80" w:after="80"/>
        <w:ind w:left="567" w:hanging="567"/>
        <w:rPr>
          <w:rFonts w:ascii="Arial" w:hAnsi="Arial" w:cs="Arial"/>
          <w:sz w:val="22"/>
          <w:szCs w:val="22"/>
          <w:lang w:val="fr-FR"/>
        </w:rPr>
      </w:pPr>
      <w:r w:rsidRPr="00953B52">
        <w:rPr>
          <w:rFonts w:ascii="Arial" w:hAnsi="Arial" w:cs="Arial"/>
          <w:sz w:val="22"/>
          <w:szCs w:val="22"/>
          <w:lang w:val="fr-FR"/>
        </w:rPr>
        <w:t>Un élargissement des exigences de divulgation en matière de brevets aux données des séquences génétiques ou à tout autre type d</w:t>
      </w:r>
      <w:r w:rsidR="00E84189">
        <w:rPr>
          <w:rFonts w:ascii="Arial" w:hAnsi="Arial" w:cs="Arial"/>
          <w:sz w:val="22"/>
          <w:szCs w:val="22"/>
          <w:lang w:val="fr-FR"/>
        </w:rPr>
        <w:t>’</w:t>
      </w:r>
      <w:r w:rsidRPr="00953B52">
        <w:rPr>
          <w:rFonts w:ascii="Arial" w:hAnsi="Arial" w:cs="Arial"/>
          <w:sz w:val="22"/>
          <w:szCs w:val="22"/>
          <w:lang w:val="fr-FR"/>
        </w:rPr>
        <w:t>information de séquençage numérique ou aux dérivés entraînera des difficultés juridiques et pratiques majeures sans apporter plus de transparence sur la source ou l</w:t>
      </w:r>
      <w:r w:rsidR="00E84189">
        <w:rPr>
          <w:rFonts w:ascii="Arial" w:hAnsi="Arial" w:cs="Arial"/>
          <w:sz w:val="22"/>
          <w:szCs w:val="22"/>
          <w:lang w:val="fr-FR"/>
        </w:rPr>
        <w:t>’</w:t>
      </w:r>
      <w:r w:rsidRPr="00953B52">
        <w:rPr>
          <w:rFonts w:ascii="Arial" w:hAnsi="Arial" w:cs="Arial"/>
          <w:sz w:val="22"/>
          <w:szCs w:val="22"/>
          <w:lang w:val="fr-FR"/>
        </w:rPr>
        <w:t>origine des ressources génétiques tangibles en tant que tel</w:t>
      </w:r>
      <w:r w:rsidR="0003571D" w:rsidRPr="00953B52">
        <w:rPr>
          <w:rFonts w:ascii="Arial" w:hAnsi="Arial" w:cs="Arial"/>
          <w:sz w:val="22"/>
          <w:szCs w:val="22"/>
          <w:lang w:val="fr-FR"/>
        </w:rPr>
        <w:t>le</w:t>
      </w:r>
      <w:r w:rsidR="0003571D">
        <w:rPr>
          <w:rFonts w:ascii="Arial" w:hAnsi="Arial" w:cs="Arial"/>
          <w:sz w:val="22"/>
          <w:szCs w:val="22"/>
          <w:lang w:val="fr-FR"/>
        </w:rPr>
        <w:t xml:space="preserve">.  </w:t>
      </w:r>
      <w:r w:rsidR="0003571D" w:rsidRPr="00953B52">
        <w:rPr>
          <w:rFonts w:ascii="Arial" w:hAnsi="Arial" w:cs="Arial"/>
          <w:sz w:val="22"/>
          <w:szCs w:val="22"/>
          <w:lang w:val="fr-FR"/>
        </w:rPr>
        <w:t>Un</w:t>
      </w:r>
      <w:r w:rsidRPr="00953B52">
        <w:rPr>
          <w:rFonts w:ascii="Arial" w:hAnsi="Arial" w:cs="Arial"/>
          <w:sz w:val="22"/>
          <w:szCs w:val="22"/>
          <w:lang w:val="fr-FR"/>
        </w:rPr>
        <w:t>e exigence de divulgation internationale en matière de brevets doit donc porter uniquement sur les ressources génétiques telles que définies dans</w:t>
      </w:r>
      <w:r w:rsidR="00546B53" w:rsidRPr="00953B52">
        <w:rPr>
          <w:rFonts w:ascii="Arial" w:hAnsi="Arial" w:cs="Arial"/>
          <w:sz w:val="22"/>
          <w:szCs w:val="22"/>
          <w:lang w:val="fr-FR"/>
        </w:rPr>
        <w:t xml:space="preserve"> la</w:t>
      </w:r>
      <w:r w:rsidR="00546B53">
        <w:rPr>
          <w:rFonts w:ascii="Arial" w:hAnsi="Arial" w:cs="Arial"/>
          <w:sz w:val="22"/>
          <w:szCs w:val="22"/>
          <w:lang w:val="fr-FR"/>
        </w:rPr>
        <w:t> </w:t>
      </w:r>
      <w:r w:rsidR="00546B53" w:rsidRPr="00953B52">
        <w:rPr>
          <w:rFonts w:ascii="Arial" w:hAnsi="Arial" w:cs="Arial"/>
          <w:sz w:val="22"/>
          <w:szCs w:val="22"/>
          <w:lang w:val="fr-FR"/>
        </w:rPr>
        <w:t>CDB</w:t>
      </w:r>
      <w:r w:rsidRPr="00953B52">
        <w:rPr>
          <w:rFonts w:ascii="Arial" w:hAnsi="Arial" w:cs="Arial"/>
          <w:sz w:val="22"/>
          <w:szCs w:val="22"/>
          <w:lang w:val="fr-FR"/>
        </w:rPr>
        <w:t xml:space="preserve"> et dans le Protocole de Nagoya.</w:t>
      </w:r>
    </w:p>
    <w:p w:rsidR="00CC5DF6" w:rsidRPr="00953B52" w:rsidRDefault="00CC5DF6" w:rsidP="00234673">
      <w:pPr>
        <w:pStyle w:val="Text"/>
        <w:numPr>
          <w:ilvl w:val="0"/>
          <w:numId w:val="14"/>
        </w:numPr>
        <w:pBdr>
          <w:top w:val="single" w:sz="4" w:space="1" w:color="auto"/>
          <w:left w:val="single" w:sz="4" w:space="1" w:color="auto"/>
          <w:bottom w:val="single" w:sz="4" w:space="1" w:color="auto"/>
          <w:right w:val="single" w:sz="4" w:space="1" w:color="auto"/>
        </w:pBdr>
        <w:spacing w:before="80" w:after="80"/>
        <w:ind w:left="567" w:hanging="567"/>
        <w:rPr>
          <w:rFonts w:ascii="Arial" w:hAnsi="Arial" w:cs="Arial"/>
          <w:sz w:val="22"/>
          <w:szCs w:val="22"/>
          <w:lang w:val="fr-FR"/>
        </w:rPr>
      </w:pPr>
      <w:r w:rsidRPr="00953B52">
        <w:rPr>
          <w:rFonts w:ascii="Arial" w:hAnsi="Arial" w:cs="Arial"/>
          <w:sz w:val="22"/>
          <w:szCs w:val="22"/>
          <w:lang w:val="fr-FR"/>
        </w:rPr>
        <w:lastRenderedPageBreak/>
        <w:t xml:space="preserve">De plus, les questions concernant notamment les </w:t>
      </w:r>
      <w:r w:rsidR="00546B53">
        <w:rPr>
          <w:rFonts w:ascii="Arial" w:hAnsi="Arial" w:cs="Arial"/>
          <w:sz w:val="22"/>
          <w:szCs w:val="22"/>
          <w:lang w:val="fr-FR"/>
        </w:rPr>
        <w:t>“</w:t>
      </w:r>
      <w:r w:rsidR="00546B53" w:rsidRPr="00953B52">
        <w:rPr>
          <w:rFonts w:ascii="Arial" w:hAnsi="Arial" w:cs="Arial"/>
          <w:sz w:val="22"/>
          <w:szCs w:val="22"/>
          <w:lang w:val="fr-FR"/>
        </w:rPr>
        <w:t>i</w:t>
      </w:r>
      <w:r w:rsidRPr="00953B52">
        <w:rPr>
          <w:rFonts w:ascii="Arial" w:hAnsi="Arial" w:cs="Arial"/>
          <w:sz w:val="22"/>
          <w:szCs w:val="22"/>
          <w:lang w:val="fr-FR"/>
        </w:rPr>
        <w:t>nformations de séquençage numériqu</w:t>
      </w:r>
      <w:r w:rsidR="00546B53" w:rsidRPr="00953B52">
        <w:rPr>
          <w:rFonts w:ascii="Arial" w:hAnsi="Arial" w:cs="Arial"/>
          <w:sz w:val="22"/>
          <w:szCs w:val="22"/>
          <w:lang w:val="fr-FR"/>
        </w:rPr>
        <w:t>e</w:t>
      </w:r>
      <w:r w:rsidR="00546B53">
        <w:rPr>
          <w:rFonts w:ascii="Arial" w:hAnsi="Arial" w:cs="Arial"/>
          <w:sz w:val="22"/>
          <w:szCs w:val="22"/>
          <w:lang w:val="fr-FR"/>
        </w:rPr>
        <w:t>”</w:t>
      </w:r>
      <w:r w:rsidRPr="00953B52">
        <w:rPr>
          <w:rFonts w:ascii="Arial" w:hAnsi="Arial" w:cs="Arial"/>
          <w:sz w:val="22"/>
          <w:szCs w:val="22"/>
          <w:lang w:val="fr-FR"/>
        </w:rPr>
        <w:t xml:space="preserve"> sont actuellement examinées par les instances internationales traitant de l</w:t>
      </w:r>
      <w:r w:rsidR="00E84189">
        <w:rPr>
          <w:rFonts w:ascii="Arial" w:hAnsi="Arial" w:cs="Arial"/>
          <w:sz w:val="22"/>
          <w:szCs w:val="22"/>
          <w:lang w:val="fr-FR"/>
        </w:rPr>
        <w:t>’</w:t>
      </w:r>
      <w:r w:rsidRPr="00953B52">
        <w:rPr>
          <w:rFonts w:ascii="Arial" w:hAnsi="Arial" w:cs="Arial"/>
          <w:sz w:val="22"/>
          <w:szCs w:val="22"/>
          <w:lang w:val="fr-FR"/>
        </w:rPr>
        <w:t>accès et du partage des avantag</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Co</w:t>
      </w:r>
      <w:r w:rsidRPr="00953B52">
        <w:rPr>
          <w:rFonts w:ascii="Arial" w:hAnsi="Arial" w:cs="Arial"/>
          <w:sz w:val="22"/>
          <w:szCs w:val="22"/>
          <w:lang w:val="fr-FR"/>
        </w:rPr>
        <w:t>nfier ces questions irrésolues à l</w:t>
      </w:r>
      <w:r w:rsidR="00E84189">
        <w:rPr>
          <w:rFonts w:ascii="Arial" w:hAnsi="Arial" w:cs="Arial"/>
          <w:sz w:val="22"/>
          <w:szCs w:val="22"/>
          <w:lang w:val="fr-FR"/>
        </w:rPr>
        <w:t>’</w:t>
      </w:r>
      <w:r w:rsidRPr="00953B52">
        <w:rPr>
          <w:rFonts w:ascii="Arial" w:hAnsi="Arial" w:cs="Arial"/>
          <w:sz w:val="22"/>
          <w:szCs w:val="22"/>
          <w:lang w:val="fr-FR"/>
        </w:rPr>
        <w:t>IGC ajouterait encore un niveau de complexité supplémentaire qui retarderait encore le moment où serait trouvée une solution pour une exigence de divulgation internationale en matière de brevets qui soit exploitable.</w:t>
      </w:r>
    </w:p>
    <w:p w:rsidR="00CC5DF6" w:rsidRPr="00234673" w:rsidRDefault="00234673" w:rsidP="00234673">
      <w:pPr>
        <w:pStyle w:val="Heading2"/>
      </w:pPr>
      <w:bookmarkStart w:id="27" w:name="_Toc51243823"/>
      <w:r>
        <w:t>2.3</w:t>
      </w:r>
      <w:r>
        <w:tab/>
      </w:r>
      <w:r w:rsidR="00CC5DF6" w:rsidRPr="00234673">
        <w:t>La situation en termes de brevets</w:t>
      </w:r>
      <w:bookmarkEnd w:id="27"/>
    </w:p>
    <w:p w:rsidR="00546B53" w:rsidRDefault="00CC5DF6" w:rsidP="005C0BD9">
      <w:pPr>
        <w:pStyle w:val="Text"/>
        <w:spacing w:after="80"/>
        <w:rPr>
          <w:rFonts w:ascii="Arial" w:hAnsi="Arial" w:cs="Arial"/>
          <w:sz w:val="22"/>
          <w:szCs w:val="22"/>
          <w:lang w:val="fr-FR"/>
        </w:rPr>
      </w:pPr>
      <w:r w:rsidRPr="00953B52">
        <w:rPr>
          <w:rFonts w:ascii="Arial" w:hAnsi="Arial" w:cs="Arial"/>
          <w:sz w:val="22"/>
          <w:szCs w:val="22"/>
          <w:lang w:val="fr-FR"/>
        </w:rPr>
        <w:t>Un certain nombre d</w:t>
      </w:r>
      <w:r w:rsidR="00E84189">
        <w:rPr>
          <w:rFonts w:ascii="Arial" w:hAnsi="Arial" w:cs="Arial"/>
          <w:sz w:val="22"/>
          <w:szCs w:val="22"/>
          <w:lang w:val="fr-FR"/>
        </w:rPr>
        <w:t>’</w:t>
      </w:r>
      <w:r w:rsidRPr="00953B52">
        <w:rPr>
          <w:rFonts w:ascii="Arial" w:hAnsi="Arial" w:cs="Arial"/>
          <w:sz w:val="22"/>
          <w:szCs w:val="22"/>
          <w:lang w:val="fr-FR"/>
        </w:rPr>
        <w:t>études ont été réalisées récemment sur la situation générale en matière de brevets ou sur des types spécifiques de ressources génétiques et de secteurs utilisant des ressources génétiqu</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D</w:t>
      </w:r>
      <w:r w:rsidR="0003571D">
        <w:rPr>
          <w:rFonts w:ascii="Arial" w:hAnsi="Arial" w:cs="Arial"/>
          <w:sz w:val="22"/>
          <w:szCs w:val="22"/>
          <w:lang w:val="fr-FR"/>
        </w:rPr>
        <w:t>’</w:t>
      </w:r>
      <w:r w:rsidR="0003571D" w:rsidRPr="00953B52">
        <w:rPr>
          <w:rFonts w:ascii="Arial" w:hAnsi="Arial" w:cs="Arial"/>
          <w:sz w:val="22"/>
          <w:szCs w:val="22"/>
          <w:lang w:val="fr-FR"/>
        </w:rPr>
        <w:t>a</w:t>
      </w:r>
      <w:r w:rsidRPr="00953B52">
        <w:rPr>
          <w:rFonts w:ascii="Arial" w:hAnsi="Arial" w:cs="Arial"/>
          <w:sz w:val="22"/>
          <w:szCs w:val="22"/>
          <w:lang w:val="fr-FR"/>
        </w:rPr>
        <w:t>près ces études, exposées plus en détail ci</w:t>
      </w:r>
      <w:r w:rsidR="000B2FBE">
        <w:rPr>
          <w:rFonts w:ascii="Arial" w:hAnsi="Arial" w:cs="Arial"/>
          <w:sz w:val="22"/>
          <w:szCs w:val="22"/>
          <w:lang w:val="fr-FR"/>
        </w:rPr>
        <w:noBreakHyphen/>
      </w:r>
      <w:r w:rsidRPr="00953B52">
        <w:rPr>
          <w:rFonts w:ascii="Arial" w:hAnsi="Arial" w:cs="Arial"/>
          <w:sz w:val="22"/>
          <w:szCs w:val="22"/>
          <w:lang w:val="fr-FR"/>
        </w:rPr>
        <w:t>dessous, il semble raisonnable de conclure que la situation en matière de brevets, concernant les ressources génétiques et les savoirs traditionnels connexes, a considérablement évolué depuis les premières discussions au sein de l</w:t>
      </w:r>
      <w:r w:rsidR="00E84189">
        <w:rPr>
          <w:rFonts w:ascii="Arial" w:hAnsi="Arial" w:cs="Arial"/>
          <w:sz w:val="22"/>
          <w:szCs w:val="22"/>
          <w:lang w:val="fr-FR"/>
        </w:rPr>
        <w:t>’</w:t>
      </w:r>
      <w:r w:rsidRPr="00953B52">
        <w:rPr>
          <w:rFonts w:ascii="Arial" w:hAnsi="Arial" w:cs="Arial"/>
          <w:sz w:val="22"/>
          <w:szCs w:val="22"/>
          <w:lang w:val="fr-FR"/>
        </w:rPr>
        <w:t>IGC sur une exigence de divulgation internationale en matière de brevets.</w:t>
      </w:r>
    </w:p>
    <w:p w:rsidR="00546B53" w:rsidRDefault="00CC5DF6" w:rsidP="005C0BD9">
      <w:pPr>
        <w:pStyle w:val="Text"/>
        <w:spacing w:after="80"/>
        <w:rPr>
          <w:rFonts w:ascii="Arial" w:hAnsi="Arial" w:cs="Arial"/>
          <w:sz w:val="22"/>
          <w:szCs w:val="22"/>
          <w:lang w:val="fr-FR"/>
        </w:rPr>
      </w:pPr>
      <w:r w:rsidRPr="00953B52">
        <w:rPr>
          <w:rFonts w:ascii="Arial" w:hAnsi="Arial" w:cs="Arial"/>
          <w:sz w:val="22"/>
          <w:szCs w:val="22"/>
          <w:lang w:val="fr-FR"/>
        </w:rPr>
        <w:t>Les principales conclusions qui en ont été tirées sont les suivantes</w:t>
      </w:r>
      <w:r w:rsidR="00E84189">
        <w:rPr>
          <w:rFonts w:ascii="Arial" w:hAnsi="Arial" w:cs="Arial"/>
          <w:sz w:val="22"/>
          <w:szCs w:val="22"/>
          <w:lang w:val="fr-FR"/>
        </w:rPr>
        <w:t> :</w:t>
      </w:r>
    </w:p>
    <w:p w:rsidR="00CC5DF6" w:rsidRPr="00953B52" w:rsidRDefault="00CC5DF6" w:rsidP="00234673">
      <w:pPr>
        <w:pStyle w:val="Text"/>
        <w:numPr>
          <w:ilvl w:val="0"/>
          <w:numId w:val="21"/>
        </w:numPr>
        <w:ind w:left="1134" w:hanging="567"/>
        <w:rPr>
          <w:rFonts w:ascii="Arial" w:hAnsi="Arial" w:cs="Arial"/>
          <w:sz w:val="22"/>
          <w:szCs w:val="22"/>
          <w:lang w:val="fr-FR"/>
        </w:rPr>
      </w:pPr>
      <w:proofErr w:type="gramStart"/>
      <w:r w:rsidRPr="00953B52">
        <w:rPr>
          <w:rFonts w:ascii="Arial" w:hAnsi="Arial" w:cs="Arial"/>
          <w:sz w:val="22"/>
          <w:szCs w:val="22"/>
          <w:lang w:val="fr-FR"/>
        </w:rPr>
        <w:t>la</w:t>
      </w:r>
      <w:proofErr w:type="gramEnd"/>
      <w:r w:rsidRPr="00953B52">
        <w:rPr>
          <w:rFonts w:ascii="Arial" w:hAnsi="Arial" w:cs="Arial"/>
          <w:sz w:val="22"/>
          <w:szCs w:val="22"/>
          <w:lang w:val="fr-FR"/>
        </w:rPr>
        <w:t xml:space="preserve"> plupart des ressources génétiques citées dans les demandes de brevet correspondent à une diversité très limitée de ressources génétiques;</w:t>
      </w:r>
    </w:p>
    <w:p w:rsidR="00CC5DF6" w:rsidRPr="00953B52" w:rsidRDefault="00CC5DF6" w:rsidP="00234673">
      <w:pPr>
        <w:pStyle w:val="Text"/>
        <w:numPr>
          <w:ilvl w:val="0"/>
          <w:numId w:val="21"/>
        </w:numPr>
        <w:ind w:left="1134" w:hanging="567"/>
        <w:rPr>
          <w:rFonts w:ascii="Arial" w:hAnsi="Arial" w:cs="Arial"/>
          <w:sz w:val="22"/>
          <w:szCs w:val="22"/>
          <w:lang w:val="fr-FR"/>
        </w:rPr>
      </w:pPr>
      <w:proofErr w:type="gramStart"/>
      <w:r w:rsidRPr="00953B52">
        <w:rPr>
          <w:rFonts w:ascii="Arial" w:hAnsi="Arial" w:cs="Arial"/>
          <w:sz w:val="22"/>
          <w:szCs w:val="22"/>
          <w:lang w:val="fr-FR"/>
        </w:rPr>
        <w:t>les</w:t>
      </w:r>
      <w:proofErr w:type="gramEnd"/>
      <w:r w:rsidRPr="00953B52">
        <w:rPr>
          <w:rFonts w:ascii="Arial" w:hAnsi="Arial" w:cs="Arial"/>
          <w:sz w:val="22"/>
          <w:szCs w:val="22"/>
          <w:lang w:val="fr-FR"/>
        </w:rPr>
        <w:t xml:space="preserve"> mêmes ressources génétiques ou des ressources génétiques semblables peuvent être obtenues à partir de sources diverses; </w:t>
      </w:r>
      <w:r w:rsidR="00095B51">
        <w:rPr>
          <w:rFonts w:ascii="Arial" w:hAnsi="Arial" w:cs="Arial"/>
          <w:sz w:val="22"/>
          <w:szCs w:val="22"/>
          <w:lang w:val="fr-FR"/>
        </w:rPr>
        <w:t xml:space="preserve"> </w:t>
      </w:r>
      <w:r w:rsidRPr="00953B52">
        <w:rPr>
          <w:rFonts w:ascii="Arial" w:hAnsi="Arial" w:cs="Arial"/>
          <w:sz w:val="22"/>
          <w:szCs w:val="22"/>
          <w:lang w:val="fr-FR"/>
        </w:rPr>
        <w:t>et</w:t>
      </w:r>
    </w:p>
    <w:p w:rsidR="00546B53" w:rsidRDefault="00CC5DF6" w:rsidP="00234673">
      <w:pPr>
        <w:pStyle w:val="Text"/>
        <w:numPr>
          <w:ilvl w:val="0"/>
          <w:numId w:val="21"/>
        </w:numPr>
        <w:spacing w:after="160"/>
        <w:ind w:left="1134" w:hanging="567"/>
        <w:rPr>
          <w:rFonts w:ascii="Arial" w:hAnsi="Arial" w:cs="Arial"/>
          <w:sz w:val="22"/>
          <w:szCs w:val="22"/>
          <w:lang w:val="fr-FR"/>
        </w:rPr>
      </w:pPr>
      <w:proofErr w:type="gramStart"/>
      <w:r w:rsidRPr="00953B52">
        <w:rPr>
          <w:rFonts w:ascii="Arial" w:hAnsi="Arial" w:cs="Arial"/>
          <w:sz w:val="22"/>
          <w:szCs w:val="22"/>
          <w:lang w:val="fr-FR"/>
        </w:rPr>
        <w:t>l</w:t>
      </w:r>
      <w:r w:rsidR="00E84189">
        <w:rPr>
          <w:rFonts w:ascii="Arial" w:hAnsi="Arial" w:cs="Arial"/>
          <w:sz w:val="22"/>
          <w:szCs w:val="22"/>
          <w:lang w:val="fr-FR"/>
        </w:rPr>
        <w:t>’</w:t>
      </w:r>
      <w:r w:rsidRPr="00953B52">
        <w:rPr>
          <w:rFonts w:ascii="Arial" w:hAnsi="Arial" w:cs="Arial"/>
          <w:sz w:val="22"/>
          <w:szCs w:val="22"/>
          <w:lang w:val="fr-FR"/>
        </w:rPr>
        <w:t>innovation</w:t>
      </w:r>
      <w:proofErr w:type="gramEnd"/>
      <w:r w:rsidRPr="00953B52">
        <w:rPr>
          <w:rFonts w:ascii="Arial" w:hAnsi="Arial" w:cs="Arial"/>
          <w:sz w:val="22"/>
          <w:szCs w:val="22"/>
          <w:lang w:val="fr-FR"/>
        </w:rPr>
        <w:t xml:space="preserve"> repose de plus en plus sur des collaborations internationales, en particulier pour les brevets de haute qualité.</w:t>
      </w:r>
    </w:p>
    <w:p w:rsidR="00546B53" w:rsidRDefault="00CC5DF6" w:rsidP="00234673">
      <w:pPr>
        <w:pStyle w:val="Heading3"/>
      </w:pPr>
      <w:bookmarkStart w:id="28" w:name="_Toc26953281"/>
      <w:bookmarkStart w:id="29" w:name="_Toc26953381"/>
      <w:bookmarkStart w:id="30" w:name="_Toc51243824"/>
      <w:r w:rsidRPr="00953B52">
        <w:t>a)</w:t>
      </w:r>
      <w:bookmarkEnd w:id="28"/>
      <w:bookmarkEnd w:id="29"/>
      <w:r w:rsidRPr="00953B52">
        <w:tab/>
        <w:t>Principaux types de ressources génétiques dans les demandes de brevet</w:t>
      </w:r>
      <w:bookmarkEnd w:id="30"/>
    </w:p>
    <w:p w:rsidR="00CC5DF6" w:rsidRPr="00953B52"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Selon l</w:t>
      </w:r>
      <w:r w:rsidR="00E84189">
        <w:rPr>
          <w:rFonts w:ascii="Arial" w:hAnsi="Arial" w:cs="Arial"/>
          <w:sz w:val="22"/>
          <w:szCs w:val="22"/>
          <w:lang w:val="fr-FR"/>
        </w:rPr>
        <w:t>’</w:t>
      </w:r>
      <w:r w:rsidRPr="00953B52">
        <w:rPr>
          <w:rFonts w:ascii="Arial" w:hAnsi="Arial" w:cs="Arial"/>
          <w:sz w:val="22"/>
          <w:szCs w:val="22"/>
          <w:lang w:val="fr-FR"/>
        </w:rPr>
        <w:t>une de ces études, l</w:t>
      </w:r>
      <w:r w:rsidR="00E84189">
        <w:rPr>
          <w:rFonts w:ascii="Arial" w:hAnsi="Arial" w:cs="Arial"/>
          <w:sz w:val="22"/>
          <w:szCs w:val="22"/>
          <w:lang w:val="fr-FR"/>
        </w:rPr>
        <w:t>’</w:t>
      </w:r>
      <w:r w:rsidRPr="00953B52">
        <w:rPr>
          <w:rFonts w:ascii="Arial" w:hAnsi="Arial" w:cs="Arial"/>
          <w:sz w:val="22"/>
          <w:szCs w:val="22"/>
          <w:lang w:val="fr-FR"/>
        </w:rPr>
        <w:t>activité humaine d</w:t>
      </w:r>
      <w:r w:rsidR="00E84189">
        <w:rPr>
          <w:rFonts w:ascii="Arial" w:hAnsi="Arial" w:cs="Arial"/>
          <w:sz w:val="22"/>
          <w:szCs w:val="22"/>
          <w:lang w:val="fr-FR"/>
        </w:rPr>
        <w:t>’</w:t>
      </w:r>
      <w:r w:rsidRPr="00953B52">
        <w:rPr>
          <w:rFonts w:ascii="Arial" w:hAnsi="Arial" w:cs="Arial"/>
          <w:sz w:val="22"/>
          <w:szCs w:val="22"/>
          <w:lang w:val="fr-FR"/>
        </w:rPr>
        <w:t xml:space="preserve">innovation impliquant la biodiversité dans le système de </w:t>
      </w:r>
      <w:r w:rsidR="00095B51" w:rsidRPr="00953B52">
        <w:rPr>
          <w:rFonts w:ascii="Arial" w:hAnsi="Arial" w:cs="Arial"/>
          <w:sz w:val="22"/>
          <w:szCs w:val="22"/>
          <w:lang w:val="fr-FR"/>
        </w:rPr>
        <w:t>brevet</w:t>
      </w:r>
      <w:r w:rsidR="00095B51">
        <w:rPr>
          <w:rFonts w:ascii="Arial" w:hAnsi="Arial" w:cs="Arial"/>
          <w:sz w:val="22"/>
          <w:szCs w:val="22"/>
          <w:lang w:val="fr-FR"/>
        </w:rPr>
        <w:t>s</w:t>
      </w:r>
      <w:r w:rsidRPr="00953B52">
        <w:rPr>
          <w:rFonts w:ascii="Arial" w:hAnsi="Arial" w:cs="Arial"/>
          <w:sz w:val="22"/>
          <w:szCs w:val="22"/>
          <w:lang w:val="fr-FR"/>
        </w:rPr>
        <w:t xml:space="preserve"> ne porte que sur environ 4% de l</w:t>
      </w:r>
      <w:r w:rsidR="00E84189">
        <w:rPr>
          <w:rFonts w:ascii="Arial" w:hAnsi="Arial" w:cs="Arial"/>
          <w:sz w:val="22"/>
          <w:szCs w:val="22"/>
          <w:lang w:val="fr-FR"/>
        </w:rPr>
        <w:t>’</w:t>
      </w:r>
      <w:r w:rsidRPr="00953B52">
        <w:rPr>
          <w:rFonts w:ascii="Arial" w:hAnsi="Arial" w:cs="Arial"/>
          <w:sz w:val="22"/>
          <w:szCs w:val="22"/>
          <w:lang w:val="fr-FR"/>
        </w:rPr>
        <w:t>ensemble des espèces répertoriées dans des taxinomies (0,8</w:t>
      </w:r>
      <w:r w:rsidR="000B2FBE">
        <w:rPr>
          <w:rFonts w:ascii="Arial" w:hAnsi="Arial" w:cs="Arial"/>
          <w:sz w:val="22"/>
          <w:szCs w:val="22"/>
          <w:lang w:val="fr-FR"/>
        </w:rPr>
        <w:noBreakHyphen/>
      </w:r>
      <w:r w:rsidRPr="00953B52">
        <w:rPr>
          <w:rFonts w:ascii="Arial" w:hAnsi="Arial" w:cs="Arial"/>
          <w:sz w:val="22"/>
          <w:szCs w:val="22"/>
          <w:lang w:val="fr-FR"/>
        </w:rPr>
        <w:t>1% des espèces faisant l</w:t>
      </w:r>
      <w:r w:rsidR="00E84189">
        <w:rPr>
          <w:rFonts w:ascii="Arial" w:hAnsi="Arial" w:cs="Arial"/>
          <w:sz w:val="22"/>
          <w:szCs w:val="22"/>
          <w:lang w:val="fr-FR"/>
        </w:rPr>
        <w:t>’</w:t>
      </w:r>
      <w:r w:rsidRPr="00953B52">
        <w:rPr>
          <w:rFonts w:ascii="Arial" w:hAnsi="Arial" w:cs="Arial"/>
          <w:sz w:val="22"/>
          <w:szCs w:val="22"/>
          <w:lang w:val="fr-FR"/>
        </w:rPr>
        <w:t>objet de prévisions mondiales)</w:t>
      </w:r>
      <w:r w:rsidRPr="00953B52">
        <w:rPr>
          <w:rStyle w:val="FootnoteReference"/>
          <w:rFonts w:ascii="Arial" w:hAnsi="Arial" w:cs="Arial"/>
          <w:sz w:val="22"/>
          <w:szCs w:val="22"/>
          <w:lang w:val="fr-FR"/>
        </w:rPr>
        <w:footnoteReference w:id="19"/>
      </w:r>
      <w:r w:rsidR="00095B51">
        <w:rPr>
          <w:rFonts w:ascii="Arial" w:hAnsi="Arial" w:cs="Arial"/>
          <w:sz w:val="22"/>
          <w:szCs w:val="22"/>
          <w:lang w:val="fr-FR"/>
        </w:rPr>
        <w:t xml:space="preserve">. </w:t>
      </w:r>
      <w:r w:rsidRPr="00953B52">
        <w:rPr>
          <w:rFonts w:ascii="Arial" w:hAnsi="Arial" w:cs="Arial"/>
          <w:sz w:val="22"/>
          <w:szCs w:val="22"/>
          <w:lang w:val="fr-FR"/>
        </w:rPr>
        <w:t xml:space="preserve"> Les espèces apparaissant le plus souvent dans les revendications sont les suivantes</w:t>
      </w:r>
      <w:r w:rsidR="00E84189">
        <w:rPr>
          <w:rFonts w:ascii="Arial" w:hAnsi="Arial" w:cs="Arial"/>
          <w:sz w:val="22"/>
          <w:szCs w:val="22"/>
          <w:lang w:val="fr-FR"/>
        </w:rPr>
        <w:t> :</w:t>
      </w:r>
      <w:r w:rsidRPr="00953B52">
        <w:rPr>
          <w:rFonts w:ascii="Arial" w:hAnsi="Arial" w:cs="Arial"/>
          <w:sz w:val="22"/>
          <w:szCs w:val="22"/>
          <w:lang w:val="fr-FR"/>
        </w:rPr>
        <w:t xml:space="preserve"> </w:t>
      </w:r>
      <w:proofErr w:type="spellStart"/>
      <w:r w:rsidRPr="00953B52">
        <w:rPr>
          <w:rFonts w:ascii="Arial" w:hAnsi="Arial" w:cs="Arial"/>
          <w:i/>
          <w:sz w:val="22"/>
          <w:szCs w:val="22"/>
          <w:lang w:val="fr-FR"/>
        </w:rPr>
        <w:t>Zea</w:t>
      </w:r>
      <w:proofErr w:type="spellEnd"/>
      <w:r w:rsidRPr="00953B52">
        <w:rPr>
          <w:rFonts w:ascii="Arial" w:hAnsi="Arial" w:cs="Arial"/>
          <w:i/>
          <w:sz w:val="22"/>
          <w:szCs w:val="22"/>
          <w:lang w:val="fr-FR"/>
        </w:rPr>
        <w:t xml:space="preserve"> </w:t>
      </w:r>
      <w:proofErr w:type="spellStart"/>
      <w:r w:rsidRPr="00953B52">
        <w:rPr>
          <w:rFonts w:ascii="Arial" w:hAnsi="Arial" w:cs="Arial"/>
          <w:i/>
          <w:sz w:val="22"/>
          <w:szCs w:val="22"/>
          <w:lang w:val="fr-FR"/>
        </w:rPr>
        <w:t>mays</w:t>
      </w:r>
      <w:proofErr w:type="spellEnd"/>
      <w:r w:rsidRPr="00953B52">
        <w:rPr>
          <w:rFonts w:ascii="Arial" w:hAnsi="Arial" w:cs="Arial"/>
          <w:sz w:val="22"/>
          <w:szCs w:val="22"/>
          <w:lang w:val="fr-FR"/>
        </w:rPr>
        <w:t xml:space="preserve"> (maïs), </w:t>
      </w:r>
      <w:r w:rsidRPr="00953B52">
        <w:rPr>
          <w:rFonts w:ascii="Arial" w:hAnsi="Arial" w:cs="Arial"/>
          <w:i/>
          <w:sz w:val="22"/>
          <w:szCs w:val="22"/>
          <w:lang w:val="fr-FR"/>
        </w:rPr>
        <w:t>Escherichia coli</w:t>
      </w:r>
      <w:r w:rsidRPr="00953B52">
        <w:rPr>
          <w:rFonts w:ascii="Arial" w:hAnsi="Arial" w:cs="Arial"/>
          <w:sz w:val="22"/>
          <w:szCs w:val="22"/>
          <w:lang w:val="fr-FR"/>
        </w:rPr>
        <w:t xml:space="preserve">, </w:t>
      </w:r>
      <w:r w:rsidRPr="00953B52">
        <w:rPr>
          <w:rFonts w:ascii="Arial" w:hAnsi="Arial" w:cs="Arial"/>
          <w:i/>
          <w:sz w:val="22"/>
          <w:szCs w:val="22"/>
          <w:lang w:val="fr-FR"/>
        </w:rPr>
        <w:t>Saccharomyces cerevisiae</w:t>
      </w:r>
      <w:r w:rsidRPr="00953B52">
        <w:rPr>
          <w:rFonts w:ascii="Arial" w:hAnsi="Arial" w:cs="Arial"/>
          <w:sz w:val="22"/>
          <w:szCs w:val="22"/>
          <w:lang w:val="fr-FR"/>
        </w:rPr>
        <w:t xml:space="preserve">, </w:t>
      </w:r>
      <w:proofErr w:type="spellStart"/>
      <w:r w:rsidRPr="00953B52">
        <w:rPr>
          <w:rFonts w:ascii="Arial" w:hAnsi="Arial" w:cs="Arial"/>
          <w:i/>
          <w:sz w:val="22"/>
          <w:szCs w:val="22"/>
          <w:lang w:val="fr-FR"/>
        </w:rPr>
        <w:t>Oryza</w:t>
      </w:r>
      <w:proofErr w:type="spellEnd"/>
      <w:r w:rsidRPr="00953B52">
        <w:rPr>
          <w:rFonts w:ascii="Arial" w:hAnsi="Arial" w:cs="Arial"/>
          <w:i/>
          <w:sz w:val="22"/>
          <w:szCs w:val="22"/>
          <w:lang w:val="fr-FR"/>
        </w:rPr>
        <w:t xml:space="preserve"> </w:t>
      </w:r>
      <w:proofErr w:type="spellStart"/>
      <w:r w:rsidRPr="00953B52">
        <w:rPr>
          <w:rFonts w:ascii="Arial" w:hAnsi="Arial" w:cs="Arial"/>
          <w:i/>
          <w:sz w:val="22"/>
          <w:szCs w:val="22"/>
          <w:lang w:val="fr-FR"/>
        </w:rPr>
        <w:t>sativa</w:t>
      </w:r>
      <w:proofErr w:type="spellEnd"/>
      <w:r w:rsidRPr="00953B52">
        <w:rPr>
          <w:rFonts w:ascii="Arial" w:hAnsi="Arial" w:cs="Arial"/>
          <w:sz w:val="22"/>
          <w:szCs w:val="22"/>
          <w:lang w:val="fr-FR"/>
        </w:rPr>
        <w:t xml:space="preserve"> (riz), </w:t>
      </w:r>
      <w:r w:rsidRPr="00953B52">
        <w:rPr>
          <w:rFonts w:ascii="Arial" w:hAnsi="Arial" w:cs="Arial"/>
          <w:i/>
          <w:sz w:val="22"/>
          <w:szCs w:val="22"/>
          <w:lang w:val="fr-FR"/>
        </w:rPr>
        <w:t xml:space="preserve">Bacillus </w:t>
      </w:r>
      <w:proofErr w:type="spellStart"/>
      <w:r w:rsidRPr="00953B52">
        <w:rPr>
          <w:rFonts w:ascii="Arial" w:hAnsi="Arial" w:cs="Arial"/>
          <w:i/>
          <w:sz w:val="22"/>
          <w:szCs w:val="22"/>
          <w:lang w:val="fr-FR"/>
        </w:rPr>
        <w:t>thuringiensis</w:t>
      </w:r>
      <w:proofErr w:type="spellEnd"/>
      <w:r w:rsidRPr="00953B52">
        <w:rPr>
          <w:rFonts w:ascii="Arial" w:hAnsi="Arial" w:cs="Arial"/>
          <w:sz w:val="22"/>
          <w:szCs w:val="22"/>
          <w:lang w:val="fr-FR"/>
        </w:rPr>
        <w:t xml:space="preserve"> et </w:t>
      </w:r>
      <w:r w:rsidRPr="00953B52">
        <w:rPr>
          <w:rFonts w:ascii="Arial" w:hAnsi="Arial" w:cs="Arial"/>
          <w:i/>
          <w:sz w:val="22"/>
          <w:szCs w:val="22"/>
          <w:lang w:val="fr-FR"/>
        </w:rPr>
        <w:t xml:space="preserve">Bacillus </w:t>
      </w:r>
      <w:proofErr w:type="spellStart"/>
      <w:r w:rsidRPr="00953B52">
        <w:rPr>
          <w:rFonts w:ascii="Arial" w:hAnsi="Arial" w:cs="Arial"/>
          <w:i/>
          <w:sz w:val="22"/>
          <w:szCs w:val="22"/>
          <w:lang w:val="fr-FR"/>
        </w:rPr>
        <w:t>subtil</w:t>
      </w:r>
      <w:r w:rsidR="0003571D" w:rsidRPr="00953B52">
        <w:rPr>
          <w:rFonts w:ascii="Arial" w:hAnsi="Arial" w:cs="Arial"/>
          <w:i/>
          <w:sz w:val="22"/>
          <w:szCs w:val="22"/>
          <w:lang w:val="fr-FR"/>
        </w:rPr>
        <w:t>is</w:t>
      </w:r>
      <w:proofErr w:type="spellEnd"/>
      <w:r w:rsidR="0003571D">
        <w:rPr>
          <w:rFonts w:ascii="Arial" w:hAnsi="Arial" w:cs="Arial"/>
          <w:i/>
          <w:sz w:val="22"/>
          <w:szCs w:val="22"/>
          <w:lang w:val="fr-FR"/>
        </w:rPr>
        <w:t xml:space="preserve">.  </w:t>
      </w:r>
      <w:r w:rsidR="0003571D" w:rsidRPr="00953B52">
        <w:rPr>
          <w:rFonts w:ascii="Arial" w:hAnsi="Arial" w:cs="Arial"/>
          <w:sz w:val="22"/>
          <w:szCs w:val="22"/>
          <w:lang w:val="fr-FR"/>
        </w:rPr>
        <w:t>Ce</w:t>
      </w:r>
      <w:r w:rsidRPr="00953B52">
        <w:rPr>
          <w:rFonts w:ascii="Arial" w:hAnsi="Arial" w:cs="Arial"/>
          <w:sz w:val="22"/>
          <w:szCs w:val="22"/>
          <w:lang w:val="fr-FR"/>
        </w:rPr>
        <w:t>s organismes sont fréquemment utilisés pour étudier la génétique fondamentale des organismes et ils servent souvent d</w:t>
      </w:r>
      <w:r w:rsidR="00E84189">
        <w:rPr>
          <w:rFonts w:ascii="Arial" w:hAnsi="Arial" w:cs="Arial"/>
          <w:sz w:val="22"/>
          <w:szCs w:val="22"/>
          <w:lang w:val="fr-FR"/>
        </w:rPr>
        <w:t>’</w:t>
      </w:r>
      <w:r w:rsidRPr="00953B52">
        <w:rPr>
          <w:rFonts w:ascii="Arial" w:hAnsi="Arial" w:cs="Arial"/>
          <w:sz w:val="22"/>
          <w:szCs w:val="22"/>
          <w:lang w:val="fr-FR"/>
        </w:rPr>
        <w:t>outils de recherche en biotechnologie (</w:t>
      </w:r>
      <w:r w:rsidR="00502EE7">
        <w:rPr>
          <w:rFonts w:ascii="Arial" w:hAnsi="Arial" w:cs="Arial"/>
          <w:sz w:val="22"/>
          <w:szCs w:val="22"/>
          <w:lang w:val="fr-FR"/>
        </w:rPr>
        <w:t>p. </w:t>
      </w:r>
      <w:r w:rsidRPr="00953B52">
        <w:rPr>
          <w:rFonts w:ascii="Arial" w:hAnsi="Arial" w:cs="Arial"/>
          <w:sz w:val="22"/>
          <w:szCs w:val="22"/>
          <w:lang w:val="fr-FR"/>
        </w:rPr>
        <w:t>ex.</w:t>
      </w:r>
      <w:r w:rsidR="00E84189">
        <w:rPr>
          <w:rFonts w:ascii="Arial" w:hAnsi="Arial" w:cs="Arial"/>
          <w:sz w:val="22"/>
          <w:szCs w:val="22"/>
          <w:lang w:val="fr-FR"/>
        </w:rPr>
        <w:t> :</w:t>
      </w:r>
      <w:r w:rsidRPr="00953B52">
        <w:rPr>
          <w:rFonts w:ascii="Arial" w:hAnsi="Arial" w:cs="Arial"/>
          <w:sz w:val="22"/>
          <w:szCs w:val="22"/>
          <w:lang w:val="fr-FR"/>
        </w:rPr>
        <w:t xml:space="preserve"> </w:t>
      </w:r>
      <w:r w:rsidRPr="00953B52">
        <w:rPr>
          <w:rFonts w:ascii="Arial" w:hAnsi="Arial" w:cs="Arial"/>
          <w:i/>
          <w:sz w:val="22"/>
          <w:szCs w:val="22"/>
          <w:lang w:val="fr-FR"/>
        </w:rPr>
        <w:t>E</w:t>
      </w:r>
      <w:r w:rsidRPr="00502EE7">
        <w:rPr>
          <w:rFonts w:ascii="Arial" w:hAnsi="Arial"/>
          <w:sz w:val="22"/>
          <w:lang w:val="fr-FR"/>
        </w:rPr>
        <w:t>.</w:t>
      </w:r>
      <w:r w:rsidR="00095B51">
        <w:rPr>
          <w:rFonts w:ascii="Arial" w:hAnsi="Arial" w:cs="Arial"/>
          <w:sz w:val="22"/>
          <w:szCs w:val="22"/>
          <w:lang w:val="fr-FR"/>
        </w:rPr>
        <w:t> </w:t>
      </w:r>
      <w:r w:rsidRPr="00953B52">
        <w:rPr>
          <w:rFonts w:ascii="Arial" w:hAnsi="Arial" w:cs="Arial"/>
          <w:i/>
          <w:sz w:val="22"/>
          <w:szCs w:val="22"/>
          <w:lang w:val="fr-FR"/>
        </w:rPr>
        <w:t>co</w:t>
      </w:r>
      <w:r w:rsidR="0003571D" w:rsidRPr="00953B52">
        <w:rPr>
          <w:rFonts w:ascii="Arial" w:hAnsi="Arial" w:cs="Arial"/>
          <w:i/>
          <w:sz w:val="22"/>
          <w:szCs w:val="22"/>
          <w:lang w:val="fr-FR"/>
        </w:rPr>
        <w:t>li</w:t>
      </w:r>
      <w:r w:rsidR="0003571D" w:rsidRPr="00953B52">
        <w:rPr>
          <w:rFonts w:ascii="Arial" w:hAnsi="Arial" w:cs="Arial"/>
          <w:sz w:val="22"/>
          <w:szCs w:val="22"/>
          <w:lang w:val="fr-FR"/>
        </w:rPr>
        <w:t>)</w:t>
      </w:r>
      <w:r w:rsidR="0003571D">
        <w:rPr>
          <w:rFonts w:ascii="Arial" w:hAnsi="Arial" w:cs="Arial"/>
          <w:i/>
          <w:sz w:val="22"/>
          <w:szCs w:val="22"/>
          <w:lang w:val="fr-FR"/>
        </w:rPr>
        <w:t xml:space="preserve">.  </w:t>
      </w:r>
      <w:r w:rsidR="0003571D" w:rsidRPr="00953B52">
        <w:rPr>
          <w:rFonts w:ascii="Arial" w:hAnsi="Arial" w:cs="Arial"/>
          <w:sz w:val="22"/>
          <w:szCs w:val="22"/>
          <w:lang w:val="fr-FR"/>
        </w:rPr>
        <w:t>Il</w:t>
      </w:r>
      <w:r w:rsidRPr="00953B52">
        <w:rPr>
          <w:rFonts w:ascii="Arial" w:hAnsi="Arial" w:cs="Arial"/>
          <w:sz w:val="22"/>
          <w:szCs w:val="22"/>
          <w:lang w:val="fr-FR"/>
        </w:rPr>
        <w:t>s sont par ailleurs très répandus dans le monde entier.</w:t>
      </w:r>
    </w:p>
    <w:p w:rsidR="00CC5DF6" w:rsidRPr="00953B52"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 xml:space="preserve">Le </w:t>
      </w:r>
      <w:hyperlink r:id="rId14" w:history="1">
        <w:r w:rsidRPr="00953B52">
          <w:rPr>
            <w:rStyle w:val="Hyperlink"/>
            <w:rFonts w:ascii="Arial" w:hAnsi="Arial" w:cs="Arial"/>
            <w:sz w:val="22"/>
            <w:szCs w:val="22"/>
            <w:lang w:val="fr-FR"/>
          </w:rPr>
          <w:t>Rapport panoramique de l</w:t>
        </w:r>
        <w:r w:rsidR="00E84189">
          <w:rPr>
            <w:rStyle w:val="Hyperlink"/>
            <w:rFonts w:ascii="Arial" w:hAnsi="Arial" w:cs="Arial"/>
            <w:sz w:val="22"/>
            <w:szCs w:val="22"/>
            <w:lang w:val="fr-FR"/>
          </w:rPr>
          <w:t>’</w:t>
        </w:r>
        <w:r w:rsidRPr="00953B52">
          <w:rPr>
            <w:rStyle w:val="Hyperlink"/>
            <w:rFonts w:ascii="Arial" w:hAnsi="Arial" w:cs="Arial"/>
            <w:sz w:val="22"/>
            <w:szCs w:val="22"/>
            <w:lang w:val="fr-FR"/>
          </w:rPr>
          <w:t xml:space="preserve">OMPI sur les brevets concernant les ressources </w:t>
        </w:r>
        <w:proofErr w:type="spellStart"/>
        <w:r w:rsidRPr="00953B52">
          <w:rPr>
            <w:rStyle w:val="Hyperlink"/>
            <w:rFonts w:ascii="Arial" w:hAnsi="Arial" w:cs="Arial"/>
            <w:sz w:val="22"/>
            <w:szCs w:val="22"/>
            <w:lang w:val="fr-FR"/>
          </w:rPr>
          <w:t>zoogénétiques</w:t>
        </w:r>
        <w:proofErr w:type="spellEnd"/>
      </w:hyperlink>
      <w:r w:rsidRPr="00953B52">
        <w:rPr>
          <w:rStyle w:val="Hyperlink"/>
          <w:rFonts w:ascii="Arial" w:hAnsi="Arial" w:cs="Arial"/>
          <w:sz w:val="22"/>
          <w:szCs w:val="22"/>
          <w:lang w:val="fr-FR"/>
        </w:rPr>
        <w:t xml:space="preserve"> </w:t>
      </w:r>
      <w:r w:rsidR="00546B53" w:rsidRPr="00953B52">
        <w:rPr>
          <w:rFonts w:ascii="Arial" w:hAnsi="Arial" w:cs="Arial"/>
          <w:sz w:val="22"/>
          <w:szCs w:val="22"/>
          <w:lang w:val="fr-FR"/>
        </w:rPr>
        <w:t>de</w:t>
      </w:r>
      <w:r w:rsidR="00546B53">
        <w:rPr>
          <w:rFonts w:ascii="Arial" w:hAnsi="Arial" w:cs="Arial"/>
          <w:sz w:val="22"/>
          <w:szCs w:val="22"/>
          <w:lang w:val="fr-FR"/>
        </w:rPr>
        <w:t> </w:t>
      </w:r>
      <w:r w:rsidR="00546B53" w:rsidRPr="00953B52">
        <w:rPr>
          <w:rFonts w:ascii="Arial" w:hAnsi="Arial" w:cs="Arial"/>
          <w:sz w:val="22"/>
          <w:szCs w:val="22"/>
          <w:lang w:val="fr-FR"/>
        </w:rPr>
        <w:t>2014</w:t>
      </w:r>
      <w:r w:rsidRPr="00953B52">
        <w:rPr>
          <w:rFonts w:ascii="Arial" w:hAnsi="Arial" w:cs="Arial"/>
          <w:sz w:val="22"/>
          <w:szCs w:val="22"/>
          <w:lang w:val="fr-FR"/>
        </w:rPr>
        <w:t>, élaboré pour l</w:t>
      </w:r>
      <w:r w:rsidR="00E84189">
        <w:rPr>
          <w:rFonts w:ascii="Arial" w:hAnsi="Arial" w:cs="Arial"/>
          <w:sz w:val="22"/>
          <w:szCs w:val="22"/>
          <w:lang w:val="fr-FR"/>
        </w:rPr>
        <w:t>’</w:t>
      </w:r>
      <w:r w:rsidRPr="00953B52">
        <w:rPr>
          <w:rFonts w:ascii="Arial" w:hAnsi="Arial" w:cs="Arial"/>
          <w:sz w:val="22"/>
          <w:szCs w:val="22"/>
          <w:lang w:val="fr-FR"/>
        </w:rPr>
        <w:t>OMPI en collaboration avec</w:t>
      </w:r>
      <w:r w:rsidR="00546B53" w:rsidRPr="00953B52">
        <w:rPr>
          <w:rFonts w:ascii="Arial" w:hAnsi="Arial" w:cs="Arial"/>
          <w:sz w:val="22"/>
          <w:szCs w:val="22"/>
          <w:lang w:val="fr-FR"/>
        </w:rPr>
        <w:t xml:space="preserve"> la</w:t>
      </w:r>
      <w:r w:rsidR="00546B53">
        <w:rPr>
          <w:rFonts w:ascii="Arial" w:hAnsi="Arial" w:cs="Arial"/>
          <w:sz w:val="22"/>
          <w:szCs w:val="22"/>
          <w:lang w:val="fr-FR"/>
        </w:rPr>
        <w:t> </w:t>
      </w:r>
      <w:r w:rsidR="00546B53" w:rsidRPr="00953B52">
        <w:rPr>
          <w:rFonts w:ascii="Arial" w:hAnsi="Arial" w:cs="Arial"/>
          <w:sz w:val="22"/>
          <w:szCs w:val="22"/>
          <w:lang w:val="fr-FR"/>
        </w:rPr>
        <w:t>FAO</w:t>
      </w:r>
      <w:r w:rsidRPr="00953B52">
        <w:rPr>
          <w:rFonts w:ascii="Arial" w:hAnsi="Arial" w:cs="Arial"/>
          <w:sz w:val="22"/>
          <w:szCs w:val="22"/>
          <w:lang w:val="fr-FR"/>
        </w:rPr>
        <w:t>, a établi, entre autres, que malgré une envolée de l</w:t>
      </w:r>
      <w:r w:rsidR="00E84189">
        <w:rPr>
          <w:rFonts w:ascii="Arial" w:hAnsi="Arial" w:cs="Arial"/>
          <w:sz w:val="22"/>
          <w:szCs w:val="22"/>
          <w:lang w:val="fr-FR"/>
        </w:rPr>
        <w:t>’</w:t>
      </w:r>
      <w:r w:rsidRPr="00953B52">
        <w:rPr>
          <w:rFonts w:ascii="Arial" w:hAnsi="Arial" w:cs="Arial"/>
          <w:sz w:val="22"/>
          <w:szCs w:val="22"/>
          <w:lang w:val="fr-FR"/>
        </w:rPr>
        <w:t>activité brevets à la fin des années</w:t>
      </w:r>
      <w:r w:rsidR="00626B5E">
        <w:rPr>
          <w:rFonts w:ascii="Arial" w:hAnsi="Arial" w:cs="Arial"/>
          <w:sz w:val="22"/>
          <w:szCs w:val="22"/>
          <w:lang w:val="fr-FR"/>
        </w:rPr>
        <w:t> </w:t>
      </w:r>
      <w:r w:rsidRPr="00953B52">
        <w:rPr>
          <w:rFonts w:ascii="Arial" w:hAnsi="Arial" w:cs="Arial"/>
          <w:sz w:val="22"/>
          <w:szCs w:val="22"/>
          <w:lang w:val="fr-FR"/>
        </w:rPr>
        <w:t>1990, les dépôts de brevets concernant des ressources génétiques animales pour l</w:t>
      </w:r>
      <w:r w:rsidR="00E84189">
        <w:rPr>
          <w:rFonts w:ascii="Arial" w:hAnsi="Arial" w:cs="Arial"/>
          <w:sz w:val="22"/>
          <w:szCs w:val="22"/>
          <w:lang w:val="fr-FR"/>
        </w:rPr>
        <w:t>’</w:t>
      </w:r>
      <w:r w:rsidRPr="00953B52">
        <w:rPr>
          <w:rFonts w:ascii="Arial" w:hAnsi="Arial" w:cs="Arial"/>
          <w:sz w:val="22"/>
          <w:szCs w:val="22"/>
          <w:lang w:val="fr-FR"/>
        </w:rPr>
        <w:t>alimentation et l</w:t>
      </w:r>
      <w:r w:rsidR="00E84189">
        <w:rPr>
          <w:rFonts w:ascii="Arial" w:hAnsi="Arial" w:cs="Arial"/>
          <w:sz w:val="22"/>
          <w:szCs w:val="22"/>
          <w:lang w:val="fr-FR"/>
        </w:rPr>
        <w:t>’</w:t>
      </w:r>
      <w:r w:rsidRPr="00953B52">
        <w:rPr>
          <w:rFonts w:ascii="Arial" w:hAnsi="Arial" w:cs="Arial"/>
          <w:sz w:val="22"/>
          <w:szCs w:val="22"/>
          <w:lang w:val="fr-FR"/>
        </w:rPr>
        <w:t>agriculture ont constamment dimin</w:t>
      </w:r>
      <w:r w:rsidR="0003571D" w:rsidRPr="00953B52">
        <w:rPr>
          <w:rFonts w:ascii="Arial" w:hAnsi="Arial" w:cs="Arial"/>
          <w:sz w:val="22"/>
          <w:szCs w:val="22"/>
          <w:lang w:val="fr-FR"/>
        </w:rPr>
        <w:t>ué</w:t>
      </w:r>
      <w:r w:rsidR="0003571D">
        <w:rPr>
          <w:rFonts w:ascii="Arial" w:hAnsi="Arial" w:cs="Arial"/>
          <w:sz w:val="22"/>
          <w:szCs w:val="22"/>
          <w:lang w:val="fr-FR"/>
        </w:rPr>
        <w:t xml:space="preserve">.  </w:t>
      </w:r>
      <w:r w:rsidR="0003571D" w:rsidRPr="00953B52">
        <w:rPr>
          <w:rFonts w:ascii="Arial" w:hAnsi="Arial" w:cs="Arial"/>
          <w:sz w:val="22"/>
          <w:szCs w:val="22"/>
          <w:lang w:val="fr-FR"/>
        </w:rPr>
        <w:t>En</w:t>
      </w:r>
      <w:r w:rsidRPr="00953B52">
        <w:rPr>
          <w:rFonts w:ascii="Arial" w:hAnsi="Arial" w:cs="Arial"/>
          <w:sz w:val="22"/>
          <w:szCs w:val="22"/>
          <w:lang w:val="fr-FR"/>
        </w:rPr>
        <w:t xml:space="preserve"> outre, l</w:t>
      </w:r>
      <w:r w:rsidR="00E84189">
        <w:rPr>
          <w:rFonts w:ascii="Arial" w:hAnsi="Arial" w:cs="Arial"/>
          <w:sz w:val="22"/>
          <w:szCs w:val="22"/>
          <w:lang w:val="fr-FR"/>
        </w:rPr>
        <w:t>’</w:t>
      </w:r>
      <w:r w:rsidRPr="00953B52">
        <w:rPr>
          <w:rFonts w:ascii="Arial" w:hAnsi="Arial" w:cs="Arial"/>
          <w:sz w:val="22"/>
          <w:szCs w:val="22"/>
          <w:lang w:val="fr-FR"/>
        </w:rPr>
        <w:t>essentiel de l</w:t>
      </w:r>
      <w:r w:rsidR="00E84189">
        <w:rPr>
          <w:rFonts w:ascii="Arial" w:hAnsi="Arial" w:cs="Arial"/>
          <w:sz w:val="22"/>
          <w:szCs w:val="22"/>
          <w:lang w:val="fr-FR"/>
        </w:rPr>
        <w:t>’</w:t>
      </w:r>
      <w:r w:rsidRPr="00953B52">
        <w:rPr>
          <w:rFonts w:ascii="Arial" w:hAnsi="Arial" w:cs="Arial"/>
          <w:sz w:val="22"/>
          <w:szCs w:val="22"/>
          <w:lang w:val="fr-FR"/>
        </w:rPr>
        <w:t>activité brevets se concentre sur des sélections dominantes et ne porte pas sur du matériel génétique provenant de sélections plus rares issues de pays spécifiques ni sur l</w:t>
      </w:r>
      <w:r w:rsidR="00E84189">
        <w:rPr>
          <w:rFonts w:ascii="Arial" w:hAnsi="Arial" w:cs="Arial"/>
          <w:sz w:val="22"/>
          <w:szCs w:val="22"/>
          <w:lang w:val="fr-FR"/>
        </w:rPr>
        <w:t>’</w:t>
      </w:r>
      <w:r w:rsidRPr="00953B52">
        <w:rPr>
          <w:rFonts w:ascii="Arial" w:hAnsi="Arial" w:cs="Arial"/>
          <w:sz w:val="22"/>
          <w:szCs w:val="22"/>
          <w:lang w:val="fr-FR"/>
        </w:rPr>
        <w:t>utilisation de savoirs traditionne</w:t>
      </w:r>
      <w:r w:rsidR="0003571D" w:rsidRPr="00953B52">
        <w:rPr>
          <w:rFonts w:ascii="Arial" w:hAnsi="Arial" w:cs="Arial"/>
          <w:sz w:val="22"/>
          <w:szCs w:val="22"/>
          <w:lang w:val="fr-FR"/>
        </w:rPr>
        <w:t>ls</w:t>
      </w:r>
      <w:r w:rsidR="0003571D">
        <w:rPr>
          <w:rFonts w:ascii="Arial" w:hAnsi="Arial" w:cs="Arial"/>
          <w:sz w:val="22"/>
          <w:szCs w:val="22"/>
          <w:lang w:val="fr-FR"/>
        </w:rPr>
        <w:t xml:space="preserve">.  </w:t>
      </w:r>
      <w:r w:rsidR="0003571D" w:rsidRPr="00953B52">
        <w:rPr>
          <w:rFonts w:ascii="Arial" w:hAnsi="Arial" w:cs="Arial"/>
          <w:sz w:val="22"/>
          <w:szCs w:val="22"/>
          <w:lang w:val="fr-FR"/>
        </w:rPr>
        <w:t>Da</w:t>
      </w:r>
      <w:r w:rsidRPr="00953B52">
        <w:rPr>
          <w:rFonts w:ascii="Arial" w:hAnsi="Arial" w:cs="Arial"/>
          <w:sz w:val="22"/>
          <w:szCs w:val="22"/>
          <w:lang w:val="fr-FR"/>
        </w:rPr>
        <w:t>ns les faits, les principales technologies liées à l</w:t>
      </w:r>
      <w:r w:rsidR="00E84189">
        <w:rPr>
          <w:rFonts w:ascii="Arial" w:hAnsi="Arial" w:cs="Arial"/>
          <w:sz w:val="22"/>
          <w:szCs w:val="22"/>
          <w:lang w:val="fr-FR"/>
        </w:rPr>
        <w:t>’</w:t>
      </w:r>
      <w:r w:rsidRPr="00953B52">
        <w:rPr>
          <w:rFonts w:ascii="Arial" w:hAnsi="Arial" w:cs="Arial"/>
          <w:sz w:val="22"/>
          <w:szCs w:val="22"/>
          <w:lang w:val="fr-FR"/>
        </w:rPr>
        <w:t>élevage animal ont une longue histoire et les avancées qui ont été faites concernent généralement de nouvelles méthodes ou technologies et ne dépendent pas du matériel génétique proprement dit.</w:t>
      </w:r>
    </w:p>
    <w:p w:rsidR="00546B53" w:rsidRDefault="00CC5DF6" w:rsidP="005C0BD9">
      <w:pPr>
        <w:pStyle w:val="Text"/>
        <w:spacing w:after="160"/>
        <w:rPr>
          <w:rFonts w:ascii="Arial" w:hAnsi="Arial" w:cs="Arial"/>
          <w:sz w:val="22"/>
          <w:szCs w:val="22"/>
          <w:lang w:val="fr-FR"/>
        </w:rPr>
      </w:pPr>
      <w:r w:rsidRPr="00953B52">
        <w:rPr>
          <w:rFonts w:ascii="Arial" w:hAnsi="Arial" w:cs="Arial"/>
          <w:sz w:val="22"/>
          <w:szCs w:val="22"/>
          <w:lang w:val="fr-FR"/>
        </w:rPr>
        <w:t xml:space="preserve">De même, le </w:t>
      </w:r>
      <w:hyperlink r:id="rId15" w:history="1">
        <w:r w:rsidRPr="00953B52">
          <w:rPr>
            <w:rStyle w:val="Hyperlink"/>
            <w:rFonts w:ascii="Arial" w:hAnsi="Arial" w:cs="Arial"/>
            <w:bCs/>
            <w:sz w:val="22"/>
            <w:szCs w:val="22"/>
            <w:lang w:val="fr-FR"/>
          </w:rPr>
          <w:t xml:space="preserve">Rapport panoramique sur les brevets relatifs à la technologie des </w:t>
        </w:r>
        <w:proofErr w:type="spellStart"/>
        <w:r w:rsidRPr="00953B52">
          <w:rPr>
            <w:rStyle w:val="Hyperlink"/>
            <w:rFonts w:ascii="Arial" w:hAnsi="Arial" w:cs="Arial"/>
            <w:bCs/>
            <w:sz w:val="22"/>
            <w:szCs w:val="22"/>
            <w:lang w:val="fr-FR"/>
          </w:rPr>
          <w:t>microalgues</w:t>
        </w:r>
        <w:proofErr w:type="spellEnd"/>
      </w:hyperlink>
      <w:r w:rsidRPr="00953B52">
        <w:rPr>
          <w:rStyle w:val="Hyperlink"/>
          <w:rFonts w:ascii="Arial" w:hAnsi="Arial" w:cs="Arial"/>
          <w:bCs/>
          <w:sz w:val="22"/>
          <w:szCs w:val="22"/>
          <w:lang w:val="fr-FR"/>
        </w:rPr>
        <w:t xml:space="preserve"> </w:t>
      </w:r>
      <w:r w:rsidR="00546B53" w:rsidRPr="00953B52">
        <w:rPr>
          <w:rFonts w:ascii="Arial" w:hAnsi="Arial" w:cs="Arial"/>
          <w:sz w:val="22"/>
          <w:szCs w:val="22"/>
          <w:lang w:val="fr-FR"/>
        </w:rPr>
        <w:t>de</w:t>
      </w:r>
      <w:r w:rsidR="00546B53">
        <w:rPr>
          <w:rFonts w:ascii="Arial" w:hAnsi="Arial" w:cs="Arial"/>
          <w:sz w:val="22"/>
          <w:szCs w:val="22"/>
          <w:lang w:val="fr-FR"/>
        </w:rPr>
        <w:t> </w:t>
      </w:r>
      <w:r w:rsidR="00546B53" w:rsidRPr="00953B52">
        <w:rPr>
          <w:rFonts w:ascii="Arial" w:hAnsi="Arial" w:cs="Arial"/>
          <w:sz w:val="22"/>
          <w:szCs w:val="22"/>
          <w:lang w:val="fr-FR"/>
        </w:rPr>
        <w:t>2016</w:t>
      </w:r>
      <w:r w:rsidRPr="00953B52">
        <w:rPr>
          <w:rFonts w:ascii="Arial" w:hAnsi="Arial" w:cs="Arial"/>
          <w:sz w:val="22"/>
          <w:szCs w:val="22"/>
          <w:lang w:val="fr-FR"/>
        </w:rPr>
        <w:t xml:space="preserve"> a établi que deux</w:t>
      </w:r>
      <w:r w:rsidR="00095B51">
        <w:rPr>
          <w:rFonts w:ascii="Arial" w:hAnsi="Arial" w:cs="Arial"/>
          <w:sz w:val="22"/>
          <w:szCs w:val="22"/>
          <w:lang w:val="fr-FR"/>
        </w:rPr>
        <w:t> </w:t>
      </w:r>
      <w:r w:rsidRPr="00953B52">
        <w:rPr>
          <w:rFonts w:ascii="Arial" w:hAnsi="Arial" w:cs="Arial"/>
          <w:sz w:val="22"/>
          <w:szCs w:val="22"/>
          <w:lang w:val="fr-FR"/>
        </w:rPr>
        <w:t xml:space="preserve">souches principales, </w:t>
      </w:r>
      <w:proofErr w:type="spellStart"/>
      <w:r w:rsidRPr="00953B52">
        <w:rPr>
          <w:rFonts w:ascii="Arial" w:hAnsi="Arial" w:cs="Arial"/>
          <w:sz w:val="22"/>
          <w:szCs w:val="22"/>
          <w:lang w:val="fr-FR"/>
        </w:rPr>
        <w:t>Spirulina</w:t>
      </w:r>
      <w:proofErr w:type="spellEnd"/>
      <w:r w:rsidRPr="00953B52">
        <w:rPr>
          <w:rFonts w:ascii="Arial" w:hAnsi="Arial" w:cs="Arial"/>
          <w:sz w:val="22"/>
          <w:szCs w:val="22"/>
          <w:lang w:val="fr-FR"/>
        </w:rPr>
        <w:t xml:space="preserve"> et </w:t>
      </w:r>
      <w:proofErr w:type="spellStart"/>
      <w:r w:rsidRPr="00953B52">
        <w:rPr>
          <w:rFonts w:ascii="Arial" w:hAnsi="Arial" w:cs="Arial"/>
          <w:sz w:val="22"/>
          <w:szCs w:val="22"/>
          <w:lang w:val="fr-FR"/>
        </w:rPr>
        <w:t>Chlorella</w:t>
      </w:r>
      <w:proofErr w:type="spellEnd"/>
      <w:r w:rsidRPr="00953B52">
        <w:rPr>
          <w:rFonts w:ascii="Arial" w:hAnsi="Arial" w:cs="Arial"/>
          <w:sz w:val="22"/>
          <w:szCs w:val="22"/>
          <w:lang w:val="fr-FR"/>
        </w:rPr>
        <w:t>, font l</w:t>
      </w:r>
      <w:r w:rsidR="00E84189">
        <w:rPr>
          <w:rFonts w:ascii="Arial" w:hAnsi="Arial" w:cs="Arial"/>
          <w:sz w:val="22"/>
          <w:szCs w:val="22"/>
          <w:lang w:val="fr-FR"/>
        </w:rPr>
        <w:t>’</w:t>
      </w:r>
      <w:r w:rsidRPr="00953B52">
        <w:rPr>
          <w:rFonts w:ascii="Arial" w:hAnsi="Arial" w:cs="Arial"/>
          <w:sz w:val="22"/>
          <w:szCs w:val="22"/>
          <w:lang w:val="fr-FR"/>
        </w:rPr>
        <w:t xml:space="preserve">objet à elles seules de 36% des brevets relevant du domaine des </w:t>
      </w:r>
      <w:proofErr w:type="spellStart"/>
      <w:r w:rsidRPr="00953B52">
        <w:rPr>
          <w:rFonts w:ascii="Arial" w:hAnsi="Arial" w:cs="Arial"/>
          <w:sz w:val="22"/>
          <w:szCs w:val="22"/>
          <w:lang w:val="fr-FR"/>
        </w:rPr>
        <w:t>microalgu</w:t>
      </w:r>
      <w:r w:rsidR="0003571D" w:rsidRPr="00953B52">
        <w:rPr>
          <w:rFonts w:ascii="Arial" w:hAnsi="Arial" w:cs="Arial"/>
          <w:sz w:val="22"/>
          <w:szCs w:val="22"/>
          <w:lang w:val="fr-FR"/>
        </w:rPr>
        <w:t>es</w:t>
      </w:r>
      <w:proofErr w:type="spellEnd"/>
      <w:r w:rsidR="0003571D">
        <w:rPr>
          <w:rFonts w:ascii="Arial" w:hAnsi="Arial" w:cs="Arial"/>
          <w:sz w:val="22"/>
          <w:szCs w:val="22"/>
          <w:lang w:val="fr-FR"/>
        </w:rPr>
        <w:t xml:space="preserve">.  </w:t>
      </w:r>
      <w:r w:rsidR="0003571D" w:rsidRPr="00953B52">
        <w:rPr>
          <w:rFonts w:ascii="Arial" w:hAnsi="Arial" w:cs="Arial"/>
          <w:sz w:val="22"/>
          <w:szCs w:val="22"/>
          <w:lang w:val="fr-FR"/>
        </w:rPr>
        <w:t>Ce</w:t>
      </w:r>
      <w:r w:rsidRPr="00953B52">
        <w:rPr>
          <w:rFonts w:ascii="Arial" w:hAnsi="Arial" w:cs="Arial"/>
          <w:sz w:val="22"/>
          <w:szCs w:val="22"/>
          <w:lang w:val="fr-FR"/>
        </w:rPr>
        <w:t xml:space="preserve">s </w:t>
      </w:r>
      <w:proofErr w:type="spellStart"/>
      <w:r w:rsidRPr="00953B52">
        <w:rPr>
          <w:rFonts w:ascii="Arial" w:hAnsi="Arial" w:cs="Arial"/>
          <w:sz w:val="22"/>
          <w:szCs w:val="22"/>
          <w:lang w:val="fr-FR"/>
        </w:rPr>
        <w:t>microalgues</w:t>
      </w:r>
      <w:proofErr w:type="spellEnd"/>
      <w:r w:rsidRPr="00953B52">
        <w:rPr>
          <w:rFonts w:ascii="Arial" w:hAnsi="Arial" w:cs="Arial"/>
          <w:sz w:val="22"/>
          <w:szCs w:val="22"/>
          <w:lang w:val="fr-FR"/>
        </w:rPr>
        <w:t xml:space="preserve"> sont bien connues pour leurs propriétés nutritives, en particulier en As</w:t>
      </w:r>
      <w:r w:rsidR="0003571D" w:rsidRPr="00953B52">
        <w:rPr>
          <w:rFonts w:ascii="Arial" w:hAnsi="Arial" w:cs="Arial"/>
          <w:sz w:val="22"/>
          <w:szCs w:val="22"/>
          <w:lang w:val="fr-FR"/>
        </w:rPr>
        <w:t>ie</w:t>
      </w:r>
      <w:r w:rsidR="0003571D">
        <w:rPr>
          <w:rFonts w:ascii="Arial" w:hAnsi="Arial" w:cs="Arial"/>
          <w:sz w:val="22"/>
          <w:szCs w:val="22"/>
          <w:lang w:val="fr-FR"/>
        </w:rPr>
        <w:t xml:space="preserve">.  </w:t>
      </w:r>
      <w:r w:rsidR="0003571D" w:rsidRPr="00953B52">
        <w:rPr>
          <w:rFonts w:ascii="Arial" w:hAnsi="Arial" w:cs="Arial"/>
          <w:sz w:val="22"/>
          <w:szCs w:val="22"/>
          <w:lang w:val="fr-FR"/>
        </w:rPr>
        <w:t>D</w:t>
      </w:r>
      <w:r w:rsidR="0003571D">
        <w:rPr>
          <w:rFonts w:ascii="Arial" w:hAnsi="Arial" w:cs="Arial"/>
          <w:sz w:val="22"/>
          <w:szCs w:val="22"/>
          <w:lang w:val="fr-FR"/>
        </w:rPr>
        <w:t>’</w:t>
      </w:r>
      <w:r w:rsidR="0003571D" w:rsidRPr="00953B52">
        <w:rPr>
          <w:rFonts w:ascii="Arial" w:hAnsi="Arial" w:cs="Arial"/>
          <w:sz w:val="22"/>
          <w:szCs w:val="22"/>
          <w:lang w:val="fr-FR"/>
        </w:rPr>
        <w:t>a</w:t>
      </w:r>
      <w:r w:rsidRPr="00953B52">
        <w:rPr>
          <w:rFonts w:ascii="Arial" w:hAnsi="Arial" w:cs="Arial"/>
          <w:sz w:val="22"/>
          <w:szCs w:val="22"/>
          <w:lang w:val="fr-FR"/>
        </w:rPr>
        <w:t xml:space="preserve">près une analyse des premiers lieux de dépôt de brevets, il semblerait que la plus forte activité brevets sur les </w:t>
      </w:r>
      <w:proofErr w:type="spellStart"/>
      <w:r w:rsidRPr="00953B52">
        <w:rPr>
          <w:rFonts w:ascii="Arial" w:hAnsi="Arial" w:cs="Arial"/>
          <w:sz w:val="22"/>
          <w:szCs w:val="22"/>
          <w:lang w:val="fr-FR"/>
        </w:rPr>
        <w:t>microalgues</w:t>
      </w:r>
      <w:proofErr w:type="spellEnd"/>
      <w:r w:rsidRPr="00953B52">
        <w:rPr>
          <w:rFonts w:ascii="Arial" w:hAnsi="Arial" w:cs="Arial"/>
          <w:sz w:val="22"/>
          <w:szCs w:val="22"/>
          <w:lang w:val="fr-FR"/>
        </w:rPr>
        <w:t xml:space="preserve"> ait lieu en Asie (75%), suivie des États</w:t>
      </w:r>
      <w:r w:rsidR="000B2FBE">
        <w:rPr>
          <w:rFonts w:ascii="Arial" w:hAnsi="Arial" w:cs="Arial"/>
          <w:sz w:val="22"/>
          <w:szCs w:val="22"/>
          <w:lang w:val="fr-FR"/>
        </w:rPr>
        <w:noBreakHyphen/>
      </w:r>
      <w:r w:rsidRPr="00953B52">
        <w:rPr>
          <w:rFonts w:ascii="Arial" w:hAnsi="Arial" w:cs="Arial"/>
          <w:sz w:val="22"/>
          <w:szCs w:val="22"/>
          <w:lang w:val="fr-FR"/>
        </w:rPr>
        <w:t>Unis d</w:t>
      </w:r>
      <w:r w:rsidR="00E84189">
        <w:rPr>
          <w:rFonts w:ascii="Arial" w:hAnsi="Arial" w:cs="Arial"/>
          <w:sz w:val="22"/>
          <w:szCs w:val="22"/>
          <w:lang w:val="fr-FR"/>
        </w:rPr>
        <w:t>’</w:t>
      </w:r>
      <w:r w:rsidRPr="00953B52">
        <w:rPr>
          <w:rFonts w:ascii="Arial" w:hAnsi="Arial" w:cs="Arial"/>
          <w:sz w:val="22"/>
          <w:szCs w:val="22"/>
          <w:lang w:val="fr-FR"/>
        </w:rPr>
        <w:t>Amérique (13,5%) et de l</w:t>
      </w:r>
      <w:r w:rsidR="00E84189">
        <w:rPr>
          <w:rFonts w:ascii="Arial" w:hAnsi="Arial" w:cs="Arial"/>
          <w:sz w:val="22"/>
          <w:szCs w:val="22"/>
          <w:lang w:val="fr-FR"/>
        </w:rPr>
        <w:t>’</w:t>
      </w:r>
      <w:r w:rsidRPr="00953B52">
        <w:rPr>
          <w:rFonts w:ascii="Arial" w:hAnsi="Arial" w:cs="Arial"/>
          <w:sz w:val="22"/>
          <w:szCs w:val="22"/>
          <w:lang w:val="fr-FR"/>
        </w:rPr>
        <w:t>Europe (13,1%)</w:t>
      </w:r>
      <w:r w:rsidRPr="00953B52">
        <w:rPr>
          <w:rStyle w:val="FootnoteReference"/>
          <w:rFonts w:ascii="Arial" w:hAnsi="Arial" w:cs="Arial"/>
          <w:sz w:val="22"/>
          <w:szCs w:val="22"/>
          <w:lang w:val="fr-FR"/>
        </w:rPr>
        <w:footnoteReference w:id="20"/>
      </w:r>
      <w:r w:rsidR="00095B51" w:rsidRPr="00953B52">
        <w:rPr>
          <w:rFonts w:ascii="Arial" w:hAnsi="Arial" w:cs="Arial"/>
          <w:sz w:val="22"/>
          <w:szCs w:val="22"/>
          <w:lang w:val="fr-FR"/>
        </w:rPr>
        <w:t>.</w:t>
      </w:r>
    </w:p>
    <w:p w:rsidR="00546B53" w:rsidRDefault="00CC5DF6" w:rsidP="00234673">
      <w:pPr>
        <w:pStyle w:val="Heading3"/>
      </w:pPr>
      <w:bookmarkStart w:id="31" w:name="_Toc51243825"/>
      <w:r w:rsidRPr="00953B52">
        <w:lastRenderedPageBreak/>
        <w:t>b)</w:t>
      </w:r>
      <w:r w:rsidRPr="00953B52">
        <w:tab/>
        <w:t>Sources diverses de ressources génétiques et de savoirs traditionnels connexes</w:t>
      </w:r>
      <w:bookmarkEnd w:id="31"/>
    </w:p>
    <w:p w:rsidR="00546B53" w:rsidRDefault="00CC5DF6" w:rsidP="005C1410">
      <w:pPr>
        <w:autoSpaceDE w:val="0"/>
        <w:autoSpaceDN w:val="0"/>
        <w:adjustRightInd w:val="0"/>
        <w:spacing w:after="220"/>
        <w:rPr>
          <w:szCs w:val="22"/>
          <w:lang w:val="fr-FR"/>
        </w:rPr>
      </w:pPr>
      <w:r w:rsidRPr="00953B52">
        <w:rPr>
          <w:szCs w:val="22"/>
          <w:lang w:val="fr-FR"/>
        </w:rPr>
        <w:t>Souvent, les espèces végétales et animales ne sont pas spécifiques à un seul pays d</w:t>
      </w:r>
      <w:r w:rsidR="00E84189">
        <w:rPr>
          <w:szCs w:val="22"/>
          <w:lang w:val="fr-FR"/>
        </w:rPr>
        <w:t>’</w:t>
      </w:r>
      <w:r w:rsidRPr="00953B52">
        <w:rPr>
          <w:szCs w:val="22"/>
          <w:lang w:val="fr-FR"/>
        </w:rPr>
        <w:t>origi</w:t>
      </w:r>
      <w:r w:rsidR="0003571D" w:rsidRPr="00953B52">
        <w:rPr>
          <w:szCs w:val="22"/>
          <w:lang w:val="fr-FR"/>
        </w:rPr>
        <w:t>ne</w:t>
      </w:r>
      <w:r w:rsidR="0003571D">
        <w:rPr>
          <w:szCs w:val="22"/>
          <w:lang w:val="fr-FR"/>
        </w:rPr>
        <w:t xml:space="preserve">.  </w:t>
      </w:r>
      <w:r w:rsidR="002657FC" w:rsidRPr="00953B52">
        <w:rPr>
          <w:szCs w:val="22"/>
          <w:lang w:val="fr-FR"/>
        </w:rPr>
        <w:t>Un</w:t>
      </w:r>
      <w:r w:rsidRPr="00953B52">
        <w:rPr>
          <w:szCs w:val="22"/>
          <w:lang w:val="fr-FR"/>
        </w:rPr>
        <w:t xml:space="preserve"> </w:t>
      </w:r>
      <w:hyperlink r:id="rId16" w:history="1">
        <w:r w:rsidRPr="00953B52">
          <w:rPr>
            <w:rStyle w:val="Hyperlink"/>
            <w:szCs w:val="22"/>
            <w:lang w:val="fr-FR"/>
          </w:rPr>
          <w:t>document soumis précédemment par la Suisse</w:t>
        </w:r>
      </w:hyperlink>
      <w:r w:rsidRPr="00953B52">
        <w:rPr>
          <w:szCs w:val="22"/>
          <w:lang w:val="fr-FR"/>
        </w:rPr>
        <w:t xml:space="preserve"> à l</w:t>
      </w:r>
      <w:r w:rsidR="00E84189">
        <w:rPr>
          <w:szCs w:val="22"/>
          <w:lang w:val="fr-FR"/>
        </w:rPr>
        <w:t>’</w:t>
      </w:r>
      <w:r w:rsidRPr="00953B52">
        <w:rPr>
          <w:szCs w:val="22"/>
          <w:lang w:val="fr-FR"/>
        </w:rPr>
        <w:t>IGC illustre ce fait avec l</w:t>
      </w:r>
      <w:r w:rsidR="00E84189">
        <w:rPr>
          <w:szCs w:val="22"/>
          <w:lang w:val="fr-FR"/>
        </w:rPr>
        <w:t>’</w:t>
      </w:r>
      <w:r w:rsidRPr="00953B52">
        <w:rPr>
          <w:szCs w:val="22"/>
          <w:lang w:val="fr-FR"/>
        </w:rPr>
        <w:t>exemple de l</w:t>
      </w:r>
      <w:r w:rsidR="00E84189">
        <w:rPr>
          <w:szCs w:val="22"/>
          <w:lang w:val="fr-FR"/>
        </w:rPr>
        <w:t>’</w:t>
      </w:r>
      <w:r w:rsidRPr="00953B52">
        <w:rPr>
          <w:szCs w:val="22"/>
          <w:lang w:val="fr-FR"/>
        </w:rPr>
        <w:t>edelweiss des Alpes (</w:t>
      </w:r>
      <w:r w:rsidRPr="00953B52">
        <w:rPr>
          <w:i/>
          <w:szCs w:val="22"/>
          <w:lang w:val="fr-FR"/>
        </w:rPr>
        <w:t xml:space="preserve">Leontopodium </w:t>
      </w:r>
      <w:proofErr w:type="spellStart"/>
      <w:r w:rsidRPr="00953B52">
        <w:rPr>
          <w:i/>
          <w:szCs w:val="22"/>
          <w:lang w:val="fr-FR"/>
        </w:rPr>
        <w:t>alpinum</w:t>
      </w:r>
      <w:proofErr w:type="spellEnd"/>
      <w:r w:rsidRPr="00953B52">
        <w:rPr>
          <w:szCs w:val="22"/>
          <w:lang w:val="fr-FR"/>
        </w:rPr>
        <w:t>)</w:t>
      </w:r>
      <w:r w:rsidRPr="00953B52">
        <w:rPr>
          <w:rStyle w:val="FootnoteReference"/>
          <w:szCs w:val="22"/>
          <w:lang w:val="fr-FR"/>
        </w:rPr>
        <w:footnoteReference w:id="21"/>
      </w:r>
      <w:r w:rsidR="00095B51">
        <w:rPr>
          <w:szCs w:val="22"/>
          <w:lang w:val="fr-FR"/>
        </w:rPr>
        <w:t xml:space="preserve">. </w:t>
      </w:r>
      <w:r w:rsidRPr="00953B52">
        <w:rPr>
          <w:szCs w:val="22"/>
          <w:lang w:val="fr-FR"/>
        </w:rPr>
        <w:t xml:space="preserve"> Cette espèce, qui contient des propriétés pharmaceutiques et cosmétiques, peut exister dans des conditions </w:t>
      </w:r>
      <w:r w:rsidRPr="00953B52">
        <w:rPr>
          <w:i/>
          <w:iCs/>
          <w:szCs w:val="22"/>
          <w:lang w:val="fr-FR"/>
        </w:rPr>
        <w:t>in</w:t>
      </w:r>
      <w:r w:rsidR="00852928">
        <w:rPr>
          <w:i/>
          <w:iCs/>
          <w:szCs w:val="22"/>
          <w:lang w:val="fr-FR"/>
        </w:rPr>
        <w:t> </w:t>
      </w:r>
      <w:r w:rsidRPr="00953B52">
        <w:rPr>
          <w:i/>
          <w:iCs/>
          <w:szCs w:val="22"/>
          <w:lang w:val="fr-FR"/>
        </w:rPr>
        <w:t>situ</w:t>
      </w:r>
      <w:r w:rsidRPr="00953B52">
        <w:rPr>
          <w:szCs w:val="22"/>
          <w:lang w:val="fr-FR"/>
        </w:rPr>
        <w:t xml:space="preserve"> en Autriche, en France, en Allemagne, en Italie et en Suisse mais aussi dans des pays des Carpates et quelques pays des Balka</w:t>
      </w:r>
      <w:r w:rsidR="0003571D" w:rsidRPr="00953B52">
        <w:rPr>
          <w:szCs w:val="22"/>
          <w:lang w:val="fr-FR"/>
        </w:rPr>
        <w:t>ns</w:t>
      </w:r>
      <w:r w:rsidR="0003571D">
        <w:rPr>
          <w:szCs w:val="22"/>
          <w:lang w:val="fr-FR"/>
        </w:rPr>
        <w:t xml:space="preserve">.  </w:t>
      </w:r>
      <w:r w:rsidR="0003571D" w:rsidRPr="00953B52">
        <w:rPr>
          <w:szCs w:val="22"/>
          <w:lang w:val="fr-FR"/>
        </w:rPr>
        <w:t>To</w:t>
      </w:r>
      <w:r w:rsidRPr="00953B52">
        <w:rPr>
          <w:szCs w:val="22"/>
          <w:lang w:val="fr-FR"/>
        </w:rPr>
        <w:t xml:space="preserve">us ces pays sont les </w:t>
      </w:r>
      <w:r w:rsidR="00546B53">
        <w:rPr>
          <w:szCs w:val="22"/>
          <w:lang w:val="fr-FR"/>
        </w:rPr>
        <w:t>“</w:t>
      </w:r>
      <w:r w:rsidR="00546B53" w:rsidRPr="00953B52">
        <w:rPr>
          <w:szCs w:val="22"/>
          <w:lang w:val="fr-FR"/>
        </w:rPr>
        <w:t>p</w:t>
      </w:r>
      <w:r w:rsidRPr="00953B52">
        <w:rPr>
          <w:szCs w:val="22"/>
          <w:lang w:val="fr-FR"/>
        </w:rPr>
        <w:t>ays d</w:t>
      </w:r>
      <w:r w:rsidR="00E84189">
        <w:rPr>
          <w:szCs w:val="22"/>
          <w:lang w:val="fr-FR"/>
        </w:rPr>
        <w:t>’</w:t>
      </w:r>
      <w:r w:rsidRPr="00953B52">
        <w:rPr>
          <w:szCs w:val="22"/>
          <w:lang w:val="fr-FR"/>
        </w:rPr>
        <w:t>origin</w:t>
      </w:r>
      <w:r w:rsidR="00546B53" w:rsidRPr="00953B52">
        <w:rPr>
          <w:szCs w:val="22"/>
          <w:lang w:val="fr-FR"/>
        </w:rPr>
        <w:t>e</w:t>
      </w:r>
      <w:r w:rsidR="00546B53">
        <w:rPr>
          <w:szCs w:val="22"/>
          <w:lang w:val="fr-FR"/>
        </w:rPr>
        <w:t>”</w:t>
      </w:r>
      <w:r w:rsidRPr="00953B52">
        <w:rPr>
          <w:szCs w:val="22"/>
          <w:lang w:val="fr-FR"/>
        </w:rPr>
        <w:t xml:space="preserve"> de l</w:t>
      </w:r>
      <w:r w:rsidR="00E84189">
        <w:rPr>
          <w:szCs w:val="22"/>
          <w:lang w:val="fr-FR"/>
        </w:rPr>
        <w:t>’</w:t>
      </w:r>
      <w:r w:rsidRPr="00953B52">
        <w:rPr>
          <w:szCs w:val="22"/>
          <w:lang w:val="fr-FR"/>
        </w:rPr>
        <w:t>edelweiss des Alp</w:t>
      </w:r>
      <w:r w:rsidR="0003571D" w:rsidRPr="00953B52">
        <w:rPr>
          <w:szCs w:val="22"/>
          <w:lang w:val="fr-FR"/>
        </w:rPr>
        <w:t>es</w:t>
      </w:r>
      <w:r w:rsidR="0003571D">
        <w:rPr>
          <w:szCs w:val="22"/>
          <w:lang w:val="fr-FR"/>
        </w:rPr>
        <w:t xml:space="preserve">.  </w:t>
      </w:r>
      <w:r w:rsidR="0003571D" w:rsidRPr="00953B52">
        <w:rPr>
          <w:szCs w:val="22"/>
          <w:lang w:val="fr-FR"/>
        </w:rPr>
        <w:t>To</w:t>
      </w:r>
      <w:r w:rsidRPr="00953B52">
        <w:rPr>
          <w:szCs w:val="22"/>
          <w:lang w:val="fr-FR"/>
        </w:rPr>
        <w:t xml:space="preserve">utefois, cette espèce peut également exister dans des conditions </w:t>
      </w:r>
      <w:r w:rsidRPr="00953B52">
        <w:rPr>
          <w:i/>
          <w:szCs w:val="22"/>
          <w:lang w:val="fr-FR"/>
        </w:rPr>
        <w:t>ex</w:t>
      </w:r>
      <w:r w:rsidR="00852928">
        <w:rPr>
          <w:i/>
          <w:szCs w:val="22"/>
          <w:lang w:val="fr-FR"/>
        </w:rPr>
        <w:t> </w:t>
      </w:r>
      <w:r w:rsidRPr="00953B52">
        <w:rPr>
          <w:i/>
          <w:szCs w:val="22"/>
          <w:lang w:val="fr-FR"/>
        </w:rPr>
        <w:t>situ</w:t>
      </w:r>
      <w:r w:rsidRPr="00953B52">
        <w:rPr>
          <w:szCs w:val="22"/>
          <w:lang w:val="fr-FR"/>
        </w:rPr>
        <w:t>, par exemple dans des jardins botaniques, à l</w:t>
      </w:r>
      <w:r w:rsidR="00E84189">
        <w:rPr>
          <w:szCs w:val="22"/>
          <w:lang w:val="fr-FR"/>
        </w:rPr>
        <w:t>’</w:t>
      </w:r>
      <w:r w:rsidRPr="00953B52">
        <w:rPr>
          <w:szCs w:val="22"/>
          <w:lang w:val="fr-FR"/>
        </w:rPr>
        <w:t>intérieur ou à l</w:t>
      </w:r>
      <w:r w:rsidR="00E84189">
        <w:rPr>
          <w:szCs w:val="22"/>
          <w:lang w:val="fr-FR"/>
        </w:rPr>
        <w:t>’</w:t>
      </w:r>
      <w:r w:rsidRPr="00953B52">
        <w:rPr>
          <w:szCs w:val="22"/>
          <w:lang w:val="fr-FR"/>
        </w:rPr>
        <w:t>extérieur des pays d</w:t>
      </w:r>
      <w:r w:rsidR="00E84189">
        <w:rPr>
          <w:szCs w:val="22"/>
          <w:lang w:val="fr-FR"/>
        </w:rPr>
        <w:t>’</w:t>
      </w:r>
      <w:r w:rsidRPr="00953B52">
        <w:rPr>
          <w:szCs w:val="22"/>
          <w:lang w:val="fr-FR"/>
        </w:rPr>
        <w:t>origi</w:t>
      </w:r>
      <w:r w:rsidR="0003571D" w:rsidRPr="00953B52">
        <w:rPr>
          <w:szCs w:val="22"/>
          <w:lang w:val="fr-FR"/>
        </w:rPr>
        <w:t>ne</w:t>
      </w:r>
      <w:r w:rsidR="0003571D">
        <w:rPr>
          <w:szCs w:val="22"/>
          <w:lang w:val="fr-FR"/>
        </w:rPr>
        <w:t xml:space="preserve">.  </w:t>
      </w:r>
      <w:r w:rsidR="0003571D" w:rsidRPr="00953B52">
        <w:rPr>
          <w:szCs w:val="22"/>
          <w:lang w:val="fr-FR"/>
        </w:rPr>
        <w:t>Te</w:t>
      </w:r>
      <w:r w:rsidRPr="00953B52">
        <w:rPr>
          <w:szCs w:val="22"/>
          <w:lang w:val="fr-FR"/>
        </w:rPr>
        <w:t>l est le cas aussi de nombreuses autres espèces.</w:t>
      </w:r>
    </w:p>
    <w:p w:rsidR="00CC5DF6" w:rsidRPr="00953B52" w:rsidRDefault="00CC5DF6" w:rsidP="005C1410">
      <w:pPr>
        <w:autoSpaceDE w:val="0"/>
        <w:autoSpaceDN w:val="0"/>
        <w:adjustRightInd w:val="0"/>
        <w:spacing w:after="220"/>
        <w:rPr>
          <w:szCs w:val="22"/>
          <w:lang w:val="fr-FR"/>
        </w:rPr>
      </w:pPr>
      <w:r w:rsidRPr="00953B52">
        <w:rPr>
          <w:szCs w:val="22"/>
          <w:lang w:val="fr-FR"/>
        </w:rPr>
        <w:t>Sur les 45</w:t>
      </w:r>
      <w:r w:rsidR="00513138">
        <w:rPr>
          <w:szCs w:val="22"/>
          <w:lang w:val="fr-FR"/>
        </w:rPr>
        <w:t> </w:t>
      </w:r>
      <w:r w:rsidRPr="00953B52">
        <w:rPr>
          <w:szCs w:val="22"/>
          <w:lang w:val="fr-FR"/>
        </w:rPr>
        <w:t>000</w:t>
      </w:r>
      <w:r w:rsidR="00513138">
        <w:rPr>
          <w:szCs w:val="22"/>
          <w:lang w:val="fr-FR"/>
        </w:rPr>
        <w:t> </w:t>
      </w:r>
      <w:r w:rsidRPr="00953B52">
        <w:rPr>
          <w:szCs w:val="22"/>
          <w:lang w:val="fr-FR"/>
        </w:rPr>
        <w:t>espèces répertoriées en Suisse, seulement 40 (moins de 0,1%) sont endémiques, c</w:t>
      </w:r>
      <w:r w:rsidR="00E84189">
        <w:rPr>
          <w:szCs w:val="22"/>
          <w:lang w:val="fr-FR"/>
        </w:rPr>
        <w:t>’</w:t>
      </w:r>
      <w:r w:rsidRPr="00953B52">
        <w:rPr>
          <w:szCs w:val="22"/>
          <w:lang w:val="fr-FR"/>
        </w:rPr>
        <w:t>est</w:t>
      </w:r>
      <w:r w:rsidR="000B2FBE">
        <w:rPr>
          <w:szCs w:val="22"/>
          <w:lang w:val="fr-FR"/>
        </w:rPr>
        <w:noBreakHyphen/>
      </w:r>
      <w:r w:rsidRPr="00953B52">
        <w:rPr>
          <w:szCs w:val="22"/>
          <w:lang w:val="fr-FR"/>
        </w:rPr>
        <w:t>à</w:t>
      </w:r>
      <w:r w:rsidR="000B2FBE">
        <w:rPr>
          <w:szCs w:val="22"/>
          <w:lang w:val="fr-FR"/>
        </w:rPr>
        <w:noBreakHyphen/>
      </w:r>
      <w:r w:rsidRPr="00953B52">
        <w:rPr>
          <w:szCs w:val="22"/>
          <w:lang w:val="fr-FR"/>
        </w:rPr>
        <w:t>dire que la Suisse peut être considérée comme leur seul pays d</w:t>
      </w:r>
      <w:r w:rsidR="00E84189">
        <w:rPr>
          <w:szCs w:val="22"/>
          <w:lang w:val="fr-FR"/>
        </w:rPr>
        <w:t>’</w:t>
      </w:r>
      <w:r w:rsidRPr="00953B52">
        <w:rPr>
          <w:szCs w:val="22"/>
          <w:lang w:val="fr-FR"/>
        </w:rPr>
        <w:t>origine</w:t>
      </w:r>
      <w:r w:rsidRPr="00953B52">
        <w:rPr>
          <w:rStyle w:val="FootnoteReference"/>
          <w:szCs w:val="22"/>
          <w:lang w:val="fr-FR"/>
        </w:rPr>
        <w:footnoteReference w:id="22"/>
      </w:r>
      <w:r w:rsidR="00095B51">
        <w:rPr>
          <w:szCs w:val="22"/>
          <w:lang w:val="fr-FR"/>
        </w:rPr>
        <w:t xml:space="preserve">. </w:t>
      </w:r>
      <w:r w:rsidRPr="00953B52">
        <w:rPr>
          <w:szCs w:val="22"/>
          <w:lang w:val="fr-FR"/>
        </w:rPr>
        <w:t xml:space="preserve"> Même pour les pays présentant un pourcentage élevé d</w:t>
      </w:r>
      <w:r w:rsidR="00E84189">
        <w:rPr>
          <w:szCs w:val="22"/>
          <w:lang w:val="fr-FR"/>
        </w:rPr>
        <w:t>’</w:t>
      </w:r>
      <w:r w:rsidRPr="00953B52">
        <w:rPr>
          <w:szCs w:val="22"/>
          <w:lang w:val="fr-FR"/>
        </w:rPr>
        <w:t>espèces endémiques (par exemple</w:t>
      </w:r>
      <w:r w:rsidR="00E84189">
        <w:rPr>
          <w:szCs w:val="22"/>
          <w:lang w:val="fr-FR"/>
        </w:rPr>
        <w:t> :</w:t>
      </w:r>
      <w:r w:rsidRPr="00953B52">
        <w:rPr>
          <w:szCs w:val="22"/>
          <w:lang w:val="fr-FR"/>
        </w:rPr>
        <w:t xml:space="preserve"> Madagascar avec environ 90%), cela ne signifie pas nécessairement qu</w:t>
      </w:r>
      <w:r w:rsidR="00E84189">
        <w:rPr>
          <w:szCs w:val="22"/>
          <w:lang w:val="fr-FR"/>
        </w:rPr>
        <w:t>’</w:t>
      </w:r>
      <w:r w:rsidRPr="00953B52">
        <w:rPr>
          <w:szCs w:val="22"/>
          <w:lang w:val="fr-FR"/>
        </w:rPr>
        <w:t>une ressource génétique spécifique peut être obtenue uniquement dans ce pays, en l</w:t>
      </w:r>
      <w:r w:rsidR="00E84189">
        <w:rPr>
          <w:szCs w:val="22"/>
          <w:lang w:val="fr-FR"/>
        </w:rPr>
        <w:t>’</w:t>
      </w:r>
      <w:r w:rsidRPr="00953B52">
        <w:rPr>
          <w:szCs w:val="22"/>
          <w:lang w:val="fr-FR"/>
        </w:rPr>
        <w:t>occurrence Madagasc</w:t>
      </w:r>
      <w:r w:rsidR="0003571D" w:rsidRPr="00953B52">
        <w:rPr>
          <w:szCs w:val="22"/>
          <w:lang w:val="fr-FR"/>
        </w:rPr>
        <w:t>ar</w:t>
      </w:r>
      <w:r w:rsidR="0003571D">
        <w:rPr>
          <w:szCs w:val="22"/>
          <w:lang w:val="fr-FR"/>
        </w:rPr>
        <w:t xml:space="preserve">.  </w:t>
      </w:r>
      <w:r w:rsidR="0003571D" w:rsidRPr="00953B52">
        <w:rPr>
          <w:szCs w:val="22"/>
          <w:lang w:val="fr-FR"/>
        </w:rPr>
        <w:t>De</w:t>
      </w:r>
      <w:r w:rsidRPr="00953B52">
        <w:rPr>
          <w:szCs w:val="22"/>
          <w:lang w:val="fr-FR"/>
        </w:rPr>
        <w:t xml:space="preserve"> nombreuses ressources génétiques sont accessibles dans des conditions </w:t>
      </w:r>
      <w:r w:rsidRPr="00953B52">
        <w:rPr>
          <w:i/>
          <w:szCs w:val="22"/>
          <w:lang w:val="fr-FR"/>
        </w:rPr>
        <w:t>ex</w:t>
      </w:r>
      <w:r w:rsidR="00852928">
        <w:rPr>
          <w:i/>
          <w:szCs w:val="22"/>
          <w:lang w:val="fr-FR"/>
        </w:rPr>
        <w:t> </w:t>
      </w:r>
      <w:r w:rsidRPr="00953B52">
        <w:rPr>
          <w:i/>
          <w:szCs w:val="22"/>
          <w:lang w:val="fr-FR"/>
        </w:rPr>
        <w:t>situ</w:t>
      </w:r>
      <w:r w:rsidRPr="00953B52">
        <w:rPr>
          <w:szCs w:val="22"/>
          <w:lang w:val="fr-FR"/>
        </w:rPr>
        <w:t xml:space="preserve"> en dehors de leurs pays d</w:t>
      </w:r>
      <w:r w:rsidR="00E84189">
        <w:rPr>
          <w:szCs w:val="22"/>
          <w:lang w:val="fr-FR"/>
        </w:rPr>
        <w:t>’</w:t>
      </w:r>
      <w:r w:rsidRPr="00953B52">
        <w:rPr>
          <w:szCs w:val="22"/>
          <w:lang w:val="fr-FR"/>
        </w:rPr>
        <w:t>origine</w:t>
      </w:r>
      <w:r w:rsidRPr="00953B52">
        <w:rPr>
          <w:rStyle w:val="FootnoteReference"/>
          <w:szCs w:val="22"/>
          <w:lang w:val="fr-FR"/>
        </w:rPr>
        <w:footnoteReference w:id="23"/>
      </w:r>
      <w:r w:rsidR="00095B51" w:rsidRPr="00953B52">
        <w:rPr>
          <w:szCs w:val="22"/>
          <w:lang w:val="fr-FR"/>
        </w:rPr>
        <w:t>.</w:t>
      </w:r>
    </w:p>
    <w:p w:rsidR="00CC5DF6" w:rsidRPr="00953B52" w:rsidRDefault="00CC5DF6" w:rsidP="005C0BD9">
      <w:pPr>
        <w:autoSpaceDE w:val="0"/>
        <w:autoSpaceDN w:val="0"/>
        <w:adjustRightInd w:val="0"/>
        <w:rPr>
          <w:szCs w:val="22"/>
          <w:lang w:val="fr-FR"/>
        </w:rPr>
      </w:pPr>
      <w:r w:rsidRPr="00953B52">
        <w:rPr>
          <w:szCs w:val="22"/>
          <w:lang w:val="fr-FR"/>
        </w:rPr>
        <w:t>À partir de là, le document présenté par la Suisse conclut que dans la plupart des cas, il existe une diversité des lieux et des situations juridiques dans lesquels une ressource génétique peut se trouver et avoir son origi</w:t>
      </w:r>
      <w:r w:rsidR="0003571D" w:rsidRPr="00953B52">
        <w:rPr>
          <w:szCs w:val="22"/>
          <w:lang w:val="fr-FR"/>
        </w:rPr>
        <w:t>ne</w:t>
      </w:r>
      <w:r w:rsidR="0003571D">
        <w:rPr>
          <w:szCs w:val="22"/>
          <w:lang w:val="fr-FR"/>
        </w:rPr>
        <w:t xml:space="preserve">.  </w:t>
      </w:r>
      <w:r w:rsidR="0003571D" w:rsidRPr="00953B52">
        <w:rPr>
          <w:szCs w:val="22"/>
          <w:lang w:val="fr-FR"/>
        </w:rPr>
        <w:t>Il</w:t>
      </w:r>
      <w:r w:rsidRPr="00953B52">
        <w:rPr>
          <w:szCs w:val="22"/>
          <w:lang w:val="fr-FR"/>
        </w:rPr>
        <w:t xml:space="preserve"> en va de même pour les savoirs traditionnels connexes puisque les différents </w:t>
      </w:r>
      <w:bookmarkStart w:id="32" w:name="_Hlk50639496"/>
      <w:r w:rsidRPr="00953B52">
        <w:rPr>
          <w:szCs w:val="22"/>
          <w:lang w:val="fr-FR"/>
        </w:rPr>
        <w:t xml:space="preserve">peuples autochtones et communautés locales </w:t>
      </w:r>
      <w:bookmarkEnd w:id="32"/>
      <w:r w:rsidRPr="00953B52">
        <w:rPr>
          <w:szCs w:val="22"/>
          <w:lang w:val="fr-FR"/>
        </w:rPr>
        <w:t>peuvent posséder des savoirs traditionnels équivalents sur les ressources génétiques, ou les savoirs peuvent être conservés dans différents endroits en dehors des communautés.</w:t>
      </w:r>
    </w:p>
    <w:p w:rsidR="00CC5DF6" w:rsidRPr="00953B52" w:rsidRDefault="00CC5DF6" w:rsidP="00234673">
      <w:pPr>
        <w:pStyle w:val="Heading3"/>
      </w:pPr>
      <w:bookmarkStart w:id="33" w:name="_Toc51243826"/>
      <w:r w:rsidRPr="00953B52">
        <w:t>c)</w:t>
      </w:r>
      <w:r w:rsidRPr="00953B52">
        <w:tab/>
        <w:t>Renforcement de la collaboration internationale</w:t>
      </w:r>
      <w:bookmarkEnd w:id="33"/>
    </w:p>
    <w:p w:rsidR="00CC5DF6" w:rsidRPr="00953B52" w:rsidRDefault="00CC5DF6" w:rsidP="005C1410">
      <w:pPr>
        <w:autoSpaceDE w:val="0"/>
        <w:autoSpaceDN w:val="0"/>
        <w:adjustRightInd w:val="0"/>
        <w:spacing w:after="220"/>
        <w:rPr>
          <w:szCs w:val="22"/>
          <w:lang w:val="fr-FR"/>
        </w:rPr>
      </w:pPr>
      <w:r w:rsidRPr="00953B52">
        <w:rPr>
          <w:szCs w:val="22"/>
          <w:lang w:val="fr-FR"/>
        </w:rPr>
        <w:t xml:space="preserve">Le </w:t>
      </w:r>
      <w:hyperlink r:id="rId17" w:history="1">
        <w:r w:rsidRPr="00953B52">
          <w:rPr>
            <w:rStyle w:val="Hyperlink"/>
            <w:szCs w:val="22"/>
            <w:lang w:val="fr-FR"/>
          </w:rPr>
          <w:t>Rapport</w:t>
        </w:r>
        <w:r w:rsidR="00626B5E">
          <w:rPr>
            <w:rStyle w:val="Hyperlink"/>
            <w:szCs w:val="22"/>
            <w:lang w:val="fr-FR"/>
          </w:rPr>
          <w:t> </w:t>
        </w:r>
        <w:r w:rsidRPr="00953B52">
          <w:rPr>
            <w:rStyle w:val="Hyperlink"/>
            <w:szCs w:val="22"/>
            <w:lang w:val="fr-FR"/>
          </w:rPr>
          <w:t>2019 de l</w:t>
        </w:r>
        <w:r w:rsidR="00E84189">
          <w:rPr>
            <w:rStyle w:val="Hyperlink"/>
            <w:szCs w:val="22"/>
            <w:lang w:val="fr-FR"/>
          </w:rPr>
          <w:t>’</w:t>
        </w:r>
        <w:r w:rsidRPr="00953B52">
          <w:rPr>
            <w:rStyle w:val="Hyperlink"/>
            <w:szCs w:val="22"/>
            <w:lang w:val="fr-FR"/>
          </w:rPr>
          <w:t>OMPI sur la propriété intellectuelle dans le monde</w:t>
        </w:r>
      </w:hyperlink>
      <w:r w:rsidRPr="00953B52">
        <w:rPr>
          <w:szCs w:val="22"/>
          <w:lang w:val="fr-FR"/>
        </w:rPr>
        <w:t xml:space="preserve"> a analysé des millions de brevets et de publications scientifiques sur plusieurs décennies et en a conclu que l</w:t>
      </w:r>
      <w:r w:rsidR="00E84189">
        <w:rPr>
          <w:szCs w:val="22"/>
          <w:lang w:val="fr-FR"/>
        </w:rPr>
        <w:t>’</w:t>
      </w:r>
      <w:r w:rsidRPr="00953B52">
        <w:rPr>
          <w:szCs w:val="22"/>
          <w:lang w:val="fr-FR"/>
        </w:rPr>
        <w:t>activité d</w:t>
      </w:r>
      <w:r w:rsidR="00E84189">
        <w:rPr>
          <w:szCs w:val="22"/>
          <w:lang w:val="fr-FR"/>
        </w:rPr>
        <w:t>’</w:t>
      </w:r>
      <w:r w:rsidRPr="00953B52">
        <w:rPr>
          <w:szCs w:val="22"/>
          <w:lang w:val="fr-FR"/>
        </w:rPr>
        <w:t>innovation faisait de plus en plus appel à la collaboration et dépassait de plus en plus les frontières nationales tout en se concentrant dans quelques grandes zones situées dans un petit nombre de pa</w:t>
      </w:r>
      <w:r w:rsidR="0003571D" w:rsidRPr="00953B52">
        <w:rPr>
          <w:szCs w:val="22"/>
          <w:lang w:val="fr-FR"/>
        </w:rPr>
        <w:t>ys</w:t>
      </w:r>
      <w:r w:rsidR="0003571D">
        <w:rPr>
          <w:szCs w:val="22"/>
          <w:lang w:val="fr-FR"/>
        </w:rPr>
        <w:t xml:space="preserve">.  </w:t>
      </w:r>
      <w:r w:rsidR="0003571D" w:rsidRPr="00953B52">
        <w:rPr>
          <w:szCs w:val="22"/>
          <w:lang w:val="fr-FR"/>
        </w:rPr>
        <w:t>L</w:t>
      </w:r>
      <w:r w:rsidR="0003571D">
        <w:rPr>
          <w:szCs w:val="22"/>
          <w:lang w:val="fr-FR"/>
        </w:rPr>
        <w:t>’</w:t>
      </w:r>
      <w:r w:rsidR="0003571D" w:rsidRPr="00953B52">
        <w:rPr>
          <w:szCs w:val="22"/>
          <w:lang w:val="fr-FR"/>
        </w:rPr>
        <w:t>u</w:t>
      </w:r>
      <w:r w:rsidRPr="00953B52">
        <w:rPr>
          <w:szCs w:val="22"/>
          <w:lang w:val="fr-FR"/>
        </w:rPr>
        <w:t>ne des principales conclusions du rapport est qu</w:t>
      </w:r>
      <w:r w:rsidR="00E84189">
        <w:rPr>
          <w:szCs w:val="22"/>
          <w:lang w:val="fr-FR"/>
        </w:rPr>
        <w:t>’</w:t>
      </w:r>
      <w:r w:rsidRPr="00953B52">
        <w:rPr>
          <w:szCs w:val="22"/>
          <w:lang w:val="fr-FR"/>
        </w:rPr>
        <w:t>avant 2000, le Japon, les États</w:t>
      </w:r>
      <w:r w:rsidR="000B2FBE">
        <w:rPr>
          <w:szCs w:val="22"/>
          <w:lang w:val="fr-FR"/>
        </w:rPr>
        <w:noBreakHyphen/>
      </w:r>
      <w:r w:rsidRPr="00953B52">
        <w:rPr>
          <w:szCs w:val="22"/>
          <w:lang w:val="fr-FR"/>
        </w:rPr>
        <w:t>Unis d</w:t>
      </w:r>
      <w:r w:rsidR="00E84189">
        <w:rPr>
          <w:szCs w:val="22"/>
          <w:lang w:val="fr-FR"/>
        </w:rPr>
        <w:t>’</w:t>
      </w:r>
      <w:r w:rsidRPr="00953B52">
        <w:rPr>
          <w:szCs w:val="22"/>
          <w:lang w:val="fr-FR"/>
        </w:rPr>
        <w:t>Amérique et l</w:t>
      </w:r>
      <w:r w:rsidR="00E84189">
        <w:rPr>
          <w:szCs w:val="22"/>
          <w:lang w:val="fr-FR"/>
        </w:rPr>
        <w:t>’</w:t>
      </w:r>
      <w:r w:rsidRPr="00953B52">
        <w:rPr>
          <w:szCs w:val="22"/>
          <w:lang w:val="fr-FR"/>
        </w:rPr>
        <w:t>Europe occidentale représentaient 90% de l</w:t>
      </w:r>
      <w:r w:rsidR="00E84189">
        <w:rPr>
          <w:szCs w:val="22"/>
          <w:lang w:val="fr-FR"/>
        </w:rPr>
        <w:t>’</w:t>
      </w:r>
      <w:r w:rsidRPr="00953B52">
        <w:rPr>
          <w:szCs w:val="22"/>
          <w:lang w:val="fr-FR"/>
        </w:rPr>
        <w:t>activité mondiale en matière de brevets et plus de 70% de l</w:t>
      </w:r>
      <w:r w:rsidR="00E84189">
        <w:rPr>
          <w:szCs w:val="22"/>
          <w:lang w:val="fr-FR"/>
        </w:rPr>
        <w:t>’</w:t>
      </w:r>
      <w:r w:rsidRPr="00953B52">
        <w:rPr>
          <w:szCs w:val="22"/>
          <w:lang w:val="fr-FR"/>
        </w:rPr>
        <w:t>activité mondiale liée à la publication scientifiq</w:t>
      </w:r>
      <w:r w:rsidR="0003571D" w:rsidRPr="00953B52">
        <w:rPr>
          <w:szCs w:val="22"/>
          <w:lang w:val="fr-FR"/>
        </w:rPr>
        <w:t>ue</w:t>
      </w:r>
      <w:r w:rsidR="0003571D">
        <w:rPr>
          <w:szCs w:val="22"/>
          <w:lang w:val="fr-FR"/>
        </w:rPr>
        <w:t xml:space="preserve">.  </w:t>
      </w:r>
      <w:r w:rsidR="0003571D" w:rsidRPr="00953B52">
        <w:rPr>
          <w:szCs w:val="22"/>
          <w:lang w:val="fr-FR"/>
        </w:rPr>
        <w:t>En</w:t>
      </w:r>
      <w:r w:rsidRPr="00953B52">
        <w:rPr>
          <w:szCs w:val="22"/>
          <w:lang w:val="fr-FR"/>
        </w:rPr>
        <w:t>tre 2015 et 2017, ces pourcentages ont baissé respectivement à 70% et 50%, avec une hausse de l</w:t>
      </w:r>
      <w:r w:rsidR="00E84189">
        <w:rPr>
          <w:szCs w:val="22"/>
          <w:lang w:val="fr-FR"/>
        </w:rPr>
        <w:t>’</w:t>
      </w:r>
      <w:r w:rsidRPr="00953B52">
        <w:rPr>
          <w:szCs w:val="22"/>
          <w:lang w:val="fr-FR"/>
        </w:rPr>
        <w:t>activité en Chine, en Inde, en Israël, à Singapour et en République de Corée, entre autres.</w:t>
      </w:r>
    </w:p>
    <w:p w:rsidR="00546B53" w:rsidRDefault="00CC5DF6" w:rsidP="009B3BE6">
      <w:pPr>
        <w:autoSpaceDE w:val="0"/>
        <w:autoSpaceDN w:val="0"/>
        <w:adjustRightInd w:val="0"/>
        <w:spacing w:after="220"/>
        <w:rPr>
          <w:szCs w:val="22"/>
          <w:lang w:val="fr-FR"/>
        </w:rPr>
      </w:pPr>
      <w:r w:rsidRPr="00953B52">
        <w:rPr>
          <w:szCs w:val="22"/>
          <w:lang w:val="fr-FR"/>
        </w:rPr>
        <w:t>On peut observer des tendances similaires en se penchant sur certains secteurs spécifiques qui sont plus susceptibles de s</w:t>
      </w:r>
      <w:r w:rsidR="00E84189">
        <w:rPr>
          <w:szCs w:val="22"/>
          <w:lang w:val="fr-FR"/>
        </w:rPr>
        <w:t>’</w:t>
      </w:r>
      <w:r w:rsidRPr="00953B52">
        <w:rPr>
          <w:szCs w:val="22"/>
          <w:lang w:val="fr-FR"/>
        </w:rPr>
        <w:t>appuyer sur des ressources génétiques pour les inventions, par exemple le secteur de la biotechnologie végétale</w:t>
      </w:r>
      <w:r w:rsidRPr="00953B52">
        <w:rPr>
          <w:rStyle w:val="FootnoteReference"/>
          <w:szCs w:val="22"/>
          <w:lang w:val="fr-FR"/>
        </w:rPr>
        <w:footnoteReference w:id="24"/>
      </w:r>
      <w:r w:rsidRPr="00953B52">
        <w:rPr>
          <w:szCs w:val="22"/>
          <w:lang w:val="fr-FR"/>
        </w:rPr>
        <w:t xml:space="preserve">, le secteur des ressources génétiques </w:t>
      </w:r>
      <w:r w:rsidRPr="00953B52">
        <w:rPr>
          <w:szCs w:val="22"/>
          <w:lang w:val="fr-FR"/>
        </w:rPr>
        <w:lastRenderedPageBreak/>
        <w:t>marines</w:t>
      </w:r>
      <w:r w:rsidRPr="00953B52">
        <w:rPr>
          <w:rStyle w:val="FootnoteReference"/>
          <w:szCs w:val="22"/>
          <w:lang w:val="fr-FR"/>
        </w:rPr>
        <w:footnoteReference w:id="25"/>
      </w:r>
      <w:r w:rsidRPr="00953B52">
        <w:rPr>
          <w:szCs w:val="22"/>
          <w:lang w:val="fr-FR"/>
        </w:rPr>
        <w:t xml:space="preserve"> ou le secteur pharmaceutique</w:t>
      </w:r>
      <w:r w:rsidRPr="00953B52">
        <w:rPr>
          <w:rStyle w:val="FootnoteReference"/>
          <w:szCs w:val="22"/>
          <w:lang w:val="fr-FR"/>
        </w:rPr>
        <w:footnoteReference w:id="26"/>
      </w:r>
      <w:r w:rsidR="00095B51">
        <w:rPr>
          <w:szCs w:val="22"/>
          <w:lang w:val="fr-FR"/>
        </w:rPr>
        <w:t xml:space="preserve">. </w:t>
      </w:r>
      <w:r w:rsidRPr="00953B52">
        <w:rPr>
          <w:szCs w:val="22"/>
          <w:lang w:val="fr-FR"/>
        </w:rPr>
        <w:t xml:space="preserve"> Cela signifie aussi que les ressources génétiques sont souvent échangées de nombreuses fois entre les partenaires travaillant en collaboration, aussi bien à l</w:t>
      </w:r>
      <w:r w:rsidR="00E84189">
        <w:rPr>
          <w:szCs w:val="22"/>
          <w:lang w:val="fr-FR"/>
        </w:rPr>
        <w:t>’</w:t>
      </w:r>
      <w:r w:rsidRPr="00953B52">
        <w:rPr>
          <w:szCs w:val="22"/>
          <w:lang w:val="fr-FR"/>
        </w:rPr>
        <w:t>intérieur d</w:t>
      </w:r>
      <w:r w:rsidR="00E84189">
        <w:rPr>
          <w:szCs w:val="22"/>
          <w:lang w:val="fr-FR"/>
        </w:rPr>
        <w:t>’</w:t>
      </w:r>
      <w:r w:rsidRPr="00953B52">
        <w:rPr>
          <w:szCs w:val="22"/>
          <w:lang w:val="fr-FR"/>
        </w:rPr>
        <w:t>un pays qu</w:t>
      </w:r>
      <w:r w:rsidR="00E84189">
        <w:rPr>
          <w:szCs w:val="22"/>
          <w:lang w:val="fr-FR"/>
        </w:rPr>
        <w:t>’</w:t>
      </w:r>
      <w:r w:rsidRPr="00953B52">
        <w:rPr>
          <w:szCs w:val="22"/>
          <w:lang w:val="fr-FR"/>
        </w:rPr>
        <w:t>entre différents pa</w:t>
      </w:r>
      <w:r w:rsidR="0003571D" w:rsidRPr="00953B52">
        <w:rPr>
          <w:szCs w:val="22"/>
          <w:lang w:val="fr-FR"/>
        </w:rPr>
        <w:t>ys</w:t>
      </w:r>
      <w:r w:rsidR="0003571D">
        <w:rPr>
          <w:szCs w:val="22"/>
          <w:lang w:val="fr-FR"/>
        </w:rPr>
        <w:t xml:space="preserve">.  </w:t>
      </w:r>
      <w:r w:rsidR="0003571D" w:rsidRPr="00953B52">
        <w:rPr>
          <w:szCs w:val="22"/>
          <w:lang w:val="fr-FR"/>
        </w:rPr>
        <w:t>Pa</w:t>
      </w:r>
      <w:r w:rsidRPr="00953B52">
        <w:rPr>
          <w:szCs w:val="22"/>
          <w:lang w:val="fr-FR"/>
        </w:rPr>
        <w:t>r conséquent, dans bien des cas, il n</w:t>
      </w:r>
      <w:r w:rsidR="00E84189">
        <w:rPr>
          <w:szCs w:val="22"/>
          <w:lang w:val="fr-FR"/>
        </w:rPr>
        <w:t>’</w:t>
      </w:r>
      <w:r w:rsidRPr="00953B52">
        <w:rPr>
          <w:szCs w:val="22"/>
          <w:lang w:val="fr-FR"/>
        </w:rPr>
        <w:t>existe pas de lien direct e</w:t>
      </w:r>
      <w:bookmarkStart w:id="34" w:name="_GoBack"/>
      <w:bookmarkEnd w:id="34"/>
      <w:r w:rsidRPr="00953B52">
        <w:rPr>
          <w:szCs w:val="22"/>
          <w:lang w:val="fr-FR"/>
        </w:rPr>
        <w:t>ntre le pays d</w:t>
      </w:r>
      <w:r w:rsidR="00E84189">
        <w:rPr>
          <w:szCs w:val="22"/>
          <w:lang w:val="fr-FR"/>
        </w:rPr>
        <w:t>’</w:t>
      </w:r>
      <w:r w:rsidRPr="00953B52">
        <w:rPr>
          <w:szCs w:val="22"/>
          <w:lang w:val="fr-FR"/>
        </w:rPr>
        <w:t>origine de la ressource génétique et la ressource génétique elle</w:t>
      </w:r>
      <w:r w:rsidR="000B2FBE">
        <w:rPr>
          <w:szCs w:val="22"/>
          <w:lang w:val="fr-FR"/>
        </w:rPr>
        <w:noBreakHyphen/>
      </w:r>
      <w:r w:rsidRPr="00953B52">
        <w:rPr>
          <w:szCs w:val="22"/>
          <w:lang w:val="fr-FR"/>
        </w:rPr>
        <w:t>même, sur laquelle se fonde directement l</w:t>
      </w:r>
      <w:r w:rsidR="00E84189">
        <w:rPr>
          <w:szCs w:val="22"/>
          <w:lang w:val="fr-FR"/>
        </w:rPr>
        <w:t>’</w:t>
      </w:r>
      <w:r w:rsidRPr="00953B52">
        <w:rPr>
          <w:szCs w:val="22"/>
          <w:lang w:val="fr-FR"/>
        </w:rPr>
        <w:t>inventi</w:t>
      </w:r>
      <w:r w:rsidR="0003571D" w:rsidRPr="00953B52">
        <w:rPr>
          <w:szCs w:val="22"/>
          <w:lang w:val="fr-FR"/>
        </w:rPr>
        <w:t>on</w:t>
      </w:r>
      <w:r w:rsidR="0003571D">
        <w:rPr>
          <w:szCs w:val="22"/>
          <w:lang w:val="fr-FR"/>
        </w:rPr>
        <w:t xml:space="preserve">.  </w:t>
      </w:r>
      <w:r w:rsidR="0003571D" w:rsidRPr="00953B52">
        <w:rPr>
          <w:szCs w:val="22"/>
          <w:lang w:val="fr-FR"/>
        </w:rPr>
        <w:t>Il</w:t>
      </w:r>
      <w:r w:rsidRPr="00953B52">
        <w:rPr>
          <w:szCs w:val="22"/>
          <w:lang w:val="fr-FR"/>
        </w:rPr>
        <w:t xml:space="preserve"> est donc plus difficile de rattacher la ressource génétique spécifique, sur laquelle se fonde directement l</w:t>
      </w:r>
      <w:r w:rsidR="00E84189">
        <w:rPr>
          <w:szCs w:val="22"/>
          <w:lang w:val="fr-FR"/>
        </w:rPr>
        <w:t>’</w:t>
      </w:r>
      <w:r w:rsidRPr="00953B52">
        <w:rPr>
          <w:szCs w:val="22"/>
          <w:lang w:val="fr-FR"/>
        </w:rPr>
        <w:t>invention, au pays d</w:t>
      </w:r>
      <w:r w:rsidR="00E84189">
        <w:rPr>
          <w:szCs w:val="22"/>
          <w:lang w:val="fr-FR"/>
        </w:rPr>
        <w:t>’</w:t>
      </w:r>
      <w:r w:rsidRPr="00953B52">
        <w:rPr>
          <w:szCs w:val="22"/>
          <w:lang w:val="fr-FR"/>
        </w:rPr>
        <w:t>origine.</w:t>
      </w:r>
    </w:p>
    <w:p w:rsidR="00CC5DF6" w:rsidRPr="00953B52" w:rsidRDefault="00CC5DF6" w:rsidP="003A25F1">
      <w:pPr>
        <w:pStyle w:val="Text"/>
        <w:keepNext/>
        <w:pBdr>
          <w:top w:val="single" w:sz="4" w:space="1" w:color="auto"/>
          <w:left w:val="single" w:sz="4" w:space="4" w:color="auto"/>
          <w:bottom w:val="single" w:sz="4" w:space="0" w:color="auto"/>
          <w:right w:val="single" w:sz="4" w:space="4" w:color="auto"/>
        </w:pBdr>
        <w:spacing w:before="80" w:after="80"/>
        <w:rPr>
          <w:rFonts w:ascii="Arial" w:hAnsi="Arial" w:cs="Arial"/>
          <w:b/>
          <w:sz w:val="22"/>
          <w:szCs w:val="22"/>
          <w:lang w:val="fr-FR"/>
        </w:rPr>
      </w:pPr>
      <w:r w:rsidRPr="00953B52">
        <w:rPr>
          <w:rFonts w:ascii="Arial" w:hAnsi="Arial" w:cs="Arial"/>
          <w:b/>
          <w:sz w:val="22"/>
          <w:szCs w:val="22"/>
          <w:lang w:val="fr-FR"/>
        </w:rPr>
        <w:t>Incidences sur les travaux de l</w:t>
      </w:r>
      <w:r w:rsidR="00E84189">
        <w:rPr>
          <w:rFonts w:ascii="Arial" w:hAnsi="Arial" w:cs="Arial"/>
          <w:b/>
          <w:sz w:val="22"/>
          <w:szCs w:val="22"/>
          <w:lang w:val="fr-FR"/>
        </w:rPr>
        <w:t>’</w:t>
      </w:r>
      <w:r w:rsidRPr="00953B52">
        <w:rPr>
          <w:rFonts w:ascii="Arial" w:hAnsi="Arial" w:cs="Arial"/>
          <w:b/>
          <w:sz w:val="22"/>
          <w:szCs w:val="22"/>
          <w:lang w:val="fr-FR"/>
        </w:rPr>
        <w:t>IGC</w:t>
      </w:r>
      <w:r w:rsidR="00E84189">
        <w:rPr>
          <w:rFonts w:ascii="Arial" w:hAnsi="Arial" w:cs="Arial"/>
          <w:b/>
          <w:sz w:val="22"/>
          <w:szCs w:val="22"/>
          <w:lang w:val="fr-FR"/>
        </w:rPr>
        <w:t> :</w:t>
      </w:r>
    </w:p>
    <w:p w:rsidR="00CC5DF6" w:rsidRPr="00953B52" w:rsidRDefault="00CC5DF6" w:rsidP="003A25F1">
      <w:pPr>
        <w:pStyle w:val="Text"/>
        <w:numPr>
          <w:ilvl w:val="0"/>
          <w:numId w:val="14"/>
        </w:numPr>
        <w:pBdr>
          <w:top w:val="single" w:sz="4" w:space="1" w:color="auto"/>
          <w:left w:val="single" w:sz="4" w:space="4" w:color="auto"/>
          <w:bottom w:val="single" w:sz="4" w:space="0"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La plupart des ressources génétiques citées dans les demandes de brevet correspondent à une diversité très limitée de ressources génétiques.</w:t>
      </w:r>
    </w:p>
    <w:p w:rsidR="00CC5DF6" w:rsidRPr="00953B52" w:rsidRDefault="00CC5DF6" w:rsidP="003A25F1">
      <w:pPr>
        <w:pStyle w:val="Text"/>
        <w:numPr>
          <w:ilvl w:val="0"/>
          <w:numId w:val="14"/>
        </w:numPr>
        <w:pBdr>
          <w:top w:val="single" w:sz="4" w:space="1" w:color="auto"/>
          <w:left w:val="single" w:sz="4" w:space="4" w:color="auto"/>
          <w:bottom w:val="single" w:sz="4" w:space="0"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Un grand nombre de ressources génétiques se trouvant dans des demandes de brevet peuvent être obtenues à partir de sources diverses, avec notamment plusieurs pays d</w:t>
      </w:r>
      <w:r w:rsidR="00E84189">
        <w:rPr>
          <w:rFonts w:ascii="Arial" w:hAnsi="Arial" w:cs="Arial"/>
          <w:sz w:val="22"/>
          <w:szCs w:val="22"/>
          <w:lang w:val="fr-FR"/>
        </w:rPr>
        <w:t>’</w:t>
      </w:r>
      <w:r w:rsidRPr="00953B52">
        <w:rPr>
          <w:rFonts w:ascii="Arial" w:hAnsi="Arial" w:cs="Arial"/>
          <w:sz w:val="22"/>
          <w:szCs w:val="22"/>
          <w:lang w:val="fr-FR"/>
        </w:rPr>
        <w:t>origine.</w:t>
      </w:r>
    </w:p>
    <w:p w:rsidR="00CC5DF6" w:rsidRPr="00953B52" w:rsidRDefault="00CC5DF6" w:rsidP="003A25F1">
      <w:pPr>
        <w:pStyle w:val="Text"/>
        <w:numPr>
          <w:ilvl w:val="0"/>
          <w:numId w:val="14"/>
        </w:numPr>
        <w:pBdr>
          <w:top w:val="single" w:sz="4" w:space="1" w:color="auto"/>
          <w:left w:val="single" w:sz="4" w:space="4" w:color="auto"/>
          <w:bottom w:val="single" w:sz="4" w:space="0"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 xml:space="preserve">Les activités en matière de </w:t>
      </w:r>
      <w:r w:rsidR="00095B51" w:rsidRPr="00953B52">
        <w:rPr>
          <w:rFonts w:ascii="Arial" w:hAnsi="Arial" w:cs="Arial"/>
          <w:sz w:val="22"/>
          <w:szCs w:val="22"/>
          <w:lang w:val="fr-FR"/>
        </w:rPr>
        <w:t>brevet</w:t>
      </w:r>
      <w:r w:rsidR="00095B51">
        <w:rPr>
          <w:rFonts w:ascii="Arial" w:hAnsi="Arial" w:cs="Arial"/>
          <w:sz w:val="22"/>
          <w:szCs w:val="22"/>
          <w:lang w:val="fr-FR"/>
        </w:rPr>
        <w:t>s</w:t>
      </w:r>
      <w:r w:rsidRPr="00953B52">
        <w:rPr>
          <w:rFonts w:ascii="Arial" w:hAnsi="Arial" w:cs="Arial"/>
          <w:sz w:val="22"/>
          <w:szCs w:val="22"/>
          <w:lang w:val="fr-FR"/>
        </w:rPr>
        <w:t xml:space="preserve"> de différents pays de différentes régions ont considérablement augmenté ces dernières anné</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Le</w:t>
      </w:r>
      <w:r w:rsidRPr="00953B52">
        <w:rPr>
          <w:rFonts w:ascii="Arial" w:hAnsi="Arial" w:cs="Arial"/>
          <w:sz w:val="22"/>
          <w:szCs w:val="22"/>
          <w:lang w:val="fr-FR"/>
        </w:rPr>
        <w:t>s innovations s</w:t>
      </w:r>
      <w:r w:rsidR="00E84189">
        <w:rPr>
          <w:rFonts w:ascii="Arial" w:hAnsi="Arial" w:cs="Arial"/>
          <w:sz w:val="22"/>
          <w:szCs w:val="22"/>
          <w:lang w:val="fr-FR"/>
        </w:rPr>
        <w:t>’</w:t>
      </w:r>
      <w:r w:rsidRPr="00953B52">
        <w:rPr>
          <w:rFonts w:ascii="Arial" w:hAnsi="Arial" w:cs="Arial"/>
          <w:sz w:val="22"/>
          <w:szCs w:val="22"/>
          <w:lang w:val="fr-FR"/>
        </w:rPr>
        <w:t>appuient de plus en plus sur la collaboration internationale, en particulier pour des brevets de haute qualité</w:t>
      </w:r>
      <w:r w:rsidRPr="00953B52" w:rsidDel="00417794">
        <w:rPr>
          <w:rFonts w:ascii="Arial" w:hAnsi="Arial" w:cs="Arial"/>
          <w:sz w:val="22"/>
          <w:szCs w:val="22"/>
          <w:lang w:val="fr-FR"/>
        </w:rPr>
        <w:t>.</w:t>
      </w:r>
    </w:p>
    <w:p w:rsidR="00546B53" w:rsidRDefault="00CC5DF6" w:rsidP="003A25F1">
      <w:pPr>
        <w:pStyle w:val="Text"/>
        <w:numPr>
          <w:ilvl w:val="0"/>
          <w:numId w:val="14"/>
        </w:numPr>
        <w:pBdr>
          <w:top w:val="single" w:sz="4" w:space="1" w:color="auto"/>
          <w:left w:val="single" w:sz="4" w:space="4" w:color="auto"/>
          <w:bottom w:val="single" w:sz="4" w:space="0" w:color="auto"/>
          <w:right w:val="single" w:sz="4" w:space="4" w:color="auto"/>
        </w:pBdr>
        <w:spacing w:before="80" w:after="80"/>
        <w:ind w:left="567" w:hanging="567"/>
        <w:rPr>
          <w:rFonts w:ascii="Arial" w:hAnsi="Arial" w:cs="Arial"/>
          <w:sz w:val="22"/>
          <w:szCs w:val="22"/>
          <w:lang w:val="fr-FR"/>
        </w:rPr>
      </w:pPr>
      <w:r w:rsidRPr="00953B52">
        <w:rPr>
          <w:rFonts w:ascii="Arial" w:hAnsi="Arial" w:cs="Arial"/>
          <w:sz w:val="22"/>
          <w:szCs w:val="22"/>
          <w:lang w:val="fr-FR"/>
        </w:rPr>
        <w:t>Avant que soit envisagée une invention, les ressources génétiques sont souvent échangées de nombreuses fois entre différents pa</w:t>
      </w:r>
      <w:r w:rsidR="0003571D" w:rsidRPr="00953B52">
        <w:rPr>
          <w:rFonts w:ascii="Arial" w:hAnsi="Arial" w:cs="Arial"/>
          <w:sz w:val="22"/>
          <w:szCs w:val="22"/>
          <w:lang w:val="fr-FR"/>
        </w:rPr>
        <w:t>ys</w:t>
      </w:r>
      <w:r w:rsidR="0003571D">
        <w:rPr>
          <w:rFonts w:ascii="Arial" w:hAnsi="Arial" w:cs="Arial"/>
          <w:sz w:val="22"/>
          <w:szCs w:val="22"/>
          <w:lang w:val="fr-FR"/>
        </w:rPr>
        <w:t xml:space="preserve">.  </w:t>
      </w:r>
      <w:r w:rsidR="0003571D" w:rsidRPr="00953B52">
        <w:rPr>
          <w:rFonts w:ascii="Arial" w:hAnsi="Arial" w:cs="Arial"/>
          <w:sz w:val="22"/>
          <w:szCs w:val="22"/>
          <w:lang w:val="fr-FR"/>
        </w:rPr>
        <w:t>Il</w:t>
      </w:r>
      <w:r w:rsidRPr="00953B52">
        <w:rPr>
          <w:rFonts w:ascii="Arial" w:hAnsi="Arial" w:cs="Arial"/>
          <w:sz w:val="22"/>
          <w:szCs w:val="22"/>
          <w:lang w:val="fr-FR"/>
        </w:rPr>
        <w:t xml:space="preserve"> n</w:t>
      </w:r>
      <w:r w:rsidR="00E84189">
        <w:rPr>
          <w:rFonts w:ascii="Arial" w:hAnsi="Arial" w:cs="Arial"/>
          <w:sz w:val="22"/>
          <w:szCs w:val="22"/>
          <w:lang w:val="fr-FR"/>
        </w:rPr>
        <w:t>’</w:t>
      </w:r>
      <w:r w:rsidRPr="00953B52">
        <w:rPr>
          <w:rFonts w:ascii="Arial" w:hAnsi="Arial" w:cs="Arial"/>
          <w:sz w:val="22"/>
          <w:szCs w:val="22"/>
          <w:lang w:val="fr-FR"/>
        </w:rPr>
        <w:t>est donc pas possible de rattacher facilement une ressource génétique au pays d</w:t>
      </w:r>
      <w:r w:rsidR="00E84189">
        <w:rPr>
          <w:rFonts w:ascii="Arial" w:hAnsi="Arial" w:cs="Arial"/>
          <w:sz w:val="22"/>
          <w:szCs w:val="22"/>
          <w:lang w:val="fr-FR"/>
        </w:rPr>
        <w:t>’</w:t>
      </w:r>
      <w:r w:rsidRPr="00953B52">
        <w:rPr>
          <w:rFonts w:ascii="Arial" w:hAnsi="Arial" w:cs="Arial"/>
          <w:sz w:val="22"/>
          <w:szCs w:val="22"/>
          <w:lang w:val="fr-FR"/>
        </w:rPr>
        <w:t>origine qui l</w:t>
      </w:r>
      <w:r w:rsidR="00E84189">
        <w:rPr>
          <w:rFonts w:ascii="Arial" w:hAnsi="Arial" w:cs="Arial"/>
          <w:sz w:val="22"/>
          <w:szCs w:val="22"/>
          <w:lang w:val="fr-FR"/>
        </w:rPr>
        <w:t>’</w:t>
      </w:r>
      <w:r w:rsidRPr="00953B52">
        <w:rPr>
          <w:rFonts w:ascii="Arial" w:hAnsi="Arial" w:cs="Arial"/>
          <w:sz w:val="22"/>
          <w:szCs w:val="22"/>
          <w:lang w:val="fr-FR"/>
        </w:rPr>
        <w:t>a fourni</w:t>
      </w:r>
      <w:r w:rsidR="006211A6">
        <w:rPr>
          <w:rFonts w:ascii="Arial" w:hAnsi="Arial" w:cs="Arial"/>
          <w:sz w:val="22"/>
          <w:szCs w:val="22"/>
          <w:lang w:val="fr-FR"/>
        </w:rPr>
        <w:t>e</w:t>
      </w:r>
      <w:r w:rsidRPr="00953B52">
        <w:rPr>
          <w:rFonts w:ascii="Arial" w:hAnsi="Arial" w:cs="Arial"/>
          <w:sz w:val="22"/>
          <w:szCs w:val="22"/>
          <w:lang w:val="fr-FR"/>
        </w:rPr>
        <w:t>.</w:t>
      </w:r>
    </w:p>
    <w:p w:rsidR="00CC5DF6" w:rsidRPr="00953B52" w:rsidRDefault="00CC5DF6" w:rsidP="00451DEF">
      <w:pPr>
        <w:pStyle w:val="Heading1"/>
        <w:keepLines/>
        <w:numPr>
          <w:ilvl w:val="0"/>
          <w:numId w:val="12"/>
        </w:numPr>
        <w:spacing w:before="360" w:after="220"/>
        <w:ind w:left="357" w:hanging="357"/>
        <w:rPr>
          <w:b w:val="0"/>
          <w:szCs w:val="22"/>
          <w:lang w:val="fr-FR"/>
        </w:rPr>
      </w:pPr>
      <w:bookmarkStart w:id="35" w:name="_Toc51243827"/>
      <w:r w:rsidRPr="00953B52">
        <w:rPr>
          <w:caps w:val="0"/>
          <w:szCs w:val="22"/>
          <w:lang w:val="fr-FR"/>
        </w:rPr>
        <w:t>Principales modalités concernant une exigence de divulgation internationale en matière de brevets</w:t>
      </w:r>
      <w:bookmarkEnd w:id="35"/>
    </w:p>
    <w:p w:rsidR="00CC5DF6" w:rsidRPr="00953B52" w:rsidRDefault="00CC5DF6" w:rsidP="00451DEF">
      <w:pPr>
        <w:pStyle w:val="Text"/>
        <w:spacing w:after="220"/>
        <w:rPr>
          <w:rFonts w:ascii="Arial" w:hAnsi="Arial" w:cs="Arial"/>
          <w:sz w:val="22"/>
          <w:szCs w:val="22"/>
          <w:lang w:val="fr-FR"/>
        </w:rPr>
      </w:pPr>
      <w:r w:rsidRPr="00953B52">
        <w:rPr>
          <w:rFonts w:ascii="Arial" w:hAnsi="Arial" w:cs="Arial"/>
          <w:sz w:val="22"/>
          <w:szCs w:val="22"/>
          <w:lang w:val="fr-FR"/>
        </w:rPr>
        <w:t xml:space="preserve">Au vu des conclusions décrites dans la </w:t>
      </w:r>
      <w:r w:rsidR="00546B53" w:rsidRPr="00953B52">
        <w:rPr>
          <w:rFonts w:ascii="Arial" w:hAnsi="Arial" w:cs="Arial"/>
          <w:sz w:val="22"/>
          <w:szCs w:val="22"/>
          <w:lang w:val="fr-FR"/>
        </w:rPr>
        <w:t>section</w:t>
      </w:r>
      <w:r w:rsidR="00546B53">
        <w:rPr>
          <w:rFonts w:ascii="Arial" w:hAnsi="Arial" w:cs="Arial"/>
          <w:sz w:val="22"/>
          <w:szCs w:val="22"/>
          <w:lang w:val="fr-FR"/>
        </w:rPr>
        <w:t> </w:t>
      </w:r>
      <w:r w:rsidR="00546B53" w:rsidRPr="00953B52">
        <w:rPr>
          <w:rFonts w:ascii="Arial" w:hAnsi="Arial" w:cs="Arial"/>
          <w:sz w:val="22"/>
          <w:szCs w:val="22"/>
          <w:lang w:val="fr-FR"/>
        </w:rPr>
        <w:t>2</w:t>
      </w:r>
      <w:r w:rsidRPr="00953B52">
        <w:rPr>
          <w:rFonts w:ascii="Arial" w:hAnsi="Arial" w:cs="Arial"/>
          <w:sz w:val="22"/>
          <w:szCs w:val="22"/>
          <w:lang w:val="fr-FR"/>
        </w:rPr>
        <w:t>, la Suisse demeure convaincue qu</w:t>
      </w:r>
      <w:r w:rsidR="00E84189">
        <w:rPr>
          <w:rFonts w:ascii="Arial" w:hAnsi="Arial" w:cs="Arial"/>
          <w:sz w:val="22"/>
          <w:szCs w:val="22"/>
          <w:lang w:val="fr-FR"/>
        </w:rPr>
        <w:t>’</w:t>
      </w:r>
      <w:r w:rsidRPr="00953B52">
        <w:rPr>
          <w:rFonts w:ascii="Arial" w:hAnsi="Arial" w:cs="Arial"/>
          <w:sz w:val="22"/>
          <w:szCs w:val="22"/>
          <w:lang w:val="fr-FR"/>
        </w:rPr>
        <w:t>une exigence de divulgation internationale en matière de brevets devrait être rédigée sous la forme d</w:t>
      </w:r>
      <w:r w:rsidR="00E84189">
        <w:rPr>
          <w:rFonts w:ascii="Arial" w:hAnsi="Arial" w:cs="Arial"/>
          <w:sz w:val="22"/>
          <w:szCs w:val="22"/>
          <w:lang w:val="fr-FR"/>
        </w:rPr>
        <w:t>’</w:t>
      </w:r>
      <w:r w:rsidRPr="00953B52">
        <w:rPr>
          <w:rFonts w:ascii="Arial" w:hAnsi="Arial" w:cs="Arial"/>
          <w:sz w:val="22"/>
          <w:szCs w:val="22"/>
          <w:lang w:val="fr-FR"/>
        </w:rPr>
        <w:t xml:space="preserve">une </w:t>
      </w:r>
      <w:r w:rsidR="00546B53">
        <w:rPr>
          <w:rFonts w:ascii="Arial" w:hAnsi="Arial" w:cs="Arial"/>
          <w:sz w:val="22"/>
          <w:szCs w:val="22"/>
          <w:lang w:val="fr-FR"/>
        </w:rPr>
        <w:t>“</w:t>
      </w:r>
      <w:r w:rsidR="00546B53" w:rsidRPr="00953B52">
        <w:rPr>
          <w:rFonts w:ascii="Arial" w:hAnsi="Arial" w:cs="Arial"/>
          <w:sz w:val="22"/>
          <w:szCs w:val="22"/>
          <w:lang w:val="fr-FR"/>
        </w:rPr>
        <w:t>m</w:t>
      </w:r>
      <w:r w:rsidRPr="00953B52">
        <w:rPr>
          <w:rFonts w:ascii="Arial" w:hAnsi="Arial" w:cs="Arial"/>
          <w:sz w:val="22"/>
          <w:szCs w:val="22"/>
          <w:lang w:val="fr-FR"/>
        </w:rPr>
        <w:t>esure de transparenc</w:t>
      </w:r>
      <w:r w:rsidR="00546B53" w:rsidRPr="00953B52">
        <w:rPr>
          <w:rFonts w:ascii="Arial" w:hAnsi="Arial" w:cs="Arial"/>
          <w:sz w:val="22"/>
          <w:szCs w:val="22"/>
          <w:lang w:val="fr-FR"/>
        </w:rPr>
        <w:t>e</w:t>
      </w:r>
      <w:r w:rsidR="00546B53">
        <w:rPr>
          <w:rFonts w:ascii="Arial" w:hAnsi="Arial" w:cs="Arial"/>
          <w:sz w:val="22"/>
          <w:szCs w:val="22"/>
          <w:lang w:val="fr-FR"/>
        </w:rPr>
        <w:t>”</w:t>
      </w:r>
      <w:r w:rsidRPr="00953B52">
        <w:rPr>
          <w:rFonts w:ascii="Arial" w:hAnsi="Arial" w:cs="Arial"/>
          <w:sz w:val="22"/>
          <w:szCs w:val="22"/>
          <w:lang w:val="fr-FR"/>
        </w:rPr>
        <w:t xml:space="preserve"> et devrait favoriser les innovations reposant sur des ressources génétiques ou savoirs traditionnels connex</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Un</w:t>
      </w:r>
      <w:r w:rsidRPr="00953B52">
        <w:rPr>
          <w:rFonts w:ascii="Arial" w:hAnsi="Arial" w:cs="Arial"/>
          <w:sz w:val="22"/>
          <w:szCs w:val="22"/>
          <w:lang w:val="fr-FR"/>
        </w:rPr>
        <w:t>e plus grande transparence sur la source ou l</w:t>
      </w:r>
      <w:r w:rsidR="00E84189">
        <w:rPr>
          <w:rFonts w:ascii="Arial" w:hAnsi="Arial" w:cs="Arial"/>
          <w:sz w:val="22"/>
          <w:szCs w:val="22"/>
          <w:lang w:val="fr-FR"/>
        </w:rPr>
        <w:t>’</w:t>
      </w:r>
      <w:r w:rsidRPr="00953B52">
        <w:rPr>
          <w:rFonts w:ascii="Arial" w:hAnsi="Arial" w:cs="Arial"/>
          <w:sz w:val="22"/>
          <w:szCs w:val="22"/>
          <w:lang w:val="fr-FR"/>
        </w:rPr>
        <w:t>origine des ressources génétiques ou des savoirs traditionnels connexes pourrait faciliter la mise en œuvre des exigences relatives à l</w:t>
      </w:r>
      <w:r w:rsidR="00E84189">
        <w:rPr>
          <w:rFonts w:ascii="Arial" w:hAnsi="Arial" w:cs="Arial"/>
          <w:sz w:val="22"/>
          <w:szCs w:val="22"/>
          <w:lang w:val="fr-FR"/>
        </w:rPr>
        <w:t>’</w:t>
      </w:r>
      <w:r w:rsidRPr="00953B52">
        <w:rPr>
          <w:rFonts w:ascii="Arial" w:hAnsi="Arial" w:cs="Arial"/>
          <w:sz w:val="22"/>
          <w:szCs w:val="22"/>
          <w:lang w:val="fr-FR"/>
        </w:rPr>
        <w:t>accès et au partage des avantages dans les pays fournissant des ressources génétiques ou savoirs traditionnels connex</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En</w:t>
      </w:r>
      <w:r w:rsidRPr="00953B52">
        <w:rPr>
          <w:rFonts w:ascii="Arial" w:hAnsi="Arial" w:cs="Arial"/>
          <w:sz w:val="22"/>
          <w:szCs w:val="22"/>
          <w:lang w:val="fr-FR"/>
        </w:rPr>
        <w:t xml:space="preserve"> même temps, cela faciliterait également le travail des examinateurs de brevets qui pourraient ainsi trouver plus facilement les bases de données ou autres informations pertinentes pour éviter la délivrance de brevets ind</w:t>
      </w:r>
      <w:r w:rsidR="0003571D" w:rsidRPr="00953B52">
        <w:rPr>
          <w:rFonts w:ascii="Arial" w:hAnsi="Arial" w:cs="Arial"/>
          <w:sz w:val="22"/>
          <w:szCs w:val="22"/>
          <w:lang w:val="fr-FR"/>
        </w:rPr>
        <w:t>us</w:t>
      </w:r>
      <w:r w:rsidR="0003571D">
        <w:rPr>
          <w:rFonts w:ascii="Arial" w:hAnsi="Arial" w:cs="Arial"/>
          <w:sz w:val="22"/>
          <w:szCs w:val="22"/>
          <w:lang w:val="fr-FR"/>
        </w:rPr>
        <w:t xml:space="preserve">.  </w:t>
      </w:r>
      <w:r w:rsidR="0003571D" w:rsidRPr="00953B52">
        <w:rPr>
          <w:rFonts w:ascii="Arial" w:hAnsi="Arial" w:cs="Arial"/>
          <w:sz w:val="22"/>
          <w:szCs w:val="22"/>
          <w:lang w:val="fr-FR"/>
        </w:rPr>
        <w:t>En</w:t>
      </w:r>
      <w:r w:rsidRPr="00953B52">
        <w:rPr>
          <w:rFonts w:ascii="Arial" w:hAnsi="Arial" w:cs="Arial"/>
          <w:sz w:val="22"/>
          <w:szCs w:val="22"/>
          <w:lang w:val="fr-FR"/>
        </w:rPr>
        <w:t xml:space="preserve"> outre, les ressources génétiques obtenues sur différents lieux</w:t>
      </w:r>
      <w:r w:rsidR="00594BBC">
        <w:rPr>
          <w:rFonts w:ascii="Arial" w:hAnsi="Arial" w:cs="Arial"/>
          <w:sz w:val="22"/>
          <w:szCs w:val="22"/>
          <w:lang w:val="fr-FR"/>
        </w:rPr>
        <w:t xml:space="preserve"> </w:t>
      </w:r>
      <w:r w:rsidRPr="00953B52">
        <w:rPr>
          <w:rFonts w:ascii="Arial" w:hAnsi="Arial" w:cs="Arial"/>
          <w:i/>
          <w:sz w:val="22"/>
          <w:szCs w:val="22"/>
          <w:lang w:val="fr-FR"/>
        </w:rPr>
        <w:t>in</w:t>
      </w:r>
      <w:r w:rsidR="00594BBC">
        <w:rPr>
          <w:rFonts w:ascii="Arial" w:hAnsi="Arial" w:cs="Arial"/>
          <w:i/>
          <w:sz w:val="22"/>
          <w:szCs w:val="22"/>
          <w:lang w:val="fr-FR"/>
        </w:rPr>
        <w:t> </w:t>
      </w:r>
      <w:r w:rsidRPr="00953B52">
        <w:rPr>
          <w:rFonts w:ascii="Arial" w:hAnsi="Arial" w:cs="Arial"/>
          <w:i/>
          <w:sz w:val="22"/>
          <w:szCs w:val="22"/>
          <w:lang w:val="fr-FR"/>
        </w:rPr>
        <w:t>situ</w:t>
      </w:r>
      <w:r w:rsidRPr="00953B52">
        <w:rPr>
          <w:rFonts w:ascii="Arial" w:hAnsi="Arial" w:cs="Arial"/>
          <w:sz w:val="22"/>
          <w:szCs w:val="22"/>
          <w:lang w:val="fr-FR"/>
        </w:rPr>
        <w:t xml:space="preserve"> et </w:t>
      </w:r>
      <w:r w:rsidRPr="00953B52">
        <w:rPr>
          <w:rFonts w:ascii="Arial" w:hAnsi="Arial" w:cs="Arial"/>
          <w:i/>
          <w:sz w:val="22"/>
          <w:szCs w:val="22"/>
          <w:lang w:val="fr-FR"/>
        </w:rPr>
        <w:t>ex</w:t>
      </w:r>
      <w:r w:rsidR="00594BBC">
        <w:rPr>
          <w:rFonts w:ascii="Arial" w:hAnsi="Arial" w:cs="Arial"/>
          <w:i/>
          <w:sz w:val="22"/>
          <w:szCs w:val="22"/>
          <w:lang w:val="fr-FR"/>
        </w:rPr>
        <w:t> </w:t>
      </w:r>
      <w:r w:rsidRPr="00953B52">
        <w:rPr>
          <w:rFonts w:ascii="Arial" w:hAnsi="Arial" w:cs="Arial"/>
          <w:i/>
          <w:sz w:val="22"/>
          <w:szCs w:val="22"/>
          <w:lang w:val="fr-FR"/>
        </w:rPr>
        <w:t>situ</w:t>
      </w:r>
      <w:r w:rsidRPr="00953B52">
        <w:rPr>
          <w:rFonts w:ascii="Arial" w:hAnsi="Arial" w:cs="Arial"/>
          <w:sz w:val="22"/>
          <w:szCs w:val="22"/>
          <w:lang w:val="fr-FR"/>
        </w:rPr>
        <w:t xml:space="preserve"> pouvant avoir des propriétés biochimiques ou génétiques différentes, la divulgation de la source ou de l</w:t>
      </w:r>
      <w:r w:rsidR="00E84189">
        <w:rPr>
          <w:rFonts w:ascii="Arial" w:hAnsi="Arial" w:cs="Arial"/>
          <w:sz w:val="22"/>
          <w:szCs w:val="22"/>
          <w:lang w:val="fr-FR"/>
        </w:rPr>
        <w:t>’</w:t>
      </w:r>
      <w:r w:rsidRPr="00953B52">
        <w:rPr>
          <w:rFonts w:ascii="Arial" w:hAnsi="Arial" w:cs="Arial"/>
          <w:sz w:val="22"/>
          <w:szCs w:val="22"/>
          <w:lang w:val="fr-FR"/>
        </w:rPr>
        <w:t>origine des ressources génétiques ou savoirs traditionnels connexes peut aider une personne du métier à réaliser l</w:t>
      </w:r>
      <w:r w:rsidR="00E84189">
        <w:rPr>
          <w:rFonts w:ascii="Arial" w:hAnsi="Arial" w:cs="Arial"/>
          <w:sz w:val="22"/>
          <w:szCs w:val="22"/>
          <w:lang w:val="fr-FR"/>
        </w:rPr>
        <w:t>’</w:t>
      </w:r>
      <w:r w:rsidRPr="00953B52">
        <w:rPr>
          <w:rFonts w:ascii="Arial" w:hAnsi="Arial" w:cs="Arial"/>
          <w:sz w:val="22"/>
          <w:szCs w:val="22"/>
          <w:lang w:val="fr-FR"/>
        </w:rPr>
        <w:t>inventi</w:t>
      </w:r>
      <w:r w:rsidR="0003571D" w:rsidRPr="00953B52">
        <w:rPr>
          <w:rFonts w:ascii="Arial" w:hAnsi="Arial" w:cs="Arial"/>
          <w:sz w:val="22"/>
          <w:szCs w:val="22"/>
          <w:lang w:val="fr-FR"/>
        </w:rPr>
        <w:t>on</w:t>
      </w:r>
      <w:r w:rsidR="0003571D">
        <w:rPr>
          <w:rFonts w:ascii="Arial" w:hAnsi="Arial" w:cs="Arial"/>
          <w:sz w:val="22"/>
          <w:szCs w:val="22"/>
          <w:lang w:val="fr-FR"/>
        </w:rPr>
        <w:t xml:space="preserve">.  </w:t>
      </w:r>
      <w:r w:rsidR="0003571D" w:rsidRPr="00953B52">
        <w:rPr>
          <w:rFonts w:ascii="Arial" w:hAnsi="Arial" w:cs="Arial"/>
          <w:sz w:val="22"/>
          <w:szCs w:val="22"/>
          <w:lang w:val="fr-FR"/>
        </w:rPr>
        <w:t>Un</w:t>
      </w:r>
      <w:r w:rsidRPr="00953B52">
        <w:rPr>
          <w:rFonts w:ascii="Arial" w:hAnsi="Arial" w:cs="Arial"/>
          <w:sz w:val="22"/>
          <w:szCs w:val="22"/>
          <w:lang w:val="fr-FR"/>
        </w:rPr>
        <w:t>e plus grande transparence pourrait donc aussi, en fin de compte, améliorer la qualité des brevets.</w:t>
      </w:r>
    </w:p>
    <w:p w:rsidR="00CC5DF6" w:rsidRPr="00953B52" w:rsidRDefault="00CC5DF6" w:rsidP="005C0BD9">
      <w:pPr>
        <w:pStyle w:val="Text"/>
        <w:rPr>
          <w:rFonts w:ascii="Arial" w:hAnsi="Arial" w:cs="Arial"/>
          <w:sz w:val="22"/>
          <w:szCs w:val="22"/>
          <w:lang w:val="fr-FR"/>
        </w:rPr>
      </w:pPr>
      <w:r w:rsidRPr="00953B52">
        <w:rPr>
          <w:rFonts w:ascii="Arial" w:hAnsi="Arial" w:cs="Arial"/>
          <w:sz w:val="22"/>
          <w:szCs w:val="22"/>
          <w:lang w:val="fr-FR"/>
        </w:rPr>
        <w:lastRenderedPageBreak/>
        <w:t>Les sous</w:t>
      </w:r>
      <w:r w:rsidR="000B2FBE">
        <w:rPr>
          <w:rFonts w:ascii="Arial" w:hAnsi="Arial" w:cs="Arial"/>
          <w:sz w:val="22"/>
          <w:szCs w:val="22"/>
          <w:lang w:val="fr-FR"/>
        </w:rPr>
        <w:noBreakHyphen/>
      </w:r>
      <w:r w:rsidRPr="00953B52">
        <w:rPr>
          <w:rFonts w:ascii="Arial" w:hAnsi="Arial" w:cs="Arial"/>
          <w:sz w:val="22"/>
          <w:szCs w:val="22"/>
          <w:lang w:val="fr-FR"/>
        </w:rPr>
        <w:t>sections ci</w:t>
      </w:r>
      <w:r w:rsidR="000B2FBE">
        <w:rPr>
          <w:rFonts w:ascii="Arial" w:hAnsi="Arial" w:cs="Arial"/>
          <w:sz w:val="22"/>
          <w:szCs w:val="22"/>
          <w:lang w:val="fr-FR"/>
        </w:rPr>
        <w:noBreakHyphen/>
      </w:r>
      <w:r w:rsidRPr="00953B52">
        <w:rPr>
          <w:rFonts w:ascii="Arial" w:hAnsi="Arial" w:cs="Arial"/>
          <w:sz w:val="22"/>
          <w:szCs w:val="22"/>
          <w:lang w:val="fr-FR"/>
        </w:rPr>
        <w:t>après exposent quelques modalités, à notre avis, importantes pour assurer une sécurité juridique suffisante ainsi que la réalisation pratique et l</w:t>
      </w:r>
      <w:r w:rsidR="00E84189">
        <w:rPr>
          <w:rFonts w:ascii="Arial" w:hAnsi="Arial" w:cs="Arial"/>
          <w:sz w:val="22"/>
          <w:szCs w:val="22"/>
          <w:lang w:val="fr-FR"/>
        </w:rPr>
        <w:t>’</w:t>
      </w:r>
      <w:r w:rsidRPr="00953B52">
        <w:rPr>
          <w:rFonts w:ascii="Arial" w:hAnsi="Arial" w:cs="Arial"/>
          <w:sz w:val="22"/>
          <w:szCs w:val="22"/>
          <w:lang w:val="fr-FR"/>
        </w:rPr>
        <w:t>efficacité d</w:t>
      </w:r>
      <w:r w:rsidR="00E84189">
        <w:rPr>
          <w:rFonts w:ascii="Arial" w:hAnsi="Arial" w:cs="Arial"/>
          <w:sz w:val="22"/>
          <w:szCs w:val="22"/>
          <w:lang w:val="fr-FR"/>
        </w:rPr>
        <w:t>’</w:t>
      </w:r>
      <w:r w:rsidRPr="00953B52">
        <w:rPr>
          <w:rFonts w:ascii="Arial" w:hAnsi="Arial" w:cs="Arial"/>
          <w:sz w:val="22"/>
          <w:szCs w:val="22"/>
          <w:lang w:val="fr-FR"/>
        </w:rPr>
        <w:t>une exigence de divulgation internationale en matière de breve</w:t>
      </w:r>
      <w:r w:rsidR="0003571D" w:rsidRPr="00953B52">
        <w:rPr>
          <w:rFonts w:ascii="Arial" w:hAnsi="Arial" w:cs="Arial"/>
          <w:sz w:val="22"/>
          <w:szCs w:val="22"/>
          <w:lang w:val="fr-FR"/>
        </w:rPr>
        <w:t>ts</w:t>
      </w:r>
      <w:r w:rsidR="0003571D">
        <w:rPr>
          <w:rFonts w:ascii="Arial" w:hAnsi="Arial" w:cs="Arial"/>
          <w:sz w:val="22"/>
          <w:szCs w:val="22"/>
          <w:lang w:val="fr-FR"/>
        </w:rPr>
        <w:t xml:space="preserve">.  </w:t>
      </w:r>
      <w:r w:rsidR="0003571D" w:rsidRPr="00953B52">
        <w:rPr>
          <w:rFonts w:ascii="Arial" w:hAnsi="Arial" w:cs="Arial"/>
          <w:sz w:val="22"/>
          <w:szCs w:val="22"/>
          <w:lang w:val="fr-FR"/>
        </w:rPr>
        <w:t>Ce</w:t>
      </w:r>
      <w:r w:rsidRPr="00953B52">
        <w:rPr>
          <w:rFonts w:ascii="Arial" w:hAnsi="Arial" w:cs="Arial"/>
          <w:sz w:val="22"/>
          <w:szCs w:val="22"/>
          <w:lang w:val="fr-FR"/>
        </w:rPr>
        <w:t>tte section décrit aussi deux</w:t>
      </w:r>
      <w:r w:rsidR="00095B51">
        <w:rPr>
          <w:rFonts w:ascii="Arial" w:hAnsi="Arial" w:cs="Arial"/>
          <w:sz w:val="22"/>
          <w:szCs w:val="22"/>
          <w:lang w:val="fr-FR"/>
        </w:rPr>
        <w:t> </w:t>
      </w:r>
      <w:r w:rsidRPr="00953B52">
        <w:rPr>
          <w:rFonts w:ascii="Arial" w:hAnsi="Arial" w:cs="Arial"/>
          <w:sz w:val="22"/>
          <w:szCs w:val="22"/>
          <w:lang w:val="fr-FR"/>
        </w:rPr>
        <w:t>nouvelles idées, qui pourraient renforcer l</w:t>
      </w:r>
      <w:r w:rsidR="00E84189">
        <w:rPr>
          <w:rFonts w:ascii="Arial" w:hAnsi="Arial" w:cs="Arial"/>
          <w:sz w:val="22"/>
          <w:szCs w:val="22"/>
          <w:lang w:val="fr-FR"/>
        </w:rPr>
        <w:t>’</w:t>
      </w:r>
      <w:r w:rsidRPr="00953B52">
        <w:rPr>
          <w:rFonts w:ascii="Arial" w:hAnsi="Arial" w:cs="Arial"/>
          <w:sz w:val="22"/>
          <w:szCs w:val="22"/>
          <w:lang w:val="fr-FR"/>
        </w:rPr>
        <w:t>attractivité d</w:t>
      </w:r>
      <w:r w:rsidR="00E84189">
        <w:rPr>
          <w:rFonts w:ascii="Arial" w:hAnsi="Arial" w:cs="Arial"/>
          <w:sz w:val="22"/>
          <w:szCs w:val="22"/>
          <w:lang w:val="fr-FR"/>
        </w:rPr>
        <w:t>’</w:t>
      </w:r>
      <w:r w:rsidRPr="00953B52">
        <w:rPr>
          <w:rFonts w:ascii="Arial" w:hAnsi="Arial" w:cs="Arial"/>
          <w:sz w:val="22"/>
          <w:szCs w:val="22"/>
          <w:lang w:val="fr-FR"/>
        </w:rPr>
        <w:t>une exigence de divulgation internationale en matière de brevets pour l</w:t>
      </w:r>
      <w:r w:rsidR="00E84189">
        <w:rPr>
          <w:rFonts w:ascii="Arial" w:hAnsi="Arial" w:cs="Arial"/>
          <w:sz w:val="22"/>
          <w:szCs w:val="22"/>
          <w:lang w:val="fr-FR"/>
        </w:rPr>
        <w:t>’</w:t>
      </w:r>
      <w:r w:rsidRPr="00953B52">
        <w:rPr>
          <w:rFonts w:ascii="Arial" w:hAnsi="Arial" w:cs="Arial"/>
          <w:sz w:val="22"/>
          <w:szCs w:val="22"/>
          <w:lang w:val="fr-FR"/>
        </w:rPr>
        <w:t>ensemble des États membres de l</w:t>
      </w:r>
      <w:r w:rsidR="00E84189">
        <w:rPr>
          <w:rFonts w:ascii="Arial" w:hAnsi="Arial" w:cs="Arial"/>
          <w:sz w:val="22"/>
          <w:szCs w:val="22"/>
          <w:lang w:val="fr-FR"/>
        </w:rPr>
        <w:t>’</w:t>
      </w:r>
      <w:r w:rsidRPr="00953B52">
        <w:rPr>
          <w:rFonts w:ascii="Arial" w:hAnsi="Arial" w:cs="Arial"/>
          <w:sz w:val="22"/>
          <w:szCs w:val="22"/>
          <w:lang w:val="fr-FR"/>
        </w:rPr>
        <w:t>OMPI.</w:t>
      </w:r>
    </w:p>
    <w:p w:rsidR="00CC5DF6" w:rsidRPr="00234673" w:rsidRDefault="00234673" w:rsidP="00451DEF">
      <w:pPr>
        <w:pStyle w:val="Heading2"/>
        <w:spacing w:after="220"/>
        <w:rPr>
          <w:caps/>
        </w:rPr>
      </w:pPr>
      <w:bookmarkStart w:id="36" w:name="_Toc51243828"/>
      <w:r>
        <w:t>3.1</w:t>
      </w:r>
      <w:r>
        <w:tab/>
      </w:r>
      <w:r w:rsidR="00CC5DF6" w:rsidRPr="00953B52">
        <w:t>Élément déclencheur, contenu et sanctions</w:t>
      </w:r>
      <w:bookmarkEnd w:id="36"/>
    </w:p>
    <w:p w:rsidR="00546B53" w:rsidRDefault="00CC5DF6" w:rsidP="00451DEF">
      <w:pPr>
        <w:spacing w:after="220"/>
        <w:rPr>
          <w:szCs w:val="22"/>
          <w:lang w:val="fr-FR"/>
        </w:rPr>
      </w:pPr>
      <w:r w:rsidRPr="00953B52">
        <w:rPr>
          <w:szCs w:val="22"/>
          <w:lang w:val="fr-FR"/>
        </w:rPr>
        <w:t>La Suisse a exposé différentes modalités possibles pour une exigence de divulgation internationale en matière de brevets dans plusieurs documents précédents</w:t>
      </w:r>
      <w:r w:rsidRPr="00953B52">
        <w:rPr>
          <w:rStyle w:val="FootnoteReference"/>
          <w:szCs w:val="22"/>
          <w:lang w:val="fr-FR"/>
        </w:rPr>
        <w:footnoteReference w:id="27"/>
      </w:r>
      <w:r w:rsidR="00095B51">
        <w:rPr>
          <w:szCs w:val="22"/>
          <w:lang w:val="fr-FR"/>
        </w:rPr>
        <w:t xml:space="preserve">. </w:t>
      </w:r>
      <w:r w:rsidRPr="00953B52">
        <w:rPr>
          <w:szCs w:val="22"/>
          <w:lang w:val="fr-FR"/>
        </w:rPr>
        <w:t xml:space="preserve"> Les principaux aspects de ces modalités sont résumés ici comme suit</w:t>
      </w:r>
      <w:r w:rsidR="00E84189">
        <w:rPr>
          <w:szCs w:val="22"/>
          <w:lang w:val="fr-FR"/>
        </w:rPr>
        <w:t> :</w:t>
      </w:r>
    </w:p>
    <w:p w:rsidR="00CC5DF6" w:rsidRPr="00953B52" w:rsidRDefault="00CC5DF6" w:rsidP="00451DEF">
      <w:pPr>
        <w:pStyle w:val="ListParagraph"/>
        <w:numPr>
          <w:ilvl w:val="0"/>
          <w:numId w:val="17"/>
        </w:numPr>
        <w:spacing w:after="220" w:line="240" w:lineRule="auto"/>
        <w:ind w:left="567" w:hanging="567"/>
        <w:contextualSpacing w:val="0"/>
        <w:rPr>
          <w:rFonts w:ascii="Arial" w:hAnsi="Arial" w:cs="Arial"/>
          <w:sz w:val="22"/>
          <w:szCs w:val="22"/>
          <w:lang w:val="fr-FR"/>
        </w:rPr>
      </w:pPr>
      <w:r w:rsidRPr="00953B52">
        <w:rPr>
          <w:rFonts w:ascii="Arial" w:hAnsi="Arial" w:cs="Arial"/>
          <w:b/>
          <w:sz w:val="22"/>
          <w:szCs w:val="22"/>
          <w:lang w:val="fr-FR"/>
        </w:rPr>
        <w:t xml:space="preserve">En ce qui concerne </w:t>
      </w:r>
      <w:r w:rsidR="00546B53">
        <w:rPr>
          <w:rFonts w:ascii="Arial" w:hAnsi="Arial" w:cs="Arial"/>
          <w:b/>
          <w:sz w:val="22"/>
          <w:szCs w:val="22"/>
          <w:lang w:val="fr-FR"/>
        </w:rPr>
        <w:t>“</w:t>
      </w:r>
      <w:r w:rsidR="00546B53" w:rsidRPr="00953B52">
        <w:rPr>
          <w:rFonts w:ascii="Arial" w:hAnsi="Arial" w:cs="Arial"/>
          <w:b/>
          <w:sz w:val="22"/>
          <w:szCs w:val="22"/>
          <w:lang w:val="fr-FR"/>
        </w:rPr>
        <w:t>l</w:t>
      </w:r>
      <w:r w:rsidR="00E84189">
        <w:rPr>
          <w:rFonts w:ascii="Arial" w:hAnsi="Arial" w:cs="Arial"/>
          <w:b/>
          <w:sz w:val="22"/>
          <w:szCs w:val="22"/>
          <w:lang w:val="fr-FR"/>
        </w:rPr>
        <w:t>’</w:t>
      </w:r>
      <w:r w:rsidRPr="00953B52">
        <w:rPr>
          <w:rFonts w:ascii="Arial" w:hAnsi="Arial" w:cs="Arial"/>
          <w:b/>
          <w:sz w:val="22"/>
          <w:szCs w:val="22"/>
          <w:lang w:val="fr-FR"/>
        </w:rPr>
        <w:t>élément déclencheu</w:t>
      </w:r>
      <w:r w:rsidR="00546B53" w:rsidRPr="00953B52">
        <w:rPr>
          <w:rFonts w:ascii="Arial" w:hAnsi="Arial" w:cs="Arial"/>
          <w:b/>
          <w:sz w:val="22"/>
          <w:szCs w:val="22"/>
          <w:lang w:val="fr-FR"/>
        </w:rPr>
        <w:t>r</w:t>
      </w:r>
      <w:r w:rsidR="00546B53">
        <w:rPr>
          <w:rFonts w:ascii="Arial" w:hAnsi="Arial" w:cs="Arial"/>
          <w:b/>
          <w:sz w:val="22"/>
          <w:szCs w:val="22"/>
          <w:lang w:val="fr-FR"/>
        </w:rPr>
        <w:t>”</w:t>
      </w:r>
      <w:r w:rsidRPr="00953B52">
        <w:rPr>
          <w:rFonts w:ascii="Arial" w:hAnsi="Arial" w:cs="Arial"/>
          <w:b/>
          <w:sz w:val="22"/>
          <w:szCs w:val="22"/>
          <w:lang w:val="fr-FR"/>
        </w:rPr>
        <w:t>,</w:t>
      </w:r>
      <w:r w:rsidRPr="00953B52">
        <w:rPr>
          <w:rFonts w:ascii="Arial" w:hAnsi="Arial" w:cs="Arial"/>
          <w:sz w:val="22"/>
          <w:szCs w:val="22"/>
          <w:lang w:val="fr-FR"/>
        </w:rPr>
        <w:t xml:space="preserve"> les documents présentés soulignent qu</w:t>
      </w:r>
      <w:r w:rsidR="00E84189">
        <w:rPr>
          <w:rFonts w:ascii="Arial" w:hAnsi="Arial" w:cs="Arial"/>
          <w:sz w:val="22"/>
          <w:szCs w:val="22"/>
          <w:lang w:val="fr-FR"/>
        </w:rPr>
        <w:t>’</w:t>
      </w:r>
      <w:r w:rsidRPr="00953B52">
        <w:rPr>
          <w:rFonts w:ascii="Arial" w:hAnsi="Arial" w:cs="Arial"/>
          <w:sz w:val="22"/>
          <w:szCs w:val="22"/>
          <w:lang w:val="fr-FR"/>
        </w:rPr>
        <w:t>il est important de préciser la relation entre l</w:t>
      </w:r>
      <w:r w:rsidR="00E84189">
        <w:rPr>
          <w:rFonts w:ascii="Arial" w:hAnsi="Arial" w:cs="Arial"/>
          <w:sz w:val="22"/>
          <w:szCs w:val="22"/>
          <w:lang w:val="fr-FR"/>
        </w:rPr>
        <w:t>’</w:t>
      </w:r>
      <w:r w:rsidRPr="00953B52">
        <w:rPr>
          <w:rFonts w:ascii="Arial" w:hAnsi="Arial" w:cs="Arial"/>
          <w:sz w:val="22"/>
          <w:szCs w:val="22"/>
          <w:lang w:val="fr-FR"/>
        </w:rPr>
        <w:t>invention et les ressources génétiques ou savoirs traditionnels connexes déclenchant une exigence de divulgation internationale en matière de breve</w:t>
      </w:r>
      <w:r w:rsidR="0003571D" w:rsidRPr="00953B52">
        <w:rPr>
          <w:rFonts w:ascii="Arial" w:hAnsi="Arial" w:cs="Arial"/>
          <w:sz w:val="22"/>
          <w:szCs w:val="22"/>
          <w:lang w:val="fr-FR"/>
        </w:rPr>
        <w:t>ts</w:t>
      </w:r>
      <w:r w:rsidR="0003571D">
        <w:rPr>
          <w:rFonts w:ascii="Arial" w:hAnsi="Arial" w:cs="Arial"/>
          <w:sz w:val="22"/>
          <w:szCs w:val="22"/>
          <w:lang w:val="fr-FR"/>
        </w:rPr>
        <w:t xml:space="preserve">.  </w:t>
      </w:r>
      <w:r w:rsidR="0003571D" w:rsidRPr="00953B52">
        <w:rPr>
          <w:rFonts w:ascii="Arial" w:hAnsi="Arial" w:cs="Arial"/>
          <w:sz w:val="22"/>
          <w:szCs w:val="22"/>
          <w:lang w:val="fr-FR"/>
        </w:rPr>
        <w:t>Ce</w:t>
      </w:r>
      <w:r w:rsidRPr="00953B52">
        <w:rPr>
          <w:rFonts w:ascii="Arial" w:hAnsi="Arial" w:cs="Arial"/>
          <w:sz w:val="22"/>
          <w:szCs w:val="22"/>
          <w:lang w:val="fr-FR"/>
        </w:rPr>
        <w:t>la est important parce que les descriptions de nombreux brevets de biotechnologie font référence à toute une variété de ressources génétiques, notamment des animaux ou végétaux de laboratoire ainsi que du matériel de laboratoire tel</w:t>
      </w:r>
      <w:r w:rsidR="00D44BD2">
        <w:rPr>
          <w:rFonts w:ascii="Arial" w:hAnsi="Arial" w:cs="Arial"/>
          <w:sz w:val="22"/>
          <w:szCs w:val="22"/>
          <w:lang w:val="fr-FR"/>
        </w:rPr>
        <w:t>s</w:t>
      </w:r>
      <w:r w:rsidRPr="00953B52">
        <w:rPr>
          <w:rFonts w:ascii="Arial" w:hAnsi="Arial" w:cs="Arial"/>
          <w:sz w:val="22"/>
          <w:szCs w:val="22"/>
          <w:lang w:val="fr-FR"/>
        </w:rPr>
        <w:t xml:space="preserve"> que des plasmides, virus, bactéries et levur</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La</w:t>
      </w:r>
      <w:r w:rsidRPr="00953B52">
        <w:rPr>
          <w:rFonts w:ascii="Arial" w:hAnsi="Arial" w:cs="Arial"/>
          <w:sz w:val="22"/>
          <w:szCs w:val="22"/>
          <w:lang w:val="fr-FR"/>
        </w:rPr>
        <w:t xml:space="preserve"> Suisse considère que les ressources génétiques participant en quelque sorte aux activités de recherche et développement en amont avant d</w:t>
      </w:r>
      <w:r w:rsidR="00E84189">
        <w:rPr>
          <w:rFonts w:ascii="Arial" w:hAnsi="Arial" w:cs="Arial"/>
          <w:sz w:val="22"/>
          <w:szCs w:val="22"/>
          <w:lang w:val="fr-FR"/>
        </w:rPr>
        <w:t>’</w:t>
      </w:r>
      <w:r w:rsidRPr="00953B52">
        <w:rPr>
          <w:rFonts w:ascii="Arial" w:hAnsi="Arial" w:cs="Arial"/>
          <w:sz w:val="22"/>
          <w:szCs w:val="22"/>
          <w:lang w:val="fr-FR"/>
        </w:rPr>
        <w:t>aboutir à l</w:t>
      </w:r>
      <w:r w:rsidR="00E84189">
        <w:rPr>
          <w:rFonts w:ascii="Arial" w:hAnsi="Arial" w:cs="Arial"/>
          <w:sz w:val="22"/>
          <w:szCs w:val="22"/>
          <w:lang w:val="fr-FR"/>
        </w:rPr>
        <w:t>’</w:t>
      </w:r>
      <w:r w:rsidRPr="00953B52">
        <w:rPr>
          <w:rFonts w:ascii="Arial" w:hAnsi="Arial" w:cs="Arial"/>
          <w:sz w:val="22"/>
          <w:szCs w:val="22"/>
          <w:lang w:val="fr-FR"/>
        </w:rPr>
        <w:t>invention (</w:t>
      </w:r>
      <w:r w:rsidR="00370098">
        <w:rPr>
          <w:rFonts w:ascii="Arial" w:hAnsi="Arial" w:cs="Arial"/>
          <w:sz w:val="22"/>
          <w:szCs w:val="22"/>
          <w:lang w:val="fr-FR"/>
        </w:rPr>
        <w:t>p. </w:t>
      </w:r>
      <w:r w:rsidRPr="00953B52">
        <w:rPr>
          <w:rFonts w:ascii="Arial" w:hAnsi="Arial" w:cs="Arial"/>
          <w:sz w:val="22"/>
          <w:szCs w:val="22"/>
          <w:lang w:val="fr-FR"/>
        </w:rPr>
        <w:t>ex.</w:t>
      </w:r>
      <w:r w:rsidR="00E84189">
        <w:rPr>
          <w:rFonts w:ascii="Arial" w:hAnsi="Arial" w:cs="Arial"/>
          <w:sz w:val="22"/>
          <w:szCs w:val="22"/>
          <w:lang w:val="fr-FR"/>
        </w:rPr>
        <w:t> :</w:t>
      </w:r>
      <w:r w:rsidRPr="00953B52">
        <w:rPr>
          <w:rFonts w:ascii="Arial" w:hAnsi="Arial" w:cs="Arial"/>
          <w:sz w:val="22"/>
          <w:szCs w:val="22"/>
          <w:lang w:val="fr-FR"/>
        </w:rPr>
        <w:t xml:space="preserve"> premières recherches scientifiques fondamentales) et les outils de laboratoire ne devraient pas déclencher la divulgation.</w:t>
      </w:r>
    </w:p>
    <w:p w:rsidR="00CC5DF6" w:rsidRDefault="00CC5DF6" w:rsidP="00451DEF">
      <w:pPr>
        <w:pStyle w:val="ListParagraph"/>
        <w:spacing w:after="220" w:line="240" w:lineRule="auto"/>
        <w:ind w:left="567"/>
        <w:contextualSpacing w:val="0"/>
        <w:rPr>
          <w:rFonts w:ascii="Arial" w:hAnsi="Arial" w:cs="Arial"/>
          <w:sz w:val="22"/>
          <w:szCs w:val="22"/>
          <w:lang w:val="fr-FR"/>
        </w:rPr>
      </w:pPr>
      <w:r w:rsidRPr="00953B52">
        <w:rPr>
          <w:rFonts w:ascii="Arial" w:hAnsi="Arial" w:cs="Arial"/>
          <w:sz w:val="22"/>
          <w:szCs w:val="22"/>
          <w:lang w:val="fr-FR"/>
        </w:rPr>
        <w:t>Nous proposons donc d</w:t>
      </w:r>
      <w:r w:rsidR="00E84189">
        <w:rPr>
          <w:rFonts w:ascii="Arial" w:hAnsi="Arial" w:cs="Arial"/>
          <w:sz w:val="22"/>
          <w:szCs w:val="22"/>
          <w:lang w:val="fr-FR"/>
        </w:rPr>
        <w:t>’</w:t>
      </w:r>
      <w:r w:rsidRPr="00953B52">
        <w:rPr>
          <w:rFonts w:ascii="Arial" w:hAnsi="Arial" w:cs="Arial"/>
          <w:sz w:val="22"/>
          <w:szCs w:val="22"/>
          <w:lang w:val="fr-FR"/>
        </w:rPr>
        <w:t xml:space="preserve">utiliser le terme </w:t>
      </w:r>
      <w:r w:rsidR="00546B53">
        <w:rPr>
          <w:rFonts w:ascii="Arial" w:hAnsi="Arial" w:cs="Arial"/>
          <w:sz w:val="22"/>
          <w:szCs w:val="22"/>
          <w:lang w:val="fr-FR"/>
        </w:rPr>
        <w:t>“</w:t>
      </w:r>
      <w:r w:rsidR="00546B53" w:rsidRPr="00953B52">
        <w:rPr>
          <w:rFonts w:ascii="Arial" w:hAnsi="Arial" w:cs="Arial"/>
          <w:sz w:val="22"/>
          <w:szCs w:val="22"/>
          <w:lang w:val="fr-FR"/>
        </w:rPr>
        <w:t>d</w:t>
      </w:r>
      <w:r w:rsidRPr="00953B52">
        <w:rPr>
          <w:rFonts w:ascii="Arial" w:hAnsi="Arial" w:cs="Arial"/>
          <w:sz w:val="22"/>
          <w:szCs w:val="22"/>
          <w:lang w:val="fr-FR"/>
        </w:rPr>
        <w:t>irectement fondé su</w:t>
      </w:r>
      <w:r w:rsidR="00546B53" w:rsidRPr="00953B52">
        <w:rPr>
          <w:rFonts w:ascii="Arial" w:hAnsi="Arial" w:cs="Arial"/>
          <w:sz w:val="22"/>
          <w:szCs w:val="22"/>
          <w:lang w:val="fr-FR"/>
        </w:rPr>
        <w:t>r</w:t>
      </w:r>
      <w:r w:rsidR="00546B53">
        <w:rPr>
          <w:rFonts w:ascii="Arial" w:hAnsi="Arial" w:cs="Arial"/>
          <w:sz w:val="22"/>
          <w:szCs w:val="22"/>
          <w:lang w:val="fr-FR"/>
        </w:rPr>
        <w:t>”</w:t>
      </w:r>
      <w:r w:rsidRPr="00953B52">
        <w:rPr>
          <w:rFonts w:ascii="Arial" w:hAnsi="Arial" w:cs="Arial"/>
          <w:sz w:val="22"/>
          <w:szCs w:val="22"/>
          <w:lang w:val="fr-FR"/>
        </w:rPr>
        <w:t>, expression simple et concise pour clarifier la relation existant entre les ressources génétiques et savoirs traditionnels connexes et l</w:t>
      </w:r>
      <w:r w:rsidR="00E84189">
        <w:rPr>
          <w:rFonts w:ascii="Arial" w:hAnsi="Arial" w:cs="Arial"/>
          <w:sz w:val="22"/>
          <w:szCs w:val="22"/>
          <w:lang w:val="fr-FR"/>
        </w:rPr>
        <w:t>’</w:t>
      </w:r>
      <w:r w:rsidRPr="00953B52">
        <w:rPr>
          <w:rFonts w:ascii="Arial" w:hAnsi="Arial" w:cs="Arial"/>
          <w:sz w:val="22"/>
          <w:szCs w:val="22"/>
          <w:lang w:val="fr-FR"/>
        </w:rPr>
        <w:t>invention, afin de déclencher une exigence de divulgation internationale en matière de breve</w:t>
      </w:r>
      <w:r w:rsidR="0003571D" w:rsidRPr="00953B52">
        <w:rPr>
          <w:rFonts w:ascii="Arial" w:hAnsi="Arial" w:cs="Arial"/>
          <w:sz w:val="22"/>
          <w:szCs w:val="22"/>
          <w:lang w:val="fr-FR"/>
        </w:rPr>
        <w:t>ts</w:t>
      </w:r>
      <w:r w:rsidR="0003571D">
        <w:rPr>
          <w:rFonts w:ascii="Arial" w:hAnsi="Arial" w:cs="Arial"/>
          <w:sz w:val="22"/>
          <w:szCs w:val="22"/>
          <w:lang w:val="fr-FR"/>
        </w:rPr>
        <w:t xml:space="preserve">.  </w:t>
      </w:r>
      <w:r w:rsidR="0003571D" w:rsidRPr="00953B52">
        <w:rPr>
          <w:rFonts w:ascii="Arial" w:hAnsi="Arial" w:cs="Arial"/>
          <w:sz w:val="22"/>
          <w:szCs w:val="22"/>
          <w:lang w:val="fr-FR"/>
        </w:rPr>
        <w:t>Le</w:t>
      </w:r>
      <w:r w:rsidRPr="00953B52">
        <w:rPr>
          <w:rFonts w:ascii="Arial" w:hAnsi="Arial" w:cs="Arial"/>
          <w:sz w:val="22"/>
          <w:szCs w:val="22"/>
          <w:lang w:val="fr-FR"/>
        </w:rPr>
        <w:t xml:space="preserve"> texte du </w:t>
      </w:r>
      <w:r w:rsidR="008D2CAF">
        <w:rPr>
          <w:rFonts w:ascii="Arial" w:hAnsi="Arial" w:cs="Arial"/>
          <w:sz w:val="22"/>
          <w:szCs w:val="22"/>
          <w:lang w:val="fr-FR"/>
        </w:rPr>
        <w:t>p</w:t>
      </w:r>
      <w:r w:rsidRPr="00953B52">
        <w:rPr>
          <w:rFonts w:ascii="Arial" w:hAnsi="Arial" w:cs="Arial"/>
          <w:sz w:val="22"/>
          <w:szCs w:val="22"/>
          <w:lang w:val="fr-FR"/>
        </w:rPr>
        <w:t xml:space="preserve">résident utilise le terme </w:t>
      </w:r>
      <w:r w:rsidR="00513138">
        <w:rPr>
          <w:rFonts w:ascii="Arial" w:hAnsi="Arial" w:cs="Arial"/>
          <w:sz w:val="22"/>
          <w:szCs w:val="22"/>
          <w:lang w:val="fr-FR"/>
        </w:rPr>
        <w:t>“</w:t>
      </w:r>
      <w:r w:rsidRPr="00953B52">
        <w:rPr>
          <w:rFonts w:ascii="Arial" w:hAnsi="Arial" w:cs="Arial"/>
          <w:sz w:val="22"/>
          <w:szCs w:val="22"/>
          <w:lang w:val="fr-FR"/>
        </w:rPr>
        <w:t>[sensiblement/directement] fondé su</w:t>
      </w:r>
      <w:r w:rsidR="00546B53" w:rsidRPr="00953B52">
        <w:rPr>
          <w:rFonts w:ascii="Arial" w:hAnsi="Arial" w:cs="Arial"/>
          <w:sz w:val="22"/>
          <w:szCs w:val="22"/>
          <w:lang w:val="fr-FR"/>
        </w:rPr>
        <w:t>r</w:t>
      </w:r>
      <w:r w:rsidR="00546B53">
        <w:rPr>
          <w:rFonts w:ascii="Arial" w:hAnsi="Arial" w:cs="Arial"/>
          <w:sz w:val="22"/>
          <w:szCs w:val="22"/>
          <w:lang w:val="fr-FR"/>
        </w:rPr>
        <w:t>”</w:t>
      </w:r>
      <w:r w:rsidRPr="00953B52">
        <w:rPr>
          <w:rFonts w:ascii="Arial" w:hAnsi="Arial" w:cs="Arial"/>
          <w:sz w:val="22"/>
          <w:szCs w:val="22"/>
          <w:lang w:val="fr-FR"/>
        </w:rPr>
        <w:t xml:space="preserve"> combiné à une définiti</w:t>
      </w:r>
      <w:r w:rsidR="0003571D" w:rsidRPr="00953B52">
        <w:rPr>
          <w:rFonts w:ascii="Arial" w:hAnsi="Arial" w:cs="Arial"/>
          <w:sz w:val="22"/>
          <w:szCs w:val="22"/>
          <w:lang w:val="fr-FR"/>
        </w:rPr>
        <w:t>on</w:t>
      </w:r>
      <w:r w:rsidR="0003571D">
        <w:rPr>
          <w:rFonts w:ascii="Arial" w:hAnsi="Arial" w:cs="Arial"/>
          <w:sz w:val="22"/>
          <w:szCs w:val="22"/>
          <w:lang w:val="fr-FR"/>
        </w:rPr>
        <w:t xml:space="preserve">.  </w:t>
      </w:r>
      <w:r w:rsidR="0003571D" w:rsidRPr="00953B52">
        <w:rPr>
          <w:rFonts w:ascii="Arial" w:hAnsi="Arial" w:cs="Arial"/>
          <w:sz w:val="22"/>
          <w:szCs w:val="22"/>
          <w:lang w:val="fr-FR"/>
        </w:rPr>
        <w:t>C</w:t>
      </w:r>
      <w:r w:rsidR="0003571D">
        <w:rPr>
          <w:rFonts w:ascii="Arial" w:hAnsi="Arial" w:cs="Arial"/>
          <w:sz w:val="22"/>
          <w:szCs w:val="22"/>
          <w:lang w:val="fr-FR"/>
        </w:rPr>
        <w:t>’</w:t>
      </w:r>
      <w:r w:rsidR="0003571D" w:rsidRPr="00953B52">
        <w:rPr>
          <w:rFonts w:ascii="Arial" w:hAnsi="Arial" w:cs="Arial"/>
          <w:sz w:val="22"/>
          <w:szCs w:val="22"/>
          <w:lang w:val="fr-FR"/>
        </w:rPr>
        <w:t>e</w:t>
      </w:r>
      <w:r w:rsidRPr="00953B52">
        <w:rPr>
          <w:rFonts w:ascii="Arial" w:hAnsi="Arial" w:cs="Arial"/>
          <w:sz w:val="22"/>
          <w:szCs w:val="22"/>
          <w:lang w:val="fr-FR"/>
        </w:rPr>
        <w:t>st aussi une solution possib</w:t>
      </w:r>
      <w:r w:rsidR="0003571D" w:rsidRPr="00953B52">
        <w:rPr>
          <w:rFonts w:ascii="Arial" w:hAnsi="Arial" w:cs="Arial"/>
          <w:sz w:val="22"/>
          <w:szCs w:val="22"/>
          <w:lang w:val="fr-FR"/>
        </w:rPr>
        <w:t>le</w:t>
      </w:r>
      <w:r w:rsidR="0003571D">
        <w:rPr>
          <w:rFonts w:ascii="Arial" w:hAnsi="Arial" w:cs="Arial"/>
          <w:sz w:val="22"/>
          <w:szCs w:val="22"/>
          <w:lang w:val="fr-FR"/>
        </w:rPr>
        <w:t xml:space="preserve">.  </w:t>
      </w:r>
      <w:r w:rsidR="0003571D" w:rsidRPr="00953B52">
        <w:rPr>
          <w:rFonts w:ascii="Arial" w:hAnsi="Arial" w:cs="Arial"/>
          <w:sz w:val="22"/>
          <w:szCs w:val="22"/>
          <w:lang w:val="fr-FR"/>
        </w:rPr>
        <w:t>Si</w:t>
      </w:r>
      <w:r w:rsidRPr="00953B52">
        <w:rPr>
          <w:rFonts w:ascii="Arial" w:hAnsi="Arial" w:cs="Arial"/>
          <w:sz w:val="22"/>
          <w:szCs w:val="22"/>
          <w:lang w:val="fr-FR"/>
        </w:rPr>
        <w:t xml:space="preserve"> l</w:t>
      </w:r>
      <w:r w:rsidR="00E84189">
        <w:rPr>
          <w:rFonts w:ascii="Arial" w:hAnsi="Arial" w:cs="Arial"/>
          <w:sz w:val="22"/>
          <w:szCs w:val="22"/>
          <w:lang w:val="fr-FR"/>
        </w:rPr>
        <w:t>’</w:t>
      </w:r>
      <w:r w:rsidRPr="00953B52">
        <w:rPr>
          <w:rFonts w:ascii="Arial" w:hAnsi="Arial" w:cs="Arial"/>
          <w:sz w:val="22"/>
          <w:szCs w:val="22"/>
          <w:lang w:val="fr-FR"/>
        </w:rPr>
        <w:t>IGC décide d</w:t>
      </w:r>
      <w:r w:rsidR="00E84189">
        <w:rPr>
          <w:rFonts w:ascii="Arial" w:hAnsi="Arial" w:cs="Arial"/>
          <w:sz w:val="22"/>
          <w:szCs w:val="22"/>
          <w:lang w:val="fr-FR"/>
        </w:rPr>
        <w:t>’</w:t>
      </w:r>
      <w:r w:rsidRPr="00953B52">
        <w:rPr>
          <w:rFonts w:ascii="Arial" w:hAnsi="Arial" w:cs="Arial"/>
          <w:sz w:val="22"/>
          <w:szCs w:val="22"/>
          <w:lang w:val="fr-FR"/>
        </w:rPr>
        <w:t>utiliser ce terme, la définition devra être rédigée avec précaution afin d</w:t>
      </w:r>
      <w:r w:rsidR="00E84189">
        <w:rPr>
          <w:rFonts w:ascii="Arial" w:hAnsi="Arial" w:cs="Arial"/>
          <w:sz w:val="22"/>
          <w:szCs w:val="22"/>
          <w:lang w:val="fr-FR"/>
        </w:rPr>
        <w:t>’</w:t>
      </w:r>
      <w:r w:rsidRPr="00953B52">
        <w:rPr>
          <w:rFonts w:ascii="Arial" w:hAnsi="Arial" w:cs="Arial"/>
          <w:sz w:val="22"/>
          <w:szCs w:val="22"/>
          <w:lang w:val="fr-FR"/>
        </w:rPr>
        <w:t xml:space="preserve">indiquer clairement pour quelles ressources génétiques et quels savoirs traditionnels connexes une divulgation sera déclenchée. </w:t>
      </w:r>
      <w:r w:rsidR="00513138">
        <w:rPr>
          <w:rFonts w:ascii="Arial" w:hAnsi="Arial" w:cs="Arial"/>
          <w:sz w:val="22"/>
          <w:szCs w:val="22"/>
          <w:lang w:val="fr-FR"/>
        </w:rPr>
        <w:t xml:space="preserve"> </w:t>
      </w:r>
      <w:r w:rsidRPr="00953B52">
        <w:rPr>
          <w:rFonts w:ascii="Arial" w:hAnsi="Arial" w:cs="Arial"/>
          <w:sz w:val="22"/>
          <w:szCs w:val="22"/>
          <w:lang w:val="fr-FR"/>
        </w:rPr>
        <w:t>L</w:t>
      </w:r>
      <w:r w:rsidR="00E84189">
        <w:rPr>
          <w:rFonts w:ascii="Arial" w:hAnsi="Arial" w:cs="Arial"/>
          <w:sz w:val="22"/>
          <w:szCs w:val="22"/>
          <w:lang w:val="fr-FR"/>
        </w:rPr>
        <w:t>’</w:t>
      </w:r>
      <w:r w:rsidRPr="00953B52">
        <w:rPr>
          <w:rFonts w:ascii="Arial" w:hAnsi="Arial" w:cs="Arial"/>
          <w:sz w:val="22"/>
          <w:szCs w:val="22"/>
          <w:lang w:val="fr-FR"/>
        </w:rPr>
        <w:t>IGC devra aussi déterminer avec précaution s</w:t>
      </w:r>
      <w:r w:rsidR="00E84189">
        <w:rPr>
          <w:rFonts w:ascii="Arial" w:hAnsi="Arial" w:cs="Arial"/>
          <w:sz w:val="22"/>
          <w:szCs w:val="22"/>
          <w:lang w:val="fr-FR"/>
        </w:rPr>
        <w:t>’</w:t>
      </w:r>
      <w:r w:rsidRPr="00953B52">
        <w:rPr>
          <w:rFonts w:ascii="Arial" w:hAnsi="Arial" w:cs="Arial"/>
          <w:sz w:val="22"/>
          <w:szCs w:val="22"/>
          <w:lang w:val="fr-FR"/>
        </w:rPr>
        <w:t>il y a lieu d</w:t>
      </w:r>
      <w:r w:rsidR="00E84189">
        <w:rPr>
          <w:rFonts w:ascii="Arial" w:hAnsi="Arial" w:cs="Arial"/>
          <w:sz w:val="22"/>
          <w:szCs w:val="22"/>
          <w:lang w:val="fr-FR"/>
        </w:rPr>
        <w:t>’</w:t>
      </w:r>
      <w:r w:rsidRPr="00953B52">
        <w:rPr>
          <w:rFonts w:ascii="Arial" w:hAnsi="Arial" w:cs="Arial"/>
          <w:sz w:val="22"/>
          <w:szCs w:val="22"/>
          <w:lang w:val="fr-FR"/>
        </w:rPr>
        <w:t>utiliser la même définition pour les ressources génétiques et pour les savoirs traditionnels connexes.</w:t>
      </w:r>
    </w:p>
    <w:p w:rsidR="00546B53" w:rsidRDefault="00CC5DF6" w:rsidP="00451DEF">
      <w:pPr>
        <w:pStyle w:val="ListParagraph"/>
        <w:numPr>
          <w:ilvl w:val="0"/>
          <w:numId w:val="17"/>
        </w:numPr>
        <w:spacing w:after="220" w:line="240" w:lineRule="auto"/>
        <w:ind w:left="567" w:hanging="567"/>
        <w:contextualSpacing w:val="0"/>
        <w:rPr>
          <w:rFonts w:ascii="Arial" w:hAnsi="Arial" w:cs="Arial"/>
          <w:sz w:val="22"/>
          <w:szCs w:val="22"/>
          <w:lang w:val="fr-FR"/>
        </w:rPr>
      </w:pPr>
      <w:r w:rsidRPr="00953B52">
        <w:rPr>
          <w:rFonts w:ascii="Arial" w:hAnsi="Arial" w:cs="Arial"/>
          <w:b/>
          <w:sz w:val="22"/>
          <w:szCs w:val="22"/>
          <w:lang w:val="fr-FR"/>
        </w:rPr>
        <w:t xml:space="preserve">En ce qui concerne le </w:t>
      </w:r>
      <w:r w:rsidR="00546B53">
        <w:rPr>
          <w:rFonts w:ascii="Arial" w:hAnsi="Arial" w:cs="Arial"/>
          <w:b/>
          <w:sz w:val="22"/>
          <w:szCs w:val="22"/>
          <w:lang w:val="fr-FR"/>
        </w:rPr>
        <w:t>“</w:t>
      </w:r>
      <w:r w:rsidR="00546B53" w:rsidRPr="00953B52">
        <w:rPr>
          <w:rFonts w:ascii="Arial" w:hAnsi="Arial" w:cs="Arial"/>
          <w:b/>
          <w:sz w:val="22"/>
          <w:szCs w:val="22"/>
          <w:lang w:val="fr-FR"/>
        </w:rPr>
        <w:t>c</w:t>
      </w:r>
      <w:r w:rsidRPr="00953B52">
        <w:rPr>
          <w:rFonts w:ascii="Arial" w:hAnsi="Arial" w:cs="Arial"/>
          <w:b/>
          <w:sz w:val="22"/>
          <w:szCs w:val="22"/>
          <w:lang w:val="fr-FR"/>
        </w:rPr>
        <w:t>onten</w:t>
      </w:r>
      <w:r w:rsidR="00546B53" w:rsidRPr="00953B52">
        <w:rPr>
          <w:rFonts w:ascii="Arial" w:hAnsi="Arial" w:cs="Arial"/>
          <w:b/>
          <w:sz w:val="22"/>
          <w:szCs w:val="22"/>
          <w:lang w:val="fr-FR"/>
        </w:rPr>
        <w:t>u</w:t>
      </w:r>
      <w:r w:rsidR="00546B53">
        <w:rPr>
          <w:rFonts w:ascii="Arial" w:hAnsi="Arial" w:cs="Arial"/>
          <w:b/>
          <w:sz w:val="22"/>
          <w:szCs w:val="22"/>
          <w:lang w:val="fr-FR"/>
        </w:rPr>
        <w:t>”</w:t>
      </w:r>
      <w:r w:rsidRPr="00953B52">
        <w:rPr>
          <w:rFonts w:ascii="Arial" w:hAnsi="Arial" w:cs="Arial"/>
          <w:b/>
          <w:sz w:val="22"/>
          <w:szCs w:val="22"/>
          <w:lang w:val="fr-FR"/>
        </w:rPr>
        <w:t>,</w:t>
      </w:r>
      <w:r w:rsidRPr="00953B52">
        <w:rPr>
          <w:rFonts w:ascii="Arial" w:hAnsi="Arial" w:cs="Arial"/>
          <w:sz w:val="22"/>
          <w:szCs w:val="22"/>
          <w:lang w:val="fr-FR"/>
        </w:rPr>
        <w:t xml:space="preserve"> il est important de garder à l</w:t>
      </w:r>
      <w:r w:rsidR="00E84189">
        <w:rPr>
          <w:rFonts w:ascii="Arial" w:hAnsi="Arial" w:cs="Arial"/>
          <w:sz w:val="22"/>
          <w:szCs w:val="22"/>
          <w:lang w:val="fr-FR"/>
        </w:rPr>
        <w:t>’</w:t>
      </w:r>
      <w:r w:rsidRPr="00953B52">
        <w:rPr>
          <w:rFonts w:ascii="Arial" w:hAnsi="Arial" w:cs="Arial"/>
          <w:sz w:val="22"/>
          <w:szCs w:val="22"/>
          <w:lang w:val="fr-FR"/>
        </w:rPr>
        <w:t xml:space="preserve">esprit que les ressources génétiques et savoirs traditionnels connexes peuvent avoir pour origine un vaste éventail de circonstances différentes, notamment des origines géographiques différentes et des situations juridiques différentes (voir la </w:t>
      </w:r>
      <w:r w:rsidR="00546B53" w:rsidRPr="00953B52">
        <w:rPr>
          <w:rFonts w:ascii="Arial" w:hAnsi="Arial" w:cs="Arial"/>
          <w:sz w:val="22"/>
          <w:szCs w:val="22"/>
          <w:lang w:val="fr-FR"/>
        </w:rPr>
        <w:t>section</w:t>
      </w:r>
      <w:r w:rsidR="00546B53">
        <w:rPr>
          <w:rFonts w:ascii="Arial" w:hAnsi="Arial" w:cs="Arial"/>
          <w:sz w:val="22"/>
          <w:szCs w:val="22"/>
          <w:lang w:val="fr-FR"/>
        </w:rPr>
        <w:t> </w:t>
      </w:r>
      <w:r w:rsidR="00546B53" w:rsidRPr="00953B52">
        <w:rPr>
          <w:rFonts w:ascii="Arial" w:hAnsi="Arial" w:cs="Arial"/>
          <w:sz w:val="22"/>
          <w:szCs w:val="22"/>
          <w:lang w:val="fr-FR"/>
        </w:rPr>
        <w:t>2</w:t>
      </w:r>
      <w:r w:rsidRPr="00953B52">
        <w:rPr>
          <w:rFonts w:ascii="Arial" w:hAnsi="Arial" w:cs="Arial"/>
          <w:sz w:val="22"/>
          <w:szCs w:val="22"/>
          <w:lang w:val="fr-FR"/>
        </w:rPr>
        <w:t xml:space="preserve"> ci</w:t>
      </w:r>
      <w:r w:rsidR="000B2FBE">
        <w:rPr>
          <w:rFonts w:ascii="Arial" w:hAnsi="Arial" w:cs="Arial"/>
          <w:sz w:val="22"/>
          <w:szCs w:val="22"/>
          <w:lang w:val="fr-FR"/>
        </w:rPr>
        <w:noBreakHyphen/>
      </w:r>
      <w:r w:rsidRPr="00953B52">
        <w:rPr>
          <w:rFonts w:ascii="Arial" w:hAnsi="Arial" w:cs="Arial"/>
          <w:sz w:val="22"/>
          <w:szCs w:val="22"/>
          <w:lang w:val="fr-FR"/>
        </w:rPr>
        <w:t>dess</w:t>
      </w:r>
      <w:r w:rsidR="0003571D" w:rsidRPr="00953B52">
        <w:rPr>
          <w:rFonts w:ascii="Arial" w:hAnsi="Arial" w:cs="Arial"/>
          <w:sz w:val="22"/>
          <w:szCs w:val="22"/>
          <w:lang w:val="fr-FR"/>
        </w:rPr>
        <w:t>us)</w:t>
      </w:r>
      <w:r w:rsidR="0003571D">
        <w:rPr>
          <w:rFonts w:ascii="Arial" w:hAnsi="Arial" w:cs="Arial"/>
          <w:sz w:val="22"/>
          <w:szCs w:val="22"/>
          <w:lang w:val="fr-FR"/>
        </w:rPr>
        <w:t xml:space="preserve">.  </w:t>
      </w:r>
      <w:r w:rsidR="0003571D" w:rsidRPr="00953B52">
        <w:rPr>
          <w:rFonts w:ascii="Arial" w:hAnsi="Arial" w:cs="Arial"/>
          <w:sz w:val="22"/>
          <w:szCs w:val="22"/>
          <w:lang w:val="fr-FR"/>
        </w:rPr>
        <w:t>Da</w:t>
      </w:r>
      <w:r w:rsidRPr="00953B52">
        <w:rPr>
          <w:rFonts w:ascii="Arial" w:hAnsi="Arial" w:cs="Arial"/>
          <w:sz w:val="22"/>
          <w:szCs w:val="22"/>
          <w:lang w:val="fr-FR"/>
        </w:rPr>
        <w:t>ns bien des cas, il est donc impossible d</w:t>
      </w:r>
      <w:r w:rsidR="00E84189">
        <w:rPr>
          <w:rFonts w:ascii="Arial" w:hAnsi="Arial" w:cs="Arial"/>
          <w:sz w:val="22"/>
          <w:szCs w:val="22"/>
          <w:lang w:val="fr-FR"/>
        </w:rPr>
        <w:t>’</w:t>
      </w:r>
      <w:r w:rsidRPr="00953B52">
        <w:rPr>
          <w:rFonts w:ascii="Arial" w:hAnsi="Arial" w:cs="Arial"/>
          <w:sz w:val="22"/>
          <w:szCs w:val="22"/>
          <w:lang w:val="fr-FR"/>
        </w:rPr>
        <w:t>indiquer le pays d</w:t>
      </w:r>
      <w:r w:rsidR="00E84189">
        <w:rPr>
          <w:rFonts w:ascii="Arial" w:hAnsi="Arial" w:cs="Arial"/>
          <w:sz w:val="22"/>
          <w:szCs w:val="22"/>
          <w:lang w:val="fr-FR"/>
        </w:rPr>
        <w:t>’</w:t>
      </w:r>
      <w:r w:rsidRPr="00953B52">
        <w:rPr>
          <w:rFonts w:ascii="Arial" w:hAnsi="Arial" w:cs="Arial"/>
          <w:sz w:val="22"/>
          <w:szCs w:val="22"/>
          <w:lang w:val="fr-FR"/>
        </w:rPr>
        <w:t>origine des ressources génétiques.</w:t>
      </w:r>
    </w:p>
    <w:p w:rsidR="00CC5DF6" w:rsidRPr="00953B52" w:rsidRDefault="00CC5DF6" w:rsidP="00451DEF">
      <w:pPr>
        <w:pStyle w:val="ListParagraph"/>
        <w:spacing w:after="220" w:line="240" w:lineRule="auto"/>
        <w:ind w:left="567"/>
        <w:contextualSpacing w:val="0"/>
        <w:rPr>
          <w:szCs w:val="22"/>
          <w:lang w:val="fr-FR"/>
        </w:rPr>
      </w:pPr>
      <w:r w:rsidRPr="00953B52">
        <w:rPr>
          <w:rFonts w:ascii="Arial" w:hAnsi="Arial" w:cs="Arial"/>
          <w:sz w:val="22"/>
          <w:szCs w:val="22"/>
          <w:lang w:val="fr-FR"/>
        </w:rPr>
        <w:t xml:space="preserve">À cet égard, le texte du </w:t>
      </w:r>
      <w:r w:rsidR="008D2CAF">
        <w:rPr>
          <w:rFonts w:ascii="Arial" w:hAnsi="Arial" w:cs="Arial"/>
          <w:sz w:val="22"/>
          <w:szCs w:val="22"/>
          <w:lang w:val="fr-FR"/>
        </w:rPr>
        <w:t>p</w:t>
      </w:r>
      <w:r w:rsidRPr="00953B52">
        <w:rPr>
          <w:rFonts w:ascii="Arial" w:hAnsi="Arial" w:cs="Arial"/>
          <w:sz w:val="22"/>
          <w:szCs w:val="22"/>
          <w:lang w:val="fr-FR"/>
        </w:rPr>
        <w:t>résident a un avantage car il exige que le pays d</w:t>
      </w:r>
      <w:r w:rsidR="00E84189">
        <w:rPr>
          <w:rFonts w:ascii="Arial" w:hAnsi="Arial" w:cs="Arial"/>
          <w:sz w:val="22"/>
          <w:szCs w:val="22"/>
          <w:lang w:val="fr-FR"/>
        </w:rPr>
        <w:t>’</w:t>
      </w:r>
      <w:r w:rsidRPr="00953B52">
        <w:rPr>
          <w:rFonts w:ascii="Arial" w:hAnsi="Arial" w:cs="Arial"/>
          <w:sz w:val="22"/>
          <w:szCs w:val="22"/>
          <w:lang w:val="fr-FR"/>
        </w:rPr>
        <w:t>origine soit divulgué uniquement si le déposant le connaît et s</w:t>
      </w:r>
      <w:r w:rsidR="00E84189">
        <w:rPr>
          <w:rFonts w:ascii="Arial" w:hAnsi="Arial" w:cs="Arial"/>
          <w:sz w:val="22"/>
          <w:szCs w:val="22"/>
          <w:lang w:val="fr-FR"/>
        </w:rPr>
        <w:t>’</w:t>
      </w:r>
      <w:r w:rsidRPr="00953B52">
        <w:rPr>
          <w:rFonts w:ascii="Arial" w:hAnsi="Arial" w:cs="Arial"/>
          <w:sz w:val="22"/>
          <w:szCs w:val="22"/>
          <w:lang w:val="fr-FR"/>
        </w:rPr>
        <w:t>il y a lieu de le fai</w:t>
      </w:r>
      <w:r w:rsidR="0003571D" w:rsidRPr="00953B52">
        <w:rPr>
          <w:rFonts w:ascii="Arial" w:hAnsi="Arial" w:cs="Arial"/>
          <w:sz w:val="22"/>
          <w:szCs w:val="22"/>
          <w:lang w:val="fr-FR"/>
        </w:rPr>
        <w:t>re</w:t>
      </w:r>
      <w:r w:rsidR="0003571D">
        <w:rPr>
          <w:rFonts w:ascii="Arial" w:hAnsi="Arial" w:cs="Arial"/>
          <w:sz w:val="22"/>
          <w:szCs w:val="22"/>
          <w:lang w:val="fr-FR"/>
        </w:rPr>
        <w:t xml:space="preserve">.  </w:t>
      </w:r>
      <w:r w:rsidR="0003571D" w:rsidRPr="00953B52">
        <w:rPr>
          <w:rFonts w:ascii="Arial" w:hAnsi="Arial" w:cs="Arial"/>
          <w:sz w:val="22"/>
          <w:szCs w:val="22"/>
          <w:lang w:val="fr-FR"/>
        </w:rPr>
        <w:t>To</w:t>
      </w:r>
      <w:r w:rsidRPr="00953B52">
        <w:rPr>
          <w:rFonts w:ascii="Arial" w:hAnsi="Arial" w:cs="Arial"/>
          <w:sz w:val="22"/>
          <w:szCs w:val="22"/>
          <w:lang w:val="fr-FR"/>
        </w:rPr>
        <w:t>utefois, comme beaucoup de ressources génétiques peuvent avoir différents pays d</w:t>
      </w:r>
      <w:r w:rsidR="00E84189">
        <w:rPr>
          <w:rFonts w:ascii="Arial" w:hAnsi="Arial" w:cs="Arial"/>
          <w:sz w:val="22"/>
          <w:szCs w:val="22"/>
          <w:lang w:val="fr-FR"/>
        </w:rPr>
        <w:t>’</w:t>
      </w:r>
      <w:r w:rsidRPr="00953B52">
        <w:rPr>
          <w:rFonts w:ascii="Arial" w:hAnsi="Arial" w:cs="Arial"/>
          <w:sz w:val="22"/>
          <w:szCs w:val="22"/>
          <w:lang w:val="fr-FR"/>
        </w:rPr>
        <w:t>origine, il convient de préciser que le déposant devrait divulguer uniquement le pays d</w:t>
      </w:r>
      <w:r w:rsidR="00E84189">
        <w:rPr>
          <w:rFonts w:ascii="Arial" w:hAnsi="Arial" w:cs="Arial"/>
          <w:sz w:val="22"/>
          <w:szCs w:val="22"/>
          <w:lang w:val="fr-FR"/>
        </w:rPr>
        <w:t>’</w:t>
      </w:r>
      <w:r w:rsidRPr="00953B52">
        <w:rPr>
          <w:rFonts w:ascii="Arial" w:hAnsi="Arial" w:cs="Arial"/>
          <w:sz w:val="22"/>
          <w:szCs w:val="22"/>
          <w:lang w:val="fr-FR"/>
        </w:rPr>
        <w:t>origine où la ressource génétique a été effectivement obten</w:t>
      </w:r>
      <w:r w:rsidR="0003571D" w:rsidRPr="00953B52">
        <w:rPr>
          <w:rFonts w:ascii="Arial" w:hAnsi="Arial" w:cs="Arial"/>
          <w:sz w:val="22"/>
          <w:szCs w:val="22"/>
          <w:lang w:val="fr-FR"/>
        </w:rPr>
        <w:t>ue</w:t>
      </w:r>
      <w:r w:rsidR="0003571D">
        <w:rPr>
          <w:rFonts w:ascii="Arial" w:hAnsi="Arial" w:cs="Arial"/>
          <w:sz w:val="22"/>
          <w:szCs w:val="22"/>
          <w:lang w:val="fr-FR"/>
        </w:rPr>
        <w:t xml:space="preserve">.  </w:t>
      </w:r>
      <w:r w:rsidR="0003571D" w:rsidRPr="00953B52">
        <w:rPr>
          <w:rFonts w:ascii="Arial" w:hAnsi="Arial" w:cs="Arial"/>
          <w:sz w:val="22"/>
          <w:szCs w:val="22"/>
          <w:lang w:val="fr-FR"/>
        </w:rPr>
        <w:t>En</w:t>
      </w:r>
      <w:r w:rsidRPr="00953B52">
        <w:rPr>
          <w:rFonts w:ascii="Arial" w:hAnsi="Arial" w:cs="Arial"/>
          <w:sz w:val="22"/>
          <w:szCs w:val="22"/>
          <w:lang w:val="fr-FR"/>
        </w:rPr>
        <w:t xml:space="preserve"> outre, il est important de préciser que le </w:t>
      </w:r>
      <w:r w:rsidR="00546B53">
        <w:rPr>
          <w:rFonts w:ascii="Arial" w:hAnsi="Arial" w:cs="Arial"/>
          <w:sz w:val="22"/>
          <w:szCs w:val="22"/>
          <w:lang w:val="fr-FR"/>
        </w:rPr>
        <w:t>“</w:t>
      </w:r>
      <w:r w:rsidR="00546B53" w:rsidRPr="00953B52">
        <w:rPr>
          <w:rFonts w:ascii="Arial" w:hAnsi="Arial" w:cs="Arial"/>
          <w:sz w:val="22"/>
          <w:szCs w:val="22"/>
          <w:lang w:val="fr-FR"/>
        </w:rPr>
        <w:t>p</w:t>
      </w:r>
      <w:r w:rsidRPr="00953B52">
        <w:rPr>
          <w:rFonts w:ascii="Arial" w:hAnsi="Arial" w:cs="Arial"/>
          <w:sz w:val="22"/>
          <w:szCs w:val="22"/>
          <w:lang w:val="fr-FR"/>
        </w:rPr>
        <w:t>ays d</w:t>
      </w:r>
      <w:r w:rsidR="00E84189">
        <w:rPr>
          <w:rFonts w:ascii="Arial" w:hAnsi="Arial" w:cs="Arial"/>
          <w:sz w:val="22"/>
          <w:szCs w:val="22"/>
          <w:lang w:val="fr-FR"/>
        </w:rPr>
        <w:t>’</w:t>
      </w:r>
      <w:r w:rsidRPr="00953B52">
        <w:rPr>
          <w:rFonts w:ascii="Arial" w:hAnsi="Arial" w:cs="Arial"/>
          <w:sz w:val="22"/>
          <w:szCs w:val="22"/>
          <w:lang w:val="fr-FR"/>
        </w:rPr>
        <w:t>origin</w:t>
      </w:r>
      <w:r w:rsidR="00546B53" w:rsidRPr="00953B52">
        <w:rPr>
          <w:rFonts w:ascii="Arial" w:hAnsi="Arial" w:cs="Arial"/>
          <w:sz w:val="22"/>
          <w:szCs w:val="22"/>
          <w:lang w:val="fr-FR"/>
        </w:rPr>
        <w:t>e</w:t>
      </w:r>
      <w:r w:rsidR="00546B53">
        <w:rPr>
          <w:rFonts w:ascii="Arial" w:hAnsi="Arial" w:cs="Arial"/>
          <w:sz w:val="22"/>
          <w:szCs w:val="22"/>
          <w:lang w:val="fr-FR"/>
        </w:rPr>
        <w:t>”</w:t>
      </w:r>
      <w:r w:rsidRPr="00953B52">
        <w:rPr>
          <w:rFonts w:ascii="Arial" w:hAnsi="Arial" w:cs="Arial"/>
          <w:sz w:val="22"/>
          <w:szCs w:val="22"/>
          <w:lang w:val="fr-FR"/>
        </w:rPr>
        <w:t xml:space="preserve"> est également une </w:t>
      </w:r>
      <w:r w:rsidR="00546B53">
        <w:rPr>
          <w:rFonts w:ascii="Arial" w:hAnsi="Arial" w:cs="Arial"/>
          <w:sz w:val="22"/>
          <w:szCs w:val="22"/>
          <w:lang w:val="fr-FR"/>
        </w:rPr>
        <w:t>“</w:t>
      </w:r>
      <w:r w:rsidR="00546B53" w:rsidRPr="00953B52">
        <w:rPr>
          <w:rFonts w:ascii="Arial" w:hAnsi="Arial" w:cs="Arial"/>
          <w:sz w:val="22"/>
          <w:szCs w:val="22"/>
          <w:lang w:val="fr-FR"/>
        </w:rPr>
        <w:t>s</w:t>
      </w:r>
      <w:r w:rsidRPr="00953B52">
        <w:rPr>
          <w:rFonts w:ascii="Arial" w:hAnsi="Arial" w:cs="Arial"/>
          <w:sz w:val="22"/>
          <w:szCs w:val="22"/>
          <w:lang w:val="fr-FR"/>
        </w:rPr>
        <w:t>ourc</w:t>
      </w:r>
      <w:r w:rsidR="00546B53" w:rsidRPr="00953B52">
        <w:rPr>
          <w:rFonts w:ascii="Arial" w:hAnsi="Arial" w:cs="Arial"/>
          <w:sz w:val="22"/>
          <w:szCs w:val="22"/>
          <w:lang w:val="fr-FR"/>
        </w:rPr>
        <w:t>e</w:t>
      </w:r>
      <w:r w:rsidR="00546B53">
        <w:rPr>
          <w:rFonts w:ascii="Arial" w:hAnsi="Arial" w:cs="Arial"/>
          <w:sz w:val="22"/>
          <w:szCs w:val="22"/>
          <w:lang w:val="fr-FR"/>
        </w:rPr>
        <w:t>”</w:t>
      </w:r>
      <w:r w:rsidRPr="00953B52">
        <w:rPr>
          <w:rFonts w:ascii="Arial" w:hAnsi="Arial" w:cs="Arial"/>
          <w:sz w:val="22"/>
          <w:szCs w:val="22"/>
          <w:lang w:val="fr-FR"/>
        </w:rPr>
        <w:t xml:space="preserve"> et d</w:t>
      </w:r>
      <w:r w:rsidR="00E84189">
        <w:rPr>
          <w:rFonts w:ascii="Arial" w:hAnsi="Arial" w:cs="Arial"/>
          <w:sz w:val="22"/>
          <w:szCs w:val="22"/>
          <w:lang w:val="fr-FR"/>
        </w:rPr>
        <w:t>’</w:t>
      </w:r>
      <w:r w:rsidRPr="00953B52">
        <w:rPr>
          <w:rFonts w:ascii="Arial" w:hAnsi="Arial" w:cs="Arial"/>
          <w:sz w:val="22"/>
          <w:szCs w:val="22"/>
          <w:lang w:val="fr-FR"/>
        </w:rPr>
        <w:t xml:space="preserve">intégrer explicitement les peuples autochtones et communautés locales dans la définition de la </w:t>
      </w:r>
      <w:r w:rsidR="00546B53">
        <w:rPr>
          <w:rFonts w:ascii="Arial" w:hAnsi="Arial" w:cs="Arial"/>
          <w:sz w:val="22"/>
          <w:szCs w:val="22"/>
          <w:lang w:val="fr-FR"/>
        </w:rPr>
        <w:t>“</w:t>
      </w:r>
      <w:r w:rsidR="00546B53" w:rsidRPr="00953B52">
        <w:rPr>
          <w:rFonts w:ascii="Arial" w:hAnsi="Arial" w:cs="Arial"/>
          <w:sz w:val="22"/>
          <w:szCs w:val="22"/>
          <w:lang w:val="fr-FR"/>
        </w:rPr>
        <w:t>s</w:t>
      </w:r>
      <w:r w:rsidRPr="00953B52">
        <w:rPr>
          <w:rFonts w:ascii="Arial" w:hAnsi="Arial" w:cs="Arial"/>
          <w:sz w:val="22"/>
          <w:szCs w:val="22"/>
          <w:lang w:val="fr-FR"/>
        </w:rPr>
        <w:t>ourc</w:t>
      </w:r>
      <w:r w:rsidR="00546B53" w:rsidRPr="00953B52">
        <w:rPr>
          <w:rFonts w:ascii="Arial" w:hAnsi="Arial" w:cs="Arial"/>
          <w:sz w:val="22"/>
          <w:szCs w:val="22"/>
          <w:lang w:val="fr-FR"/>
        </w:rPr>
        <w:t>e</w:t>
      </w:r>
      <w:r w:rsidR="00546B53">
        <w:rPr>
          <w:rFonts w:ascii="Arial" w:hAnsi="Arial" w:cs="Arial"/>
          <w:sz w:val="22"/>
          <w:szCs w:val="22"/>
          <w:lang w:val="fr-FR"/>
        </w:rPr>
        <w:t>”</w:t>
      </w:r>
      <w:r w:rsidRPr="00953B52">
        <w:rPr>
          <w:rStyle w:val="FootnoteReference"/>
          <w:szCs w:val="22"/>
          <w:lang w:val="fr-FR"/>
        </w:rPr>
        <w:footnoteReference w:id="28"/>
      </w:r>
      <w:r w:rsidR="00095B51" w:rsidRPr="00953B52">
        <w:rPr>
          <w:rFonts w:ascii="Arial" w:hAnsi="Arial" w:cs="Arial"/>
          <w:sz w:val="22"/>
          <w:szCs w:val="22"/>
          <w:lang w:val="fr-FR"/>
        </w:rPr>
        <w:t>.</w:t>
      </w:r>
    </w:p>
    <w:p w:rsidR="00CC5DF6" w:rsidRPr="00953B52" w:rsidRDefault="00CC5DF6" w:rsidP="00234673">
      <w:pPr>
        <w:pStyle w:val="ListParagraph"/>
        <w:numPr>
          <w:ilvl w:val="0"/>
          <w:numId w:val="17"/>
        </w:numPr>
        <w:spacing w:after="0" w:line="240" w:lineRule="auto"/>
        <w:ind w:left="567" w:hanging="567"/>
        <w:contextualSpacing w:val="0"/>
        <w:rPr>
          <w:rFonts w:ascii="Arial" w:hAnsi="Arial" w:cs="Arial"/>
          <w:sz w:val="22"/>
          <w:szCs w:val="22"/>
          <w:lang w:val="fr-FR"/>
        </w:rPr>
      </w:pPr>
      <w:r w:rsidRPr="00953B52">
        <w:rPr>
          <w:rFonts w:ascii="Arial" w:hAnsi="Arial" w:cs="Arial"/>
          <w:b/>
          <w:sz w:val="22"/>
          <w:szCs w:val="22"/>
          <w:lang w:val="fr-FR"/>
        </w:rPr>
        <w:t>En ce qui concerne les sanctions et réparations</w:t>
      </w:r>
      <w:r w:rsidRPr="00953B52">
        <w:rPr>
          <w:rFonts w:ascii="Arial" w:hAnsi="Arial" w:cs="Arial"/>
          <w:sz w:val="22"/>
          <w:szCs w:val="22"/>
          <w:lang w:val="fr-FR"/>
        </w:rPr>
        <w:t xml:space="preserve">, il est important de fixer un niveau maximal précis (ou </w:t>
      </w:r>
      <w:r w:rsidR="00546B53">
        <w:rPr>
          <w:rFonts w:ascii="Arial" w:hAnsi="Arial" w:cs="Arial"/>
          <w:sz w:val="22"/>
          <w:szCs w:val="22"/>
          <w:lang w:val="fr-FR"/>
        </w:rPr>
        <w:t>“</w:t>
      </w:r>
      <w:r w:rsidR="00546B53" w:rsidRPr="00953B52">
        <w:rPr>
          <w:rFonts w:ascii="Arial" w:hAnsi="Arial" w:cs="Arial"/>
          <w:sz w:val="22"/>
          <w:szCs w:val="22"/>
          <w:lang w:val="fr-FR"/>
        </w:rPr>
        <w:t>p</w:t>
      </w:r>
      <w:r w:rsidRPr="00953B52">
        <w:rPr>
          <w:rFonts w:ascii="Arial" w:hAnsi="Arial" w:cs="Arial"/>
          <w:sz w:val="22"/>
          <w:szCs w:val="22"/>
          <w:lang w:val="fr-FR"/>
        </w:rPr>
        <w:t>lafon</w:t>
      </w:r>
      <w:r w:rsidR="00546B53" w:rsidRPr="00953B52">
        <w:rPr>
          <w:rFonts w:ascii="Arial" w:hAnsi="Arial" w:cs="Arial"/>
          <w:sz w:val="22"/>
          <w:szCs w:val="22"/>
          <w:lang w:val="fr-FR"/>
        </w:rPr>
        <w:t>d</w:t>
      </w:r>
      <w:r w:rsidR="00546B53">
        <w:rPr>
          <w:rFonts w:ascii="Arial" w:hAnsi="Arial" w:cs="Arial"/>
          <w:sz w:val="22"/>
          <w:szCs w:val="22"/>
          <w:lang w:val="fr-FR"/>
        </w:rPr>
        <w:t>”</w:t>
      </w:r>
      <w:r w:rsidRPr="00953B52">
        <w:rPr>
          <w:rFonts w:ascii="Arial" w:hAnsi="Arial" w:cs="Arial"/>
          <w:sz w:val="22"/>
          <w:szCs w:val="22"/>
          <w:lang w:val="fr-FR"/>
        </w:rPr>
        <w:t xml:space="preserve">) afin de fournir une sécurité juridique suffisante aux </w:t>
      </w:r>
      <w:r w:rsidRPr="00953B52">
        <w:rPr>
          <w:rFonts w:ascii="Arial" w:hAnsi="Arial" w:cs="Arial"/>
          <w:sz w:val="22"/>
          <w:szCs w:val="22"/>
          <w:lang w:val="fr-FR"/>
        </w:rPr>
        <w:lastRenderedPageBreak/>
        <w:t>déposants et aux titulaires de brevets et d</w:t>
      </w:r>
      <w:r w:rsidR="00E84189">
        <w:rPr>
          <w:rFonts w:ascii="Arial" w:hAnsi="Arial" w:cs="Arial"/>
          <w:sz w:val="22"/>
          <w:szCs w:val="22"/>
          <w:lang w:val="fr-FR"/>
        </w:rPr>
        <w:t>’</w:t>
      </w:r>
      <w:r w:rsidRPr="00953B52">
        <w:rPr>
          <w:rFonts w:ascii="Arial" w:hAnsi="Arial" w:cs="Arial"/>
          <w:sz w:val="22"/>
          <w:szCs w:val="22"/>
          <w:lang w:val="fr-FR"/>
        </w:rPr>
        <w:t>encourager les innovations fondées sur des ressources génétiques ou savoirs traditionnels connex</w:t>
      </w:r>
      <w:r w:rsidR="0003571D" w:rsidRPr="00953B52">
        <w:rPr>
          <w:rFonts w:ascii="Arial" w:hAnsi="Arial" w:cs="Arial"/>
          <w:sz w:val="22"/>
          <w:szCs w:val="22"/>
          <w:lang w:val="fr-FR"/>
        </w:rPr>
        <w:t>es</w:t>
      </w:r>
      <w:r w:rsidR="0003571D">
        <w:rPr>
          <w:rFonts w:ascii="Arial" w:hAnsi="Arial" w:cs="Arial"/>
          <w:sz w:val="22"/>
          <w:szCs w:val="22"/>
          <w:lang w:val="fr-FR"/>
        </w:rPr>
        <w:t xml:space="preserve">.  </w:t>
      </w:r>
      <w:r w:rsidR="0003571D" w:rsidRPr="00953B52">
        <w:rPr>
          <w:rFonts w:ascii="Arial" w:hAnsi="Arial" w:cs="Arial"/>
          <w:sz w:val="22"/>
          <w:szCs w:val="22"/>
          <w:lang w:val="fr-FR"/>
        </w:rPr>
        <w:t xml:space="preserve">À </w:t>
      </w:r>
      <w:r w:rsidRPr="00953B52">
        <w:rPr>
          <w:rFonts w:ascii="Arial" w:hAnsi="Arial" w:cs="Arial"/>
          <w:sz w:val="22"/>
          <w:szCs w:val="22"/>
          <w:lang w:val="fr-FR"/>
        </w:rPr>
        <w:t xml:space="preserve">cet égard, les articles du texte du </w:t>
      </w:r>
      <w:r w:rsidR="008D2CAF">
        <w:rPr>
          <w:rFonts w:ascii="Arial" w:hAnsi="Arial" w:cs="Arial"/>
          <w:sz w:val="22"/>
          <w:szCs w:val="22"/>
          <w:lang w:val="fr-FR"/>
        </w:rPr>
        <w:t>p</w:t>
      </w:r>
      <w:r w:rsidRPr="00953B52">
        <w:rPr>
          <w:rFonts w:ascii="Arial" w:hAnsi="Arial" w:cs="Arial"/>
          <w:sz w:val="22"/>
          <w:szCs w:val="22"/>
          <w:lang w:val="fr-FR"/>
        </w:rPr>
        <w:t xml:space="preserve">résident sur les sanctions et réparations ainsi que les articles du </w:t>
      </w:r>
      <w:r w:rsidR="003D438A">
        <w:rPr>
          <w:rFonts w:ascii="Arial" w:hAnsi="Arial" w:cs="Arial"/>
          <w:sz w:val="22"/>
          <w:szCs w:val="22"/>
          <w:lang w:val="fr-FR"/>
        </w:rPr>
        <w:t>d</w:t>
      </w:r>
      <w:r w:rsidRPr="00953B52">
        <w:rPr>
          <w:rFonts w:ascii="Arial" w:hAnsi="Arial" w:cs="Arial"/>
          <w:sz w:val="22"/>
          <w:szCs w:val="22"/>
          <w:lang w:val="fr-FR"/>
        </w:rPr>
        <w:t>ocument de synthèse sur les ressources génétiques ne sont pas suffisamment détaillés.</w:t>
      </w:r>
    </w:p>
    <w:p w:rsidR="00CC5DF6" w:rsidRPr="00953B52" w:rsidRDefault="00CC5DF6" w:rsidP="00234673">
      <w:pPr>
        <w:ind w:left="567"/>
        <w:rPr>
          <w:szCs w:val="22"/>
          <w:lang w:val="fr-FR"/>
        </w:rPr>
      </w:pPr>
    </w:p>
    <w:p w:rsidR="00CC5DF6" w:rsidRPr="00953B52" w:rsidRDefault="00CC5DF6" w:rsidP="00234673">
      <w:pPr>
        <w:ind w:left="567"/>
        <w:rPr>
          <w:szCs w:val="22"/>
          <w:lang w:val="fr-FR"/>
        </w:rPr>
      </w:pPr>
      <w:r w:rsidRPr="00953B52">
        <w:rPr>
          <w:szCs w:val="22"/>
          <w:lang w:val="fr-FR"/>
        </w:rPr>
        <w:t>L</w:t>
      </w:r>
      <w:r w:rsidR="00E84189">
        <w:rPr>
          <w:szCs w:val="22"/>
          <w:lang w:val="fr-FR"/>
        </w:rPr>
        <w:t>’</w:t>
      </w:r>
      <w:r w:rsidRPr="00953B52">
        <w:rPr>
          <w:szCs w:val="22"/>
          <w:lang w:val="fr-FR"/>
        </w:rPr>
        <w:t>article sur les sanctions et réparations devrait préciser en particulier quelles sont les sanctions possibles avant et après la délivrance et déterminer si le non</w:t>
      </w:r>
      <w:r w:rsidR="000B2FBE">
        <w:rPr>
          <w:szCs w:val="22"/>
          <w:lang w:val="fr-FR"/>
        </w:rPr>
        <w:noBreakHyphen/>
      </w:r>
      <w:r w:rsidRPr="00953B52">
        <w:rPr>
          <w:szCs w:val="22"/>
          <w:lang w:val="fr-FR"/>
        </w:rPr>
        <w:t>respect a été commis intentionnellement ou par erre</w:t>
      </w:r>
      <w:r w:rsidR="0003571D" w:rsidRPr="00953B52">
        <w:rPr>
          <w:szCs w:val="22"/>
          <w:lang w:val="fr-FR"/>
        </w:rPr>
        <w:t>ur</w:t>
      </w:r>
      <w:r w:rsidR="0003571D">
        <w:rPr>
          <w:szCs w:val="22"/>
          <w:lang w:val="fr-FR"/>
        </w:rPr>
        <w:t xml:space="preserve">.  </w:t>
      </w:r>
      <w:r w:rsidR="0003571D" w:rsidRPr="00953B52">
        <w:rPr>
          <w:szCs w:val="22"/>
          <w:lang w:val="fr-FR"/>
        </w:rPr>
        <w:t>De</w:t>
      </w:r>
      <w:r w:rsidRPr="00953B52">
        <w:rPr>
          <w:szCs w:val="22"/>
          <w:lang w:val="fr-FR"/>
        </w:rPr>
        <w:t xml:space="preserve"> notre point de vue, chaque </w:t>
      </w:r>
      <w:r w:rsidR="003D438A">
        <w:rPr>
          <w:szCs w:val="22"/>
          <w:lang w:val="fr-FR"/>
        </w:rPr>
        <w:t>p</w:t>
      </w:r>
      <w:r w:rsidRPr="00953B52">
        <w:rPr>
          <w:szCs w:val="22"/>
          <w:lang w:val="fr-FR"/>
        </w:rPr>
        <w:t>artie devrait prévoir des sanctions ou réparations après la délivrance lorsque le déposant, délibérément, ou par intention frauduleuse, ne divulgue pas les informations minimales spécifiées dans l</w:t>
      </w:r>
      <w:r w:rsidR="00E84189">
        <w:rPr>
          <w:szCs w:val="22"/>
          <w:lang w:val="fr-FR"/>
        </w:rPr>
        <w:t>’</w:t>
      </w:r>
      <w:r w:rsidRPr="00953B52">
        <w:rPr>
          <w:szCs w:val="22"/>
          <w:lang w:val="fr-FR"/>
        </w:rPr>
        <w:t>instrument international relatif à l</w:t>
      </w:r>
      <w:r w:rsidR="00E84189">
        <w:rPr>
          <w:szCs w:val="22"/>
          <w:lang w:val="fr-FR"/>
        </w:rPr>
        <w:t>’</w:t>
      </w:r>
      <w:r w:rsidRPr="00953B52">
        <w:rPr>
          <w:szCs w:val="22"/>
          <w:lang w:val="fr-FR"/>
        </w:rPr>
        <w:t>exigence de divulgation internationale en matière de breve</w:t>
      </w:r>
      <w:r w:rsidR="0003571D" w:rsidRPr="00953B52">
        <w:rPr>
          <w:szCs w:val="22"/>
          <w:lang w:val="fr-FR"/>
        </w:rPr>
        <w:t>ts</w:t>
      </w:r>
      <w:r w:rsidR="0003571D">
        <w:rPr>
          <w:szCs w:val="22"/>
          <w:lang w:val="fr-FR"/>
        </w:rPr>
        <w:t xml:space="preserve">.  </w:t>
      </w:r>
      <w:r w:rsidR="0003571D" w:rsidRPr="00953B52">
        <w:rPr>
          <w:szCs w:val="22"/>
          <w:lang w:val="fr-FR"/>
        </w:rPr>
        <w:t>To</w:t>
      </w:r>
      <w:r w:rsidRPr="00953B52">
        <w:rPr>
          <w:szCs w:val="22"/>
          <w:lang w:val="fr-FR"/>
        </w:rPr>
        <w:t>utefois, les sanctions appliquées après la délivrance ne devraient pas entraîner la révocation ni l</w:t>
      </w:r>
      <w:r w:rsidR="00E84189">
        <w:rPr>
          <w:szCs w:val="22"/>
          <w:lang w:val="fr-FR"/>
        </w:rPr>
        <w:t>’</w:t>
      </w:r>
      <w:r w:rsidRPr="00953B52">
        <w:rPr>
          <w:szCs w:val="22"/>
          <w:lang w:val="fr-FR"/>
        </w:rPr>
        <w:t>invalidation des droits de brevet établis car cela aurait des effets négatifs sur les activités d</w:t>
      </w:r>
      <w:r w:rsidR="00E84189">
        <w:rPr>
          <w:szCs w:val="22"/>
          <w:lang w:val="fr-FR"/>
        </w:rPr>
        <w:t>’</w:t>
      </w:r>
      <w:r w:rsidRPr="00953B52">
        <w:rPr>
          <w:szCs w:val="22"/>
          <w:lang w:val="fr-FR"/>
        </w:rPr>
        <w:t>innovation fondées sur des ressources génétiques et savoirs traditionnels connex</w:t>
      </w:r>
      <w:r w:rsidR="0003571D" w:rsidRPr="00953B52">
        <w:rPr>
          <w:szCs w:val="22"/>
          <w:lang w:val="fr-FR"/>
        </w:rPr>
        <w:t>es</w:t>
      </w:r>
      <w:r w:rsidR="0003571D">
        <w:rPr>
          <w:szCs w:val="22"/>
          <w:lang w:val="fr-FR"/>
        </w:rPr>
        <w:t xml:space="preserve">.  </w:t>
      </w:r>
      <w:r w:rsidR="0003571D" w:rsidRPr="00953B52">
        <w:rPr>
          <w:szCs w:val="22"/>
          <w:lang w:val="fr-FR"/>
        </w:rPr>
        <w:t>Ce</w:t>
      </w:r>
      <w:r w:rsidRPr="00953B52">
        <w:rPr>
          <w:szCs w:val="22"/>
          <w:lang w:val="fr-FR"/>
        </w:rPr>
        <w:t>la détruirait aussi la base utilisée par le titulaire d</w:t>
      </w:r>
      <w:r w:rsidR="00E84189">
        <w:rPr>
          <w:szCs w:val="22"/>
          <w:lang w:val="fr-FR"/>
        </w:rPr>
        <w:t>’</w:t>
      </w:r>
      <w:r w:rsidRPr="00953B52">
        <w:rPr>
          <w:szCs w:val="22"/>
          <w:lang w:val="fr-FR"/>
        </w:rPr>
        <w:t>un brevet pour partager les avantages</w:t>
      </w:r>
      <w:r w:rsidR="00D44BD2">
        <w:rPr>
          <w:szCs w:val="22"/>
          <w:lang w:val="fr-FR"/>
        </w:rPr>
        <w:t>,</w:t>
      </w:r>
      <w:r w:rsidRPr="00953B52">
        <w:rPr>
          <w:szCs w:val="22"/>
          <w:lang w:val="fr-FR"/>
        </w:rPr>
        <w:t xml:space="preserve"> quels qu</w:t>
      </w:r>
      <w:r w:rsidR="00E84189">
        <w:rPr>
          <w:szCs w:val="22"/>
          <w:lang w:val="fr-FR"/>
        </w:rPr>
        <w:t>’</w:t>
      </w:r>
      <w:r w:rsidRPr="00953B52">
        <w:rPr>
          <w:szCs w:val="22"/>
          <w:lang w:val="fr-FR"/>
        </w:rPr>
        <w:t>ils soie</w:t>
      </w:r>
      <w:r w:rsidR="0003571D" w:rsidRPr="00953B52">
        <w:rPr>
          <w:szCs w:val="22"/>
          <w:lang w:val="fr-FR"/>
        </w:rPr>
        <w:t>nt</w:t>
      </w:r>
      <w:r w:rsidR="0003571D">
        <w:rPr>
          <w:szCs w:val="22"/>
          <w:lang w:val="fr-FR"/>
        </w:rPr>
        <w:t xml:space="preserve">.  </w:t>
      </w:r>
      <w:r w:rsidR="0003571D" w:rsidRPr="00953B52">
        <w:rPr>
          <w:szCs w:val="22"/>
          <w:lang w:val="fr-FR"/>
        </w:rPr>
        <w:t>En</w:t>
      </w:r>
      <w:r w:rsidRPr="00953B52">
        <w:rPr>
          <w:szCs w:val="22"/>
          <w:lang w:val="fr-FR"/>
        </w:rPr>
        <w:t xml:space="preserve"> tout cas, avant de révoquer un brevet ou d</w:t>
      </w:r>
      <w:r w:rsidR="00E84189">
        <w:rPr>
          <w:szCs w:val="22"/>
          <w:lang w:val="fr-FR"/>
        </w:rPr>
        <w:t>’</w:t>
      </w:r>
      <w:r w:rsidRPr="00953B52">
        <w:rPr>
          <w:szCs w:val="22"/>
          <w:lang w:val="fr-FR"/>
        </w:rPr>
        <w:t>invalider les droits de brevet établis, le titulaire du brevet devrait avoir la possibilité de rectifier son erreur et de communiquer les informations requises spécifiées dans l</w:t>
      </w:r>
      <w:r w:rsidR="00E84189">
        <w:rPr>
          <w:szCs w:val="22"/>
          <w:lang w:val="fr-FR"/>
        </w:rPr>
        <w:t>’</w:t>
      </w:r>
      <w:r w:rsidRPr="00953B52">
        <w:rPr>
          <w:szCs w:val="22"/>
          <w:lang w:val="fr-FR"/>
        </w:rPr>
        <w:t>instrument (par exemple les informations spécifiées à l</w:t>
      </w:r>
      <w:r w:rsidR="00E84189">
        <w:rPr>
          <w:szCs w:val="22"/>
          <w:lang w:val="fr-FR"/>
        </w:rPr>
        <w:t>’</w:t>
      </w:r>
      <w:r w:rsidR="00546B53" w:rsidRPr="00953B52">
        <w:rPr>
          <w:szCs w:val="22"/>
          <w:lang w:val="fr-FR"/>
        </w:rPr>
        <w:t>article</w:t>
      </w:r>
      <w:r w:rsidR="00546B53">
        <w:rPr>
          <w:szCs w:val="22"/>
          <w:lang w:val="fr-FR"/>
        </w:rPr>
        <w:t> </w:t>
      </w:r>
      <w:r w:rsidR="00546B53" w:rsidRPr="00953B52">
        <w:rPr>
          <w:szCs w:val="22"/>
          <w:lang w:val="fr-FR"/>
        </w:rPr>
        <w:t>3</w:t>
      </w:r>
      <w:r w:rsidRPr="00953B52">
        <w:rPr>
          <w:szCs w:val="22"/>
          <w:lang w:val="fr-FR"/>
        </w:rPr>
        <w:t xml:space="preserve"> du texte du </w:t>
      </w:r>
      <w:r w:rsidR="008D2CAF">
        <w:rPr>
          <w:szCs w:val="22"/>
          <w:lang w:val="fr-FR"/>
        </w:rPr>
        <w:t>p</w:t>
      </w:r>
      <w:r w:rsidRPr="00953B52">
        <w:rPr>
          <w:szCs w:val="22"/>
          <w:lang w:val="fr-FR"/>
        </w:rPr>
        <w:t>résident), dans un délai raisonnab</w:t>
      </w:r>
      <w:r w:rsidR="0003571D" w:rsidRPr="00953B52">
        <w:rPr>
          <w:szCs w:val="22"/>
          <w:lang w:val="fr-FR"/>
        </w:rPr>
        <w:t>le</w:t>
      </w:r>
      <w:r w:rsidR="0003571D">
        <w:rPr>
          <w:szCs w:val="22"/>
          <w:lang w:val="fr-FR"/>
        </w:rPr>
        <w:t xml:space="preserve">.  </w:t>
      </w:r>
      <w:r w:rsidR="0003571D" w:rsidRPr="00953B52">
        <w:rPr>
          <w:szCs w:val="22"/>
          <w:lang w:val="fr-FR"/>
        </w:rPr>
        <w:t>La</w:t>
      </w:r>
      <w:r w:rsidRPr="00953B52">
        <w:rPr>
          <w:szCs w:val="22"/>
          <w:lang w:val="fr-FR"/>
        </w:rPr>
        <w:t xml:space="preserve"> révocation ou l</w:t>
      </w:r>
      <w:r w:rsidR="00E84189">
        <w:rPr>
          <w:szCs w:val="22"/>
          <w:lang w:val="fr-FR"/>
        </w:rPr>
        <w:t>’</w:t>
      </w:r>
      <w:r w:rsidRPr="00953B52">
        <w:rPr>
          <w:szCs w:val="22"/>
          <w:lang w:val="fr-FR"/>
        </w:rPr>
        <w:t>invalidation des droits de brevet établis pourrait être envisagée uniquement si le titulaire du brevet continue de refuser de communiquer les informations minimales.</w:t>
      </w:r>
    </w:p>
    <w:p w:rsidR="00546B53" w:rsidRDefault="00CC5DF6" w:rsidP="00451DEF">
      <w:pPr>
        <w:pStyle w:val="Heading2"/>
        <w:spacing w:after="220"/>
        <w:rPr>
          <w:caps/>
        </w:rPr>
      </w:pPr>
      <w:bookmarkStart w:id="37" w:name="_Toc51243829"/>
      <w:r w:rsidRPr="00953B52">
        <w:t>3</w:t>
      </w:r>
      <w:r w:rsidR="00234673">
        <w:t>.2</w:t>
      </w:r>
      <w:r w:rsidRPr="00953B52">
        <w:tab/>
        <w:t>Clause de réciprocité comme incitation à ratifier l</w:t>
      </w:r>
      <w:r w:rsidR="00E84189">
        <w:t>’</w:t>
      </w:r>
      <w:r w:rsidRPr="00953B52">
        <w:t>instrument</w:t>
      </w:r>
      <w:bookmarkEnd w:id="37"/>
    </w:p>
    <w:p w:rsidR="00CC5DF6" w:rsidRPr="00953B52" w:rsidRDefault="00CC5DF6" w:rsidP="00451DEF">
      <w:pPr>
        <w:spacing w:after="220"/>
        <w:rPr>
          <w:szCs w:val="22"/>
          <w:lang w:val="fr-FR"/>
        </w:rPr>
      </w:pPr>
      <w:r w:rsidRPr="00953B52">
        <w:rPr>
          <w:szCs w:val="22"/>
          <w:lang w:val="fr-FR"/>
        </w:rPr>
        <w:t>Pour qu</w:t>
      </w:r>
      <w:r w:rsidR="00E84189">
        <w:rPr>
          <w:szCs w:val="22"/>
          <w:lang w:val="fr-FR"/>
        </w:rPr>
        <w:t>’</w:t>
      </w:r>
      <w:r w:rsidRPr="00953B52">
        <w:rPr>
          <w:szCs w:val="22"/>
          <w:lang w:val="fr-FR"/>
        </w:rPr>
        <w:t>un instrument juridique international relatif aux ressources génétiques et savoirs traditionnels connexes soit efficace, il est important qu</w:t>
      </w:r>
      <w:r w:rsidR="00E84189">
        <w:rPr>
          <w:szCs w:val="22"/>
          <w:lang w:val="fr-FR"/>
        </w:rPr>
        <w:t>’</w:t>
      </w:r>
      <w:r w:rsidRPr="00953B52">
        <w:rPr>
          <w:szCs w:val="22"/>
          <w:lang w:val="fr-FR"/>
        </w:rPr>
        <w:t>un grand nombre de parties y adhère</w:t>
      </w:r>
      <w:r w:rsidR="0003571D" w:rsidRPr="00953B52">
        <w:rPr>
          <w:szCs w:val="22"/>
          <w:lang w:val="fr-FR"/>
        </w:rPr>
        <w:t>nt</w:t>
      </w:r>
      <w:r w:rsidR="0003571D">
        <w:rPr>
          <w:szCs w:val="22"/>
          <w:lang w:val="fr-FR"/>
        </w:rPr>
        <w:t xml:space="preserve">.  </w:t>
      </w:r>
      <w:r w:rsidR="0003571D" w:rsidRPr="00953B52">
        <w:rPr>
          <w:szCs w:val="22"/>
          <w:lang w:val="fr-FR"/>
        </w:rPr>
        <w:t>Po</w:t>
      </w:r>
      <w:r w:rsidRPr="00953B52">
        <w:rPr>
          <w:szCs w:val="22"/>
          <w:lang w:val="fr-FR"/>
        </w:rPr>
        <w:t>ur ce faire, l</w:t>
      </w:r>
      <w:r w:rsidR="00E84189">
        <w:rPr>
          <w:szCs w:val="22"/>
          <w:lang w:val="fr-FR"/>
        </w:rPr>
        <w:t>’</w:t>
      </w:r>
      <w:r w:rsidRPr="00953B52">
        <w:rPr>
          <w:szCs w:val="22"/>
          <w:lang w:val="fr-FR"/>
        </w:rPr>
        <w:t>instrument international sur les ressource</w:t>
      </w:r>
      <w:r w:rsidR="00D44BD2">
        <w:rPr>
          <w:szCs w:val="22"/>
          <w:lang w:val="fr-FR"/>
        </w:rPr>
        <w:t>s</w:t>
      </w:r>
      <w:r w:rsidRPr="00953B52">
        <w:rPr>
          <w:szCs w:val="22"/>
          <w:lang w:val="fr-FR"/>
        </w:rPr>
        <w:t xml:space="preserve"> génétiques pourrait comprendre une incitation à ratifier l</w:t>
      </w:r>
      <w:r w:rsidR="00E84189">
        <w:rPr>
          <w:szCs w:val="22"/>
          <w:lang w:val="fr-FR"/>
        </w:rPr>
        <w:t>’</w:t>
      </w:r>
      <w:r w:rsidRPr="00953B52">
        <w:rPr>
          <w:szCs w:val="22"/>
          <w:lang w:val="fr-FR"/>
        </w:rPr>
        <w:t>instrument ou à y adhér</w:t>
      </w:r>
      <w:r w:rsidR="0003571D" w:rsidRPr="00953B52">
        <w:rPr>
          <w:szCs w:val="22"/>
          <w:lang w:val="fr-FR"/>
        </w:rPr>
        <w:t>er</w:t>
      </w:r>
      <w:r w:rsidR="0003571D">
        <w:rPr>
          <w:szCs w:val="22"/>
          <w:lang w:val="fr-FR"/>
        </w:rPr>
        <w:t xml:space="preserve">.  </w:t>
      </w:r>
      <w:r w:rsidR="0003571D" w:rsidRPr="00953B52">
        <w:rPr>
          <w:szCs w:val="22"/>
          <w:lang w:val="fr-FR"/>
        </w:rPr>
        <w:t>Ce</w:t>
      </w:r>
      <w:r w:rsidRPr="00953B52">
        <w:rPr>
          <w:szCs w:val="22"/>
          <w:lang w:val="fr-FR"/>
        </w:rPr>
        <w:t>tte incitation pourrait prendre la forme d</w:t>
      </w:r>
      <w:r w:rsidR="00E84189">
        <w:rPr>
          <w:szCs w:val="22"/>
          <w:lang w:val="fr-FR"/>
        </w:rPr>
        <w:t>’</w:t>
      </w:r>
      <w:r w:rsidRPr="00953B52">
        <w:rPr>
          <w:szCs w:val="22"/>
          <w:lang w:val="fr-FR"/>
        </w:rPr>
        <w:t xml:space="preserve">une </w:t>
      </w:r>
      <w:r w:rsidR="00546B53">
        <w:rPr>
          <w:szCs w:val="22"/>
          <w:lang w:val="fr-FR"/>
        </w:rPr>
        <w:t>“</w:t>
      </w:r>
      <w:r w:rsidR="00546B53" w:rsidRPr="00953B52">
        <w:rPr>
          <w:szCs w:val="22"/>
          <w:lang w:val="fr-FR"/>
        </w:rPr>
        <w:t>c</w:t>
      </w:r>
      <w:r w:rsidRPr="00953B52">
        <w:rPr>
          <w:szCs w:val="22"/>
          <w:lang w:val="fr-FR"/>
        </w:rPr>
        <w:t>lause de réciprocit</w:t>
      </w:r>
      <w:r w:rsidR="00546B53" w:rsidRPr="00953B52">
        <w:rPr>
          <w:szCs w:val="22"/>
          <w:lang w:val="fr-FR"/>
        </w:rPr>
        <w:t>é</w:t>
      </w:r>
      <w:r w:rsidR="00546B53">
        <w:rPr>
          <w:szCs w:val="22"/>
          <w:lang w:val="fr-FR"/>
        </w:rPr>
        <w:t>”</w:t>
      </w:r>
      <w:r w:rsidRPr="00953B52">
        <w:rPr>
          <w:szCs w:val="22"/>
          <w:lang w:val="fr-FR"/>
        </w:rPr>
        <w:t>, permettant aux parties de demander les informations spécifiées dans l</w:t>
      </w:r>
      <w:r w:rsidR="00E84189">
        <w:rPr>
          <w:szCs w:val="22"/>
          <w:lang w:val="fr-FR"/>
        </w:rPr>
        <w:t>’</w:t>
      </w:r>
      <w:r w:rsidRPr="00953B52">
        <w:rPr>
          <w:szCs w:val="22"/>
          <w:lang w:val="fr-FR"/>
        </w:rPr>
        <w:t>instrument uniquement pour des ressources génétiques ou savoirs traditionnels connexes obtenus auprès d</w:t>
      </w:r>
      <w:r w:rsidR="00E84189">
        <w:rPr>
          <w:szCs w:val="22"/>
          <w:lang w:val="fr-FR"/>
        </w:rPr>
        <w:t>’</w:t>
      </w:r>
      <w:r w:rsidRPr="00953B52">
        <w:rPr>
          <w:szCs w:val="22"/>
          <w:lang w:val="fr-FR"/>
        </w:rPr>
        <w:t>autres parti</w:t>
      </w:r>
      <w:r w:rsidR="0003571D" w:rsidRPr="00953B52">
        <w:rPr>
          <w:szCs w:val="22"/>
          <w:lang w:val="fr-FR"/>
        </w:rPr>
        <w:t>es</w:t>
      </w:r>
      <w:r w:rsidR="0003571D">
        <w:rPr>
          <w:szCs w:val="22"/>
          <w:lang w:val="fr-FR"/>
        </w:rPr>
        <w:t xml:space="preserve">.  </w:t>
      </w:r>
      <w:r w:rsidR="0003571D" w:rsidRPr="00953B52">
        <w:rPr>
          <w:szCs w:val="22"/>
          <w:lang w:val="fr-FR"/>
        </w:rPr>
        <w:t>En</w:t>
      </w:r>
      <w:r w:rsidRPr="00953B52">
        <w:rPr>
          <w:szCs w:val="22"/>
          <w:lang w:val="fr-FR"/>
        </w:rPr>
        <w:t xml:space="preserve"> revanche, demander ces informations à des entités qui ne sont pas parties à l</w:t>
      </w:r>
      <w:r w:rsidR="00E84189">
        <w:rPr>
          <w:szCs w:val="22"/>
          <w:lang w:val="fr-FR"/>
        </w:rPr>
        <w:t>’</w:t>
      </w:r>
      <w:r w:rsidRPr="00953B52">
        <w:rPr>
          <w:szCs w:val="22"/>
          <w:lang w:val="fr-FR"/>
        </w:rPr>
        <w:t>instrument serait facultatif</w:t>
      </w:r>
      <w:r w:rsidRPr="00953B52">
        <w:rPr>
          <w:rStyle w:val="FootnoteReference"/>
          <w:szCs w:val="22"/>
          <w:lang w:val="fr-FR"/>
        </w:rPr>
        <w:footnoteReference w:id="29"/>
      </w:r>
      <w:r w:rsidR="00095B51" w:rsidRPr="00953B52">
        <w:rPr>
          <w:szCs w:val="22"/>
          <w:lang w:val="fr-FR"/>
        </w:rPr>
        <w:t>.</w:t>
      </w:r>
    </w:p>
    <w:p w:rsidR="00CC5DF6" w:rsidRPr="00953B52" w:rsidRDefault="00CC5DF6" w:rsidP="00451DEF">
      <w:pPr>
        <w:spacing w:after="220"/>
        <w:rPr>
          <w:szCs w:val="22"/>
          <w:lang w:val="fr-FR"/>
        </w:rPr>
      </w:pPr>
      <w:r w:rsidRPr="00953B52">
        <w:rPr>
          <w:szCs w:val="22"/>
          <w:lang w:val="fr-FR"/>
        </w:rPr>
        <w:t xml:space="preserve">La </w:t>
      </w:r>
      <w:r w:rsidR="00546B53">
        <w:rPr>
          <w:szCs w:val="22"/>
          <w:lang w:val="fr-FR"/>
        </w:rPr>
        <w:t>“</w:t>
      </w:r>
      <w:r w:rsidR="00546B53" w:rsidRPr="00953B52">
        <w:rPr>
          <w:szCs w:val="22"/>
          <w:lang w:val="fr-FR"/>
        </w:rPr>
        <w:t>c</w:t>
      </w:r>
      <w:r w:rsidRPr="00953B52">
        <w:rPr>
          <w:szCs w:val="22"/>
          <w:lang w:val="fr-FR"/>
        </w:rPr>
        <w:t>lause de réciprocit</w:t>
      </w:r>
      <w:r w:rsidR="00546B53" w:rsidRPr="00953B52">
        <w:rPr>
          <w:szCs w:val="22"/>
          <w:lang w:val="fr-FR"/>
        </w:rPr>
        <w:t>é</w:t>
      </w:r>
      <w:r w:rsidR="00546B53">
        <w:rPr>
          <w:szCs w:val="22"/>
          <w:lang w:val="fr-FR"/>
        </w:rPr>
        <w:t>”</w:t>
      </w:r>
      <w:r w:rsidRPr="00953B52">
        <w:rPr>
          <w:szCs w:val="22"/>
          <w:lang w:val="fr-FR"/>
        </w:rPr>
        <w:t xml:space="preserve"> inciterait fortement les pays à ratifier l</w:t>
      </w:r>
      <w:r w:rsidR="00E84189">
        <w:rPr>
          <w:szCs w:val="22"/>
          <w:lang w:val="fr-FR"/>
        </w:rPr>
        <w:t>’</w:t>
      </w:r>
      <w:r w:rsidRPr="00953B52">
        <w:rPr>
          <w:szCs w:val="22"/>
          <w:lang w:val="fr-FR"/>
        </w:rPr>
        <w:t>instrume</w:t>
      </w:r>
      <w:r w:rsidR="0003571D" w:rsidRPr="00953B52">
        <w:rPr>
          <w:szCs w:val="22"/>
          <w:lang w:val="fr-FR"/>
        </w:rPr>
        <w:t>nt</w:t>
      </w:r>
      <w:r w:rsidR="0003571D">
        <w:rPr>
          <w:szCs w:val="22"/>
          <w:lang w:val="fr-FR"/>
        </w:rPr>
        <w:t xml:space="preserve">.  </w:t>
      </w:r>
      <w:r w:rsidR="0003571D" w:rsidRPr="00953B52">
        <w:rPr>
          <w:szCs w:val="22"/>
          <w:lang w:val="fr-FR"/>
        </w:rPr>
        <w:t>Po</w:t>
      </w:r>
      <w:r w:rsidRPr="00953B52">
        <w:rPr>
          <w:szCs w:val="22"/>
          <w:lang w:val="fr-FR"/>
        </w:rPr>
        <w:t>ur être sûr que l</w:t>
      </w:r>
      <w:r w:rsidR="00E84189">
        <w:rPr>
          <w:szCs w:val="22"/>
          <w:lang w:val="fr-FR"/>
        </w:rPr>
        <w:t>’</w:t>
      </w:r>
      <w:r w:rsidRPr="00953B52">
        <w:rPr>
          <w:szCs w:val="22"/>
          <w:lang w:val="fr-FR"/>
        </w:rPr>
        <w:t xml:space="preserve">origine ou la source de ses </w:t>
      </w:r>
      <w:r w:rsidR="00546B53">
        <w:rPr>
          <w:szCs w:val="22"/>
          <w:lang w:val="fr-FR"/>
        </w:rPr>
        <w:t>“</w:t>
      </w:r>
      <w:r w:rsidR="00546B53" w:rsidRPr="00953B52">
        <w:rPr>
          <w:szCs w:val="22"/>
          <w:lang w:val="fr-FR"/>
        </w:rPr>
        <w:t>p</w:t>
      </w:r>
      <w:r w:rsidRPr="00953B52">
        <w:rPr>
          <w:szCs w:val="22"/>
          <w:lang w:val="fr-FR"/>
        </w:rPr>
        <w:t>ropre</w:t>
      </w:r>
      <w:r w:rsidR="00546B53" w:rsidRPr="00953B52">
        <w:rPr>
          <w:szCs w:val="22"/>
          <w:lang w:val="fr-FR"/>
        </w:rPr>
        <w:t>s</w:t>
      </w:r>
      <w:r w:rsidR="00546B53">
        <w:rPr>
          <w:szCs w:val="22"/>
          <w:lang w:val="fr-FR"/>
        </w:rPr>
        <w:t>”</w:t>
      </w:r>
      <w:r w:rsidRPr="00953B52">
        <w:rPr>
          <w:szCs w:val="22"/>
          <w:lang w:val="fr-FR"/>
        </w:rPr>
        <w:t xml:space="preserve"> ressources génétiques et savoirs traditionnels connexes sera divulguée dans des demandes de brevet dans des régions relevant d</w:t>
      </w:r>
      <w:r w:rsidR="00E84189">
        <w:rPr>
          <w:szCs w:val="22"/>
          <w:lang w:val="fr-FR"/>
        </w:rPr>
        <w:t>’</w:t>
      </w:r>
      <w:r w:rsidRPr="00953B52">
        <w:rPr>
          <w:szCs w:val="22"/>
          <w:lang w:val="fr-FR"/>
        </w:rPr>
        <w:t>une autre législation, un pays doit devenir partie à l</w:t>
      </w:r>
      <w:r w:rsidR="00E84189">
        <w:rPr>
          <w:szCs w:val="22"/>
          <w:lang w:val="fr-FR"/>
        </w:rPr>
        <w:t>’</w:t>
      </w:r>
      <w:r w:rsidRPr="00953B52">
        <w:rPr>
          <w:szCs w:val="22"/>
          <w:lang w:val="fr-FR"/>
        </w:rPr>
        <w:t>instrume</w:t>
      </w:r>
      <w:r w:rsidR="0003571D" w:rsidRPr="00953B52">
        <w:rPr>
          <w:szCs w:val="22"/>
          <w:lang w:val="fr-FR"/>
        </w:rPr>
        <w:t>nt</w:t>
      </w:r>
      <w:r w:rsidR="0003571D">
        <w:rPr>
          <w:szCs w:val="22"/>
          <w:lang w:val="fr-FR"/>
        </w:rPr>
        <w:t xml:space="preserve">.  </w:t>
      </w:r>
      <w:r w:rsidR="0003571D" w:rsidRPr="00953B52">
        <w:rPr>
          <w:szCs w:val="22"/>
          <w:lang w:val="fr-FR"/>
        </w:rPr>
        <w:t>Ce</w:t>
      </w:r>
      <w:r w:rsidRPr="00953B52">
        <w:rPr>
          <w:szCs w:val="22"/>
          <w:lang w:val="fr-FR"/>
        </w:rPr>
        <w:t xml:space="preserve">tte clause pourrait également contribuer à éviter les </w:t>
      </w:r>
      <w:r w:rsidR="00546B53">
        <w:rPr>
          <w:szCs w:val="22"/>
          <w:lang w:val="fr-FR"/>
        </w:rPr>
        <w:t>“</w:t>
      </w:r>
      <w:r w:rsidR="00546B53" w:rsidRPr="00953B52">
        <w:rPr>
          <w:szCs w:val="22"/>
          <w:lang w:val="fr-FR"/>
        </w:rPr>
        <w:t>c</w:t>
      </w:r>
      <w:r w:rsidRPr="00953B52">
        <w:rPr>
          <w:szCs w:val="22"/>
          <w:lang w:val="fr-FR"/>
        </w:rPr>
        <w:t>avaliers seul</w:t>
      </w:r>
      <w:r w:rsidR="00546B53" w:rsidRPr="00953B52">
        <w:rPr>
          <w:szCs w:val="22"/>
          <w:lang w:val="fr-FR"/>
        </w:rPr>
        <w:t>s</w:t>
      </w:r>
      <w:r w:rsidR="00546B53">
        <w:rPr>
          <w:szCs w:val="22"/>
          <w:lang w:val="fr-FR"/>
        </w:rPr>
        <w:t>”</w:t>
      </w:r>
      <w:r w:rsidRPr="00953B52">
        <w:rPr>
          <w:szCs w:val="22"/>
          <w:lang w:val="fr-FR"/>
        </w:rPr>
        <w:t>, c</w:t>
      </w:r>
      <w:r w:rsidR="00E84189">
        <w:rPr>
          <w:szCs w:val="22"/>
          <w:lang w:val="fr-FR"/>
        </w:rPr>
        <w:t>’</w:t>
      </w:r>
      <w:r w:rsidRPr="00953B52">
        <w:rPr>
          <w:szCs w:val="22"/>
          <w:lang w:val="fr-FR"/>
        </w:rPr>
        <w:t>est</w:t>
      </w:r>
      <w:r w:rsidR="000B2FBE">
        <w:rPr>
          <w:szCs w:val="22"/>
          <w:lang w:val="fr-FR"/>
        </w:rPr>
        <w:noBreakHyphen/>
      </w:r>
      <w:r w:rsidRPr="00953B52">
        <w:rPr>
          <w:szCs w:val="22"/>
          <w:lang w:val="fr-FR"/>
        </w:rPr>
        <w:t>à</w:t>
      </w:r>
      <w:r w:rsidR="000B2FBE">
        <w:rPr>
          <w:szCs w:val="22"/>
          <w:lang w:val="fr-FR"/>
        </w:rPr>
        <w:noBreakHyphen/>
      </w:r>
      <w:r w:rsidRPr="00953B52">
        <w:rPr>
          <w:szCs w:val="22"/>
          <w:lang w:val="fr-FR"/>
        </w:rPr>
        <w:t>dire les pays qui n</w:t>
      </w:r>
      <w:r w:rsidR="00E84189">
        <w:rPr>
          <w:szCs w:val="22"/>
          <w:lang w:val="fr-FR"/>
        </w:rPr>
        <w:t>’</w:t>
      </w:r>
      <w:r w:rsidRPr="00953B52">
        <w:rPr>
          <w:szCs w:val="22"/>
          <w:lang w:val="fr-FR"/>
        </w:rPr>
        <w:t>adhèrent pas l</w:t>
      </w:r>
      <w:r w:rsidR="00E84189">
        <w:rPr>
          <w:szCs w:val="22"/>
          <w:lang w:val="fr-FR"/>
        </w:rPr>
        <w:t>’</w:t>
      </w:r>
      <w:r w:rsidRPr="00953B52">
        <w:rPr>
          <w:szCs w:val="22"/>
          <w:lang w:val="fr-FR"/>
        </w:rPr>
        <w:t>instrument mais dont les ressources génétiques et savoirs traditionnels connexes jouissent d</w:t>
      </w:r>
      <w:r w:rsidR="00E84189">
        <w:rPr>
          <w:szCs w:val="22"/>
          <w:lang w:val="fr-FR"/>
        </w:rPr>
        <w:t>’</w:t>
      </w:r>
      <w:r w:rsidRPr="00953B52">
        <w:rPr>
          <w:szCs w:val="22"/>
          <w:lang w:val="fr-FR"/>
        </w:rPr>
        <w:t>une plus grande transparence dans d</w:t>
      </w:r>
      <w:r w:rsidR="00E84189">
        <w:rPr>
          <w:szCs w:val="22"/>
          <w:lang w:val="fr-FR"/>
        </w:rPr>
        <w:t>’</w:t>
      </w:r>
      <w:r w:rsidRPr="00953B52">
        <w:rPr>
          <w:szCs w:val="22"/>
          <w:lang w:val="fr-FR"/>
        </w:rPr>
        <w:t>autres pa</w:t>
      </w:r>
      <w:r w:rsidR="0003571D" w:rsidRPr="00953B52">
        <w:rPr>
          <w:szCs w:val="22"/>
          <w:lang w:val="fr-FR"/>
        </w:rPr>
        <w:t>ys</w:t>
      </w:r>
      <w:r w:rsidR="0003571D">
        <w:rPr>
          <w:szCs w:val="22"/>
          <w:lang w:val="fr-FR"/>
        </w:rPr>
        <w:t xml:space="preserve">.  </w:t>
      </w:r>
      <w:r w:rsidR="0003571D" w:rsidRPr="00953B52">
        <w:rPr>
          <w:szCs w:val="22"/>
          <w:lang w:val="fr-FR"/>
        </w:rPr>
        <w:t>Po</w:t>
      </w:r>
      <w:r w:rsidRPr="00953B52">
        <w:rPr>
          <w:szCs w:val="22"/>
          <w:lang w:val="fr-FR"/>
        </w:rPr>
        <w:t>ur finir, cette clause augmenterait également la sécurité juridique des titulaires de brevets puisque le pays auprès duquel ils obtiennent des ressources génétiques serait également partie à l</w:t>
      </w:r>
      <w:r w:rsidR="00E84189">
        <w:rPr>
          <w:szCs w:val="22"/>
          <w:lang w:val="fr-FR"/>
        </w:rPr>
        <w:t>’</w:t>
      </w:r>
      <w:r w:rsidRPr="00953B52">
        <w:rPr>
          <w:szCs w:val="22"/>
          <w:lang w:val="fr-FR"/>
        </w:rPr>
        <w:t>instrument et donc tenu de respecter ses dispositions.</w:t>
      </w:r>
    </w:p>
    <w:p w:rsidR="00546B53" w:rsidRDefault="00CC5DF6" w:rsidP="005C0BD9">
      <w:pPr>
        <w:rPr>
          <w:szCs w:val="22"/>
          <w:lang w:val="fr-FR"/>
        </w:rPr>
      </w:pPr>
      <w:r w:rsidRPr="00953B52">
        <w:rPr>
          <w:szCs w:val="22"/>
          <w:lang w:val="fr-FR"/>
        </w:rPr>
        <w:t xml:space="preserve">Voir, en </w:t>
      </w:r>
      <w:r w:rsidR="008D2CAF">
        <w:rPr>
          <w:szCs w:val="22"/>
          <w:lang w:val="fr-FR"/>
        </w:rPr>
        <w:t>a</w:t>
      </w:r>
      <w:r w:rsidRPr="00953B52">
        <w:rPr>
          <w:szCs w:val="22"/>
          <w:lang w:val="fr-FR"/>
        </w:rPr>
        <w:t>ppendice, le projet de texte proposé sur la clause de réciprocité.</w:t>
      </w:r>
    </w:p>
    <w:p w:rsidR="00546B53" w:rsidRDefault="00CC5DF6" w:rsidP="00234673">
      <w:pPr>
        <w:pStyle w:val="Heading2"/>
        <w:rPr>
          <w:caps/>
        </w:rPr>
      </w:pPr>
      <w:bookmarkStart w:id="38" w:name="_Toc51243830"/>
      <w:r w:rsidRPr="00953B52">
        <w:lastRenderedPageBreak/>
        <w:t>3</w:t>
      </w:r>
      <w:r w:rsidR="00370098">
        <w:t>.</w:t>
      </w:r>
      <w:r w:rsidR="00234673">
        <w:t>3</w:t>
      </w:r>
      <w:r w:rsidRPr="00953B52">
        <w:tab/>
        <w:t>Système d</w:t>
      </w:r>
      <w:r w:rsidR="00E84189">
        <w:t>’</w:t>
      </w:r>
      <w:r w:rsidRPr="00953B52">
        <w:t>information international pour simplifier la mise en œuvre des exigences de divulgation internationale en matière de brevets</w:t>
      </w:r>
      <w:bookmarkEnd w:id="38"/>
    </w:p>
    <w:p w:rsidR="00546B53" w:rsidRDefault="00CC5DF6" w:rsidP="005C0BD9">
      <w:pPr>
        <w:spacing w:after="80"/>
        <w:rPr>
          <w:szCs w:val="22"/>
          <w:lang w:val="fr-FR"/>
        </w:rPr>
      </w:pPr>
      <w:r w:rsidRPr="00953B52">
        <w:rPr>
          <w:szCs w:val="22"/>
          <w:lang w:val="fr-FR"/>
        </w:rPr>
        <w:t xml:space="preserve">Comme décrit dans la </w:t>
      </w:r>
      <w:r w:rsidR="00546B53" w:rsidRPr="00953B52">
        <w:rPr>
          <w:szCs w:val="22"/>
          <w:lang w:val="fr-FR"/>
        </w:rPr>
        <w:t>section</w:t>
      </w:r>
      <w:r w:rsidR="00546B53">
        <w:rPr>
          <w:szCs w:val="22"/>
          <w:lang w:val="fr-FR"/>
        </w:rPr>
        <w:t> </w:t>
      </w:r>
      <w:r w:rsidR="00546B53" w:rsidRPr="00953B52">
        <w:rPr>
          <w:szCs w:val="22"/>
          <w:lang w:val="fr-FR"/>
        </w:rPr>
        <w:t>2</w:t>
      </w:r>
      <w:r w:rsidRPr="00953B52">
        <w:rPr>
          <w:szCs w:val="22"/>
          <w:lang w:val="fr-FR"/>
        </w:rPr>
        <w:t>, il existe un certain nombre d</w:t>
      </w:r>
      <w:r w:rsidR="00E84189">
        <w:rPr>
          <w:szCs w:val="22"/>
          <w:lang w:val="fr-FR"/>
        </w:rPr>
        <w:t>’</w:t>
      </w:r>
      <w:r w:rsidRPr="00953B52">
        <w:rPr>
          <w:szCs w:val="22"/>
          <w:lang w:val="fr-FR"/>
        </w:rPr>
        <w:t>exigences nationales de divulgation en matière de brevets, très variables en ce qui concerne la portée, le contenu, la relation avec les régimes d</w:t>
      </w:r>
      <w:r w:rsidR="00E84189">
        <w:rPr>
          <w:szCs w:val="22"/>
          <w:lang w:val="fr-FR"/>
        </w:rPr>
        <w:t>’</w:t>
      </w:r>
      <w:r w:rsidRPr="00953B52">
        <w:rPr>
          <w:szCs w:val="22"/>
          <w:lang w:val="fr-FR"/>
        </w:rPr>
        <w:t>accès et de partage des avantages et les sanctio</w:t>
      </w:r>
      <w:r w:rsidR="0003571D" w:rsidRPr="00953B52">
        <w:rPr>
          <w:szCs w:val="22"/>
          <w:lang w:val="fr-FR"/>
        </w:rPr>
        <w:t>ns</w:t>
      </w:r>
      <w:r w:rsidR="0003571D">
        <w:rPr>
          <w:szCs w:val="22"/>
          <w:lang w:val="fr-FR"/>
        </w:rPr>
        <w:t xml:space="preserve">.  </w:t>
      </w:r>
      <w:r w:rsidR="0003571D" w:rsidRPr="00953B52">
        <w:rPr>
          <w:szCs w:val="22"/>
          <w:lang w:val="fr-FR"/>
        </w:rPr>
        <w:t>Si</w:t>
      </w:r>
      <w:r w:rsidRPr="00953B52">
        <w:rPr>
          <w:szCs w:val="22"/>
          <w:lang w:val="fr-FR"/>
        </w:rPr>
        <w:t xml:space="preserve"> un instrument juridique international mis en place par l</w:t>
      </w:r>
      <w:r w:rsidR="00E84189">
        <w:rPr>
          <w:szCs w:val="22"/>
          <w:lang w:val="fr-FR"/>
        </w:rPr>
        <w:t>’</w:t>
      </w:r>
      <w:r w:rsidRPr="00953B52">
        <w:rPr>
          <w:szCs w:val="22"/>
          <w:lang w:val="fr-FR"/>
        </w:rPr>
        <w:t>OMPI peut contribuer à une harmonisation des exigences nationales de divulgation en matière de brevets, il est toutefois probable que des différence</w:t>
      </w:r>
      <w:r w:rsidR="00513138">
        <w:rPr>
          <w:szCs w:val="22"/>
          <w:lang w:val="fr-FR"/>
        </w:rPr>
        <w:t>s</w:t>
      </w:r>
      <w:r w:rsidRPr="00953B52">
        <w:rPr>
          <w:szCs w:val="22"/>
          <w:lang w:val="fr-FR"/>
        </w:rPr>
        <w:t xml:space="preserve"> nationales persistent à l</w:t>
      </w:r>
      <w:r w:rsidR="00E84189">
        <w:rPr>
          <w:szCs w:val="22"/>
          <w:lang w:val="fr-FR"/>
        </w:rPr>
        <w:t>’</w:t>
      </w:r>
      <w:r w:rsidRPr="00953B52">
        <w:rPr>
          <w:szCs w:val="22"/>
          <w:lang w:val="fr-FR"/>
        </w:rPr>
        <w:t>aven</w:t>
      </w:r>
      <w:r w:rsidR="0003571D" w:rsidRPr="00953B52">
        <w:rPr>
          <w:szCs w:val="22"/>
          <w:lang w:val="fr-FR"/>
        </w:rPr>
        <w:t>ir</w:t>
      </w:r>
      <w:r w:rsidR="0003571D">
        <w:rPr>
          <w:szCs w:val="22"/>
          <w:lang w:val="fr-FR"/>
        </w:rPr>
        <w:t xml:space="preserve">.  </w:t>
      </w:r>
      <w:r w:rsidR="0003571D" w:rsidRPr="00953B52">
        <w:rPr>
          <w:szCs w:val="22"/>
          <w:lang w:val="fr-FR"/>
        </w:rPr>
        <w:t>Il</w:t>
      </w:r>
      <w:r w:rsidRPr="00953B52">
        <w:rPr>
          <w:szCs w:val="22"/>
          <w:lang w:val="fr-FR"/>
        </w:rPr>
        <w:t xml:space="preserve"> pourrait donc être avantageux pour les déposants de demandes de brevet et pour les examinateurs de brevets de disposer d</w:t>
      </w:r>
      <w:r w:rsidR="00E84189">
        <w:rPr>
          <w:szCs w:val="22"/>
          <w:lang w:val="fr-FR"/>
        </w:rPr>
        <w:t>’</w:t>
      </w:r>
      <w:r w:rsidRPr="00953B52">
        <w:rPr>
          <w:szCs w:val="22"/>
          <w:lang w:val="fr-FR"/>
        </w:rPr>
        <w:t>un système d</w:t>
      </w:r>
      <w:r w:rsidR="00E84189">
        <w:rPr>
          <w:szCs w:val="22"/>
          <w:lang w:val="fr-FR"/>
        </w:rPr>
        <w:t>’</w:t>
      </w:r>
      <w:r w:rsidRPr="00953B52">
        <w:rPr>
          <w:szCs w:val="22"/>
          <w:lang w:val="fr-FR"/>
        </w:rPr>
        <w:t>information international administré par l</w:t>
      </w:r>
      <w:r w:rsidR="00E84189">
        <w:rPr>
          <w:szCs w:val="22"/>
          <w:lang w:val="fr-FR"/>
        </w:rPr>
        <w:t>’</w:t>
      </w:r>
      <w:r w:rsidRPr="00953B52">
        <w:rPr>
          <w:szCs w:val="22"/>
          <w:lang w:val="fr-FR"/>
        </w:rPr>
        <w:t>O</w:t>
      </w:r>
      <w:r w:rsidR="0003571D" w:rsidRPr="00953B52">
        <w:rPr>
          <w:szCs w:val="22"/>
          <w:lang w:val="fr-FR"/>
        </w:rPr>
        <w:t>MPI</w:t>
      </w:r>
      <w:r w:rsidR="0003571D">
        <w:rPr>
          <w:szCs w:val="22"/>
          <w:lang w:val="fr-FR"/>
        </w:rPr>
        <w:t xml:space="preserve">.  </w:t>
      </w:r>
      <w:r w:rsidR="0003571D" w:rsidRPr="00953B52">
        <w:rPr>
          <w:szCs w:val="22"/>
          <w:lang w:val="fr-FR"/>
        </w:rPr>
        <w:t>Ce</w:t>
      </w:r>
      <w:r w:rsidRPr="00953B52">
        <w:rPr>
          <w:szCs w:val="22"/>
          <w:lang w:val="fr-FR"/>
        </w:rPr>
        <w:t xml:space="preserve"> système pourrait avoir deux</w:t>
      </w:r>
      <w:r w:rsidR="00095B51">
        <w:rPr>
          <w:szCs w:val="22"/>
          <w:lang w:val="fr-FR"/>
        </w:rPr>
        <w:t> </w:t>
      </w:r>
      <w:r w:rsidRPr="00953B52">
        <w:rPr>
          <w:szCs w:val="22"/>
          <w:lang w:val="fr-FR"/>
        </w:rPr>
        <w:t>fonctions principales</w:t>
      </w:r>
      <w:r w:rsidR="00E84189">
        <w:rPr>
          <w:szCs w:val="22"/>
          <w:lang w:val="fr-FR"/>
        </w:rPr>
        <w:t> :</w:t>
      </w:r>
    </w:p>
    <w:p w:rsidR="00CC5DF6" w:rsidRPr="00953B52" w:rsidRDefault="00CC5DF6" w:rsidP="00234673">
      <w:pPr>
        <w:pStyle w:val="ListParagraph"/>
        <w:numPr>
          <w:ilvl w:val="0"/>
          <w:numId w:val="13"/>
        </w:numPr>
        <w:spacing w:after="80" w:line="240" w:lineRule="auto"/>
        <w:ind w:left="567" w:hanging="561"/>
        <w:contextualSpacing w:val="0"/>
        <w:rPr>
          <w:rFonts w:ascii="Arial" w:hAnsi="Arial" w:cs="Arial"/>
          <w:sz w:val="22"/>
          <w:szCs w:val="22"/>
          <w:lang w:val="fr-FR"/>
        </w:rPr>
      </w:pPr>
      <w:r w:rsidRPr="00953B52">
        <w:rPr>
          <w:rFonts w:ascii="Arial" w:hAnsi="Arial" w:cs="Arial"/>
          <w:sz w:val="22"/>
          <w:szCs w:val="22"/>
          <w:lang w:val="fr-FR"/>
        </w:rPr>
        <w:t xml:space="preserve">passerelle internationale (ou portail en ligne) permettant aux examinateurs de brevets de parties à cet instrument de trouver facilement les bases de données nationales pertinentes sur les ressources génétiques et savoirs traditionnels connexes; </w:t>
      </w:r>
      <w:r w:rsidR="00095B51">
        <w:rPr>
          <w:rFonts w:ascii="Arial" w:hAnsi="Arial" w:cs="Arial"/>
          <w:sz w:val="22"/>
          <w:szCs w:val="22"/>
          <w:lang w:val="fr-FR"/>
        </w:rPr>
        <w:t xml:space="preserve"> </w:t>
      </w:r>
      <w:r w:rsidRPr="00953B52">
        <w:rPr>
          <w:rFonts w:ascii="Arial" w:hAnsi="Arial" w:cs="Arial"/>
          <w:sz w:val="22"/>
          <w:szCs w:val="22"/>
          <w:lang w:val="fr-FR"/>
        </w:rPr>
        <w:t xml:space="preserve">cette fonction faciliterait la tâche des examinateurs de brevets qui pourraient ainsi trouver les informations pertinentes dans des bases de données, ce qui éviterait la délivrance de brevets indus; </w:t>
      </w:r>
      <w:r w:rsidR="00095B51">
        <w:rPr>
          <w:rFonts w:ascii="Arial" w:hAnsi="Arial" w:cs="Arial"/>
          <w:sz w:val="22"/>
          <w:szCs w:val="22"/>
          <w:lang w:val="fr-FR"/>
        </w:rPr>
        <w:t xml:space="preserve"> </w:t>
      </w:r>
      <w:r w:rsidRPr="00953B52">
        <w:rPr>
          <w:rFonts w:ascii="Arial" w:hAnsi="Arial" w:cs="Arial"/>
          <w:sz w:val="22"/>
          <w:szCs w:val="22"/>
          <w:lang w:val="fr-FR"/>
        </w:rPr>
        <w:t>cet aspect a été expliqué dans des documents soumis précédemment par la Suisse et d</w:t>
      </w:r>
      <w:r w:rsidR="00E84189">
        <w:rPr>
          <w:rFonts w:ascii="Arial" w:hAnsi="Arial" w:cs="Arial"/>
          <w:sz w:val="22"/>
          <w:szCs w:val="22"/>
          <w:lang w:val="fr-FR"/>
        </w:rPr>
        <w:t>’</w:t>
      </w:r>
      <w:r w:rsidRPr="00953B52">
        <w:rPr>
          <w:rFonts w:ascii="Arial" w:hAnsi="Arial" w:cs="Arial"/>
          <w:sz w:val="22"/>
          <w:szCs w:val="22"/>
          <w:lang w:val="fr-FR"/>
        </w:rPr>
        <w:t>autres délégations</w:t>
      </w:r>
      <w:r w:rsidRPr="00953B52">
        <w:rPr>
          <w:rStyle w:val="FootnoteReference"/>
          <w:rFonts w:ascii="Arial" w:hAnsi="Arial" w:cs="Arial"/>
          <w:sz w:val="22"/>
          <w:szCs w:val="22"/>
          <w:lang w:val="fr-FR"/>
        </w:rPr>
        <w:footnoteReference w:id="30"/>
      </w:r>
      <w:r w:rsidRPr="00953B52">
        <w:rPr>
          <w:rFonts w:ascii="Arial" w:hAnsi="Arial" w:cs="Arial"/>
          <w:sz w:val="22"/>
          <w:szCs w:val="22"/>
          <w:lang w:val="fr-FR"/>
        </w:rPr>
        <w:t>;</w:t>
      </w:r>
    </w:p>
    <w:p w:rsidR="00CC5DF6" w:rsidRPr="00953B52" w:rsidRDefault="00CC5DF6" w:rsidP="00234673">
      <w:pPr>
        <w:pStyle w:val="ListParagraph"/>
        <w:numPr>
          <w:ilvl w:val="0"/>
          <w:numId w:val="13"/>
        </w:numPr>
        <w:spacing w:after="80" w:line="240" w:lineRule="auto"/>
        <w:ind w:left="567" w:hanging="561"/>
        <w:contextualSpacing w:val="0"/>
        <w:rPr>
          <w:rFonts w:ascii="Arial" w:hAnsi="Arial" w:cs="Arial"/>
          <w:sz w:val="22"/>
          <w:szCs w:val="22"/>
          <w:lang w:val="fr-FR"/>
        </w:rPr>
      </w:pPr>
      <w:r w:rsidRPr="00953B52">
        <w:rPr>
          <w:rFonts w:ascii="Arial" w:hAnsi="Arial" w:cs="Arial"/>
          <w:sz w:val="22"/>
          <w:szCs w:val="22"/>
          <w:lang w:val="fr-FR"/>
        </w:rPr>
        <w:t>obligation de partager les informations fournies conformément à l</w:t>
      </w:r>
      <w:r w:rsidR="00E84189">
        <w:rPr>
          <w:rFonts w:ascii="Arial" w:hAnsi="Arial" w:cs="Arial"/>
          <w:sz w:val="22"/>
          <w:szCs w:val="22"/>
          <w:lang w:val="fr-FR"/>
        </w:rPr>
        <w:t>’</w:t>
      </w:r>
      <w:r w:rsidRPr="00953B52">
        <w:rPr>
          <w:rFonts w:ascii="Arial" w:hAnsi="Arial" w:cs="Arial"/>
          <w:sz w:val="22"/>
          <w:szCs w:val="22"/>
          <w:lang w:val="fr-FR"/>
        </w:rPr>
        <w:t>exigence de divulgation en matière de brevets avec d</w:t>
      </w:r>
      <w:r w:rsidR="00E84189">
        <w:rPr>
          <w:rFonts w:ascii="Arial" w:hAnsi="Arial" w:cs="Arial"/>
          <w:sz w:val="22"/>
          <w:szCs w:val="22"/>
          <w:lang w:val="fr-FR"/>
        </w:rPr>
        <w:t>’</w:t>
      </w:r>
      <w:r w:rsidRPr="00953B52">
        <w:rPr>
          <w:rFonts w:ascii="Arial" w:hAnsi="Arial" w:cs="Arial"/>
          <w:sz w:val="22"/>
          <w:szCs w:val="22"/>
          <w:lang w:val="fr-FR"/>
        </w:rPr>
        <w:t>autres parties à l</w:t>
      </w:r>
      <w:r w:rsidR="00E84189">
        <w:rPr>
          <w:rFonts w:ascii="Arial" w:hAnsi="Arial" w:cs="Arial"/>
          <w:sz w:val="22"/>
          <w:szCs w:val="22"/>
          <w:lang w:val="fr-FR"/>
        </w:rPr>
        <w:t>’</w:t>
      </w:r>
      <w:r w:rsidRPr="00953B52">
        <w:rPr>
          <w:rFonts w:ascii="Arial" w:hAnsi="Arial" w:cs="Arial"/>
          <w:sz w:val="22"/>
          <w:szCs w:val="22"/>
          <w:lang w:val="fr-FR"/>
        </w:rPr>
        <w:t xml:space="preserve">instrument; </w:t>
      </w:r>
      <w:r w:rsidR="00095B51">
        <w:rPr>
          <w:rFonts w:ascii="Arial" w:hAnsi="Arial" w:cs="Arial"/>
          <w:sz w:val="22"/>
          <w:szCs w:val="22"/>
          <w:lang w:val="fr-FR"/>
        </w:rPr>
        <w:t xml:space="preserve"> </w:t>
      </w:r>
      <w:r w:rsidRPr="00953B52">
        <w:rPr>
          <w:rFonts w:ascii="Arial" w:hAnsi="Arial" w:cs="Arial"/>
          <w:sz w:val="22"/>
          <w:szCs w:val="22"/>
          <w:lang w:val="fr-FR"/>
        </w:rPr>
        <w:t xml:space="preserve">chacune de ces parties devrait reconnaître ces informations et dispenser le déposant de présenter une nouvelle fois les mêmes informations lors du dépôt du même brevet auprès des autorités des autres parties; </w:t>
      </w:r>
      <w:r w:rsidR="00095B51">
        <w:rPr>
          <w:rFonts w:ascii="Arial" w:hAnsi="Arial" w:cs="Arial"/>
          <w:sz w:val="22"/>
          <w:szCs w:val="22"/>
          <w:lang w:val="fr-FR"/>
        </w:rPr>
        <w:t xml:space="preserve"> </w:t>
      </w:r>
      <w:r w:rsidRPr="00953B52">
        <w:rPr>
          <w:rFonts w:ascii="Arial" w:hAnsi="Arial" w:cs="Arial"/>
          <w:sz w:val="22"/>
          <w:szCs w:val="22"/>
          <w:lang w:val="fr-FR"/>
        </w:rPr>
        <w:t>cette fonction all</w:t>
      </w:r>
      <w:r w:rsidR="00513138">
        <w:rPr>
          <w:rFonts w:ascii="Arial" w:hAnsi="Arial" w:cs="Arial"/>
          <w:sz w:val="22"/>
          <w:szCs w:val="22"/>
          <w:lang w:val="fr-FR"/>
        </w:rPr>
        <w:t>é</w:t>
      </w:r>
      <w:r w:rsidRPr="00953B52">
        <w:rPr>
          <w:rFonts w:ascii="Arial" w:hAnsi="Arial" w:cs="Arial"/>
          <w:sz w:val="22"/>
          <w:szCs w:val="22"/>
          <w:lang w:val="fr-FR"/>
        </w:rPr>
        <w:t>gera les démarches administratives à la fois pour les déposants et pour les examinateurs de brevets des parties à l</w:t>
      </w:r>
      <w:r w:rsidR="00E84189">
        <w:rPr>
          <w:rFonts w:ascii="Arial" w:hAnsi="Arial" w:cs="Arial"/>
          <w:sz w:val="22"/>
          <w:szCs w:val="22"/>
          <w:lang w:val="fr-FR"/>
        </w:rPr>
        <w:t>’</w:t>
      </w:r>
      <w:r w:rsidRPr="00953B52">
        <w:rPr>
          <w:rFonts w:ascii="Arial" w:hAnsi="Arial" w:cs="Arial"/>
          <w:sz w:val="22"/>
          <w:szCs w:val="22"/>
          <w:lang w:val="fr-FR"/>
        </w:rPr>
        <w:t>instrument</w:t>
      </w:r>
      <w:r w:rsidR="00E84189">
        <w:rPr>
          <w:rFonts w:ascii="Arial" w:hAnsi="Arial" w:cs="Arial"/>
          <w:sz w:val="22"/>
          <w:szCs w:val="22"/>
          <w:lang w:val="fr-FR"/>
        </w:rPr>
        <w:t> :</w:t>
      </w:r>
    </w:p>
    <w:p w:rsidR="00CC5DF6" w:rsidRPr="00953B52" w:rsidRDefault="00CC5DF6" w:rsidP="00234673">
      <w:pPr>
        <w:pStyle w:val="ListParagraph"/>
        <w:numPr>
          <w:ilvl w:val="0"/>
          <w:numId w:val="19"/>
        </w:numPr>
        <w:spacing w:after="80" w:line="240" w:lineRule="auto"/>
        <w:ind w:left="1134" w:hanging="567"/>
        <w:contextualSpacing w:val="0"/>
        <w:rPr>
          <w:rFonts w:ascii="Arial" w:hAnsi="Arial" w:cs="Arial"/>
          <w:sz w:val="22"/>
          <w:szCs w:val="22"/>
          <w:lang w:val="fr-FR"/>
        </w:rPr>
      </w:pPr>
      <w:r w:rsidRPr="00953B52">
        <w:rPr>
          <w:rFonts w:ascii="Arial" w:hAnsi="Arial" w:cs="Arial"/>
          <w:b/>
          <w:sz w:val="22"/>
          <w:szCs w:val="22"/>
          <w:lang w:val="fr-FR"/>
        </w:rPr>
        <w:t>Pour les déposants</w:t>
      </w:r>
      <w:r w:rsidRPr="00953B52">
        <w:rPr>
          <w:rFonts w:ascii="Arial" w:hAnsi="Arial" w:cs="Arial"/>
          <w:sz w:val="22"/>
          <w:szCs w:val="22"/>
          <w:lang w:val="fr-FR"/>
        </w:rPr>
        <w:t>, cette fonction allégerait les démarches administratives dans la mesure où il suffirait de présenter les informations requises, spécifiées dans l</w:t>
      </w:r>
      <w:r w:rsidR="00E84189">
        <w:rPr>
          <w:rFonts w:ascii="Arial" w:hAnsi="Arial" w:cs="Arial"/>
          <w:sz w:val="22"/>
          <w:szCs w:val="22"/>
          <w:lang w:val="fr-FR"/>
        </w:rPr>
        <w:t>’</w:t>
      </w:r>
      <w:r w:rsidRPr="00953B52">
        <w:rPr>
          <w:rFonts w:ascii="Arial" w:hAnsi="Arial" w:cs="Arial"/>
          <w:sz w:val="22"/>
          <w:szCs w:val="22"/>
          <w:lang w:val="fr-FR"/>
        </w:rPr>
        <w:t>instrument, uniquement à l</w:t>
      </w:r>
      <w:r w:rsidR="00E84189">
        <w:rPr>
          <w:rFonts w:ascii="Arial" w:hAnsi="Arial" w:cs="Arial"/>
          <w:sz w:val="22"/>
          <w:szCs w:val="22"/>
          <w:lang w:val="fr-FR"/>
        </w:rPr>
        <w:t>’</w:t>
      </w:r>
      <w:r w:rsidRPr="00953B52">
        <w:rPr>
          <w:rFonts w:ascii="Arial" w:hAnsi="Arial" w:cs="Arial"/>
          <w:sz w:val="22"/>
          <w:szCs w:val="22"/>
          <w:lang w:val="fr-FR"/>
        </w:rPr>
        <w:t>office des brevets où sera effectué le premier dép</w:t>
      </w:r>
      <w:r w:rsidR="0003571D" w:rsidRPr="00953B52">
        <w:rPr>
          <w:rFonts w:ascii="Arial" w:hAnsi="Arial" w:cs="Arial"/>
          <w:sz w:val="22"/>
          <w:szCs w:val="22"/>
          <w:lang w:val="fr-FR"/>
        </w:rPr>
        <w:t>ôt</w:t>
      </w:r>
      <w:r w:rsidR="0003571D">
        <w:rPr>
          <w:rFonts w:ascii="Arial" w:hAnsi="Arial" w:cs="Arial"/>
          <w:sz w:val="22"/>
          <w:szCs w:val="22"/>
          <w:lang w:val="fr-FR"/>
        </w:rPr>
        <w:t xml:space="preserve">.  </w:t>
      </w:r>
      <w:r w:rsidR="0003571D" w:rsidRPr="00953B52">
        <w:rPr>
          <w:rFonts w:ascii="Arial" w:hAnsi="Arial" w:cs="Arial"/>
          <w:sz w:val="22"/>
          <w:szCs w:val="22"/>
          <w:lang w:val="fr-FR"/>
        </w:rPr>
        <w:t>Le</w:t>
      </w:r>
      <w:r w:rsidRPr="00953B52">
        <w:rPr>
          <w:rFonts w:ascii="Arial" w:hAnsi="Arial" w:cs="Arial"/>
          <w:sz w:val="22"/>
          <w:szCs w:val="22"/>
          <w:lang w:val="fr-FR"/>
        </w:rPr>
        <w:t>s déposants n</w:t>
      </w:r>
      <w:r w:rsidR="00E84189">
        <w:rPr>
          <w:rFonts w:ascii="Arial" w:hAnsi="Arial" w:cs="Arial"/>
          <w:sz w:val="22"/>
          <w:szCs w:val="22"/>
          <w:lang w:val="fr-FR"/>
        </w:rPr>
        <w:t>’</w:t>
      </w:r>
      <w:r w:rsidRPr="00953B52">
        <w:rPr>
          <w:rFonts w:ascii="Arial" w:hAnsi="Arial" w:cs="Arial"/>
          <w:sz w:val="22"/>
          <w:szCs w:val="22"/>
          <w:lang w:val="fr-FR"/>
        </w:rPr>
        <w:t>auraient pas besoin de présenter une nouvelle fois ces mêmes informations aux offices des brevets de pays où ils demanderaient une protection puisque les informations présentées au premier office seront partagées entre toutes les parties à l</w:t>
      </w:r>
      <w:r w:rsidR="00E84189">
        <w:rPr>
          <w:rFonts w:ascii="Arial" w:hAnsi="Arial" w:cs="Arial"/>
          <w:sz w:val="22"/>
          <w:szCs w:val="22"/>
          <w:lang w:val="fr-FR"/>
        </w:rPr>
        <w:t>’</w:t>
      </w:r>
      <w:r w:rsidRPr="00953B52">
        <w:rPr>
          <w:rFonts w:ascii="Arial" w:hAnsi="Arial" w:cs="Arial"/>
          <w:sz w:val="22"/>
          <w:szCs w:val="22"/>
          <w:lang w:val="fr-FR"/>
        </w:rPr>
        <w:t>instrument.</w:t>
      </w:r>
    </w:p>
    <w:p w:rsidR="00CC5DF6" w:rsidRPr="00953B52" w:rsidRDefault="00CC5DF6" w:rsidP="00234673">
      <w:pPr>
        <w:pStyle w:val="ListParagraph"/>
        <w:numPr>
          <w:ilvl w:val="0"/>
          <w:numId w:val="19"/>
        </w:numPr>
        <w:spacing w:line="240" w:lineRule="auto"/>
        <w:ind w:left="1134" w:hanging="567"/>
        <w:rPr>
          <w:rFonts w:ascii="Arial" w:hAnsi="Arial" w:cs="Arial"/>
          <w:sz w:val="22"/>
          <w:szCs w:val="22"/>
          <w:lang w:val="fr-FR"/>
        </w:rPr>
      </w:pPr>
      <w:r w:rsidRPr="00953B52">
        <w:rPr>
          <w:rFonts w:ascii="Arial" w:hAnsi="Arial" w:cs="Arial"/>
          <w:b/>
          <w:sz w:val="22"/>
          <w:szCs w:val="22"/>
          <w:lang w:val="fr-FR"/>
        </w:rPr>
        <w:t>Pour les examinateurs de brevets</w:t>
      </w:r>
      <w:r w:rsidRPr="00953B52">
        <w:rPr>
          <w:rFonts w:ascii="Arial" w:hAnsi="Arial" w:cs="Arial"/>
          <w:sz w:val="22"/>
          <w:szCs w:val="22"/>
          <w:lang w:val="fr-FR"/>
        </w:rPr>
        <w:t>, le système allégerait les démarches administratives puisqu</w:t>
      </w:r>
      <w:r w:rsidR="00E84189">
        <w:rPr>
          <w:rFonts w:ascii="Arial" w:hAnsi="Arial" w:cs="Arial"/>
          <w:sz w:val="22"/>
          <w:szCs w:val="22"/>
          <w:lang w:val="fr-FR"/>
        </w:rPr>
        <w:t>’</w:t>
      </w:r>
      <w:r w:rsidRPr="00953B52">
        <w:rPr>
          <w:rFonts w:ascii="Arial" w:hAnsi="Arial" w:cs="Arial"/>
          <w:sz w:val="22"/>
          <w:szCs w:val="22"/>
          <w:lang w:val="fr-FR"/>
        </w:rPr>
        <w:t>ils ne devraient pas vérifier une nouvelle fois si les informations présentées au premier office correspondent aux informations spécifiées dans l</w:t>
      </w:r>
      <w:r w:rsidR="00E84189">
        <w:rPr>
          <w:rFonts w:ascii="Arial" w:hAnsi="Arial" w:cs="Arial"/>
          <w:sz w:val="22"/>
          <w:szCs w:val="22"/>
          <w:lang w:val="fr-FR"/>
        </w:rPr>
        <w:t>’</w:t>
      </w:r>
      <w:r w:rsidRPr="00953B52">
        <w:rPr>
          <w:rFonts w:ascii="Arial" w:hAnsi="Arial" w:cs="Arial"/>
          <w:sz w:val="22"/>
          <w:szCs w:val="22"/>
          <w:lang w:val="fr-FR"/>
        </w:rPr>
        <w:t>instrument.</w:t>
      </w:r>
    </w:p>
    <w:p w:rsidR="00900FCF" w:rsidRDefault="00CC5DF6" w:rsidP="005C0BD9">
      <w:pPr>
        <w:rPr>
          <w:szCs w:val="22"/>
          <w:lang w:val="fr-FR"/>
        </w:rPr>
      </w:pPr>
      <w:r w:rsidRPr="00953B52">
        <w:rPr>
          <w:szCs w:val="22"/>
          <w:lang w:val="fr-FR"/>
        </w:rPr>
        <w:t xml:space="preserve">Voir, en </w:t>
      </w:r>
      <w:r w:rsidR="008D2CAF">
        <w:rPr>
          <w:szCs w:val="22"/>
          <w:lang w:val="fr-FR"/>
        </w:rPr>
        <w:t>a</w:t>
      </w:r>
      <w:r w:rsidRPr="00953B52">
        <w:rPr>
          <w:szCs w:val="22"/>
          <w:lang w:val="fr-FR"/>
        </w:rPr>
        <w:t>ppendice, le projet de texte proposé sur le système d</w:t>
      </w:r>
      <w:r w:rsidR="00E84189">
        <w:rPr>
          <w:szCs w:val="22"/>
          <w:lang w:val="fr-FR"/>
        </w:rPr>
        <w:t>’</w:t>
      </w:r>
      <w:r w:rsidRPr="00953B52">
        <w:rPr>
          <w:szCs w:val="22"/>
          <w:lang w:val="fr-FR"/>
        </w:rPr>
        <w:t>information international.</w:t>
      </w:r>
    </w:p>
    <w:p w:rsidR="003A25F1" w:rsidRPr="00594BBC" w:rsidRDefault="003A25F1" w:rsidP="00451DEF">
      <w:pPr>
        <w:pStyle w:val="Endofdocument-Annex"/>
        <w:spacing w:before="720"/>
        <w:rPr>
          <w:szCs w:val="22"/>
          <w:lang w:val="fr-CH"/>
        </w:rPr>
      </w:pPr>
      <w:r w:rsidRPr="00594BBC">
        <w:rPr>
          <w:lang w:val="fr-CH"/>
        </w:rPr>
        <w:t>[L</w:t>
      </w:r>
      <w:r w:rsidR="00E84189">
        <w:rPr>
          <w:lang w:val="fr-CH"/>
        </w:rPr>
        <w:t>’</w:t>
      </w:r>
      <w:r w:rsidRPr="00594BBC">
        <w:rPr>
          <w:lang w:val="fr-CH"/>
        </w:rPr>
        <w:t>appendice suit]</w:t>
      </w:r>
    </w:p>
    <w:p w:rsidR="003A25F1" w:rsidRPr="00953B52" w:rsidRDefault="003A25F1" w:rsidP="005C0BD9">
      <w:pPr>
        <w:rPr>
          <w:szCs w:val="22"/>
          <w:lang w:val="fr-FR"/>
        </w:rPr>
        <w:sectPr w:rsidR="003A25F1" w:rsidRPr="00953B52" w:rsidSect="00D85854">
          <w:headerReference w:type="even" r:id="rId1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CC5DF6" w:rsidRPr="00234673" w:rsidRDefault="00E74831" w:rsidP="005C0BD9">
      <w:pPr>
        <w:rPr>
          <w:rFonts w:eastAsiaTheme="majorEastAsia"/>
          <w:color w:val="262626" w:themeColor="text1" w:themeTint="D9"/>
          <w:szCs w:val="22"/>
          <w:lang w:val="fr-FR"/>
        </w:rPr>
      </w:pPr>
      <w:hyperlink w:anchor="_Toc29215907" w:history="1">
        <w:r w:rsidR="00CC5DF6" w:rsidRPr="00953B52">
          <w:rPr>
            <w:rFonts w:eastAsiaTheme="majorEastAsia"/>
            <w:b/>
            <w:color w:val="262626" w:themeColor="text1" w:themeTint="D9"/>
            <w:szCs w:val="22"/>
            <w:lang w:val="fr-FR"/>
          </w:rPr>
          <w:t xml:space="preserve">Appendice </w:t>
        </w:r>
      </w:hyperlink>
      <w:r w:rsidR="00CC5DF6" w:rsidRPr="00953B52">
        <w:rPr>
          <w:rFonts w:eastAsiaTheme="majorEastAsia"/>
          <w:b/>
          <w:color w:val="262626" w:themeColor="text1" w:themeTint="D9"/>
          <w:szCs w:val="22"/>
          <w:lang w:val="fr-FR"/>
        </w:rPr>
        <w:t xml:space="preserve">– </w:t>
      </w:r>
      <w:r w:rsidR="00CC5DF6" w:rsidRPr="00953B52">
        <w:rPr>
          <w:rFonts w:eastAsiaTheme="majorEastAsia"/>
          <w:color w:val="262626" w:themeColor="text1" w:themeTint="D9"/>
          <w:szCs w:val="22"/>
          <w:lang w:val="fr-FR"/>
        </w:rPr>
        <w:t>Projets de texte proposés sur la clause de réciprocité et le système d</w:t>
      </w:r>
      <w:r w:rsidR="00E84189">
        <w:rPr>
          <w:rFonts w:eastAsiaTheme="majorEastAsia"/>
          <w:color w:val="262626" w:themeColor="text1" w:themeTint="D9"/>
          <w:szCs w:val="22"/>
          <w:lang w:val="fr-FR"/>
        </w:rPr>
        <w:t>’</w:t>
      </w:r>
      <w:r w:rsidR="00CC5DF6" w:rsidRPr="00953B52">
        <w:rPr>
          <w:rFonts w:eastAsiaTheme="majorEastAsia"/>
          <w:color w:val="262626" w:themeColor="text1" w:themeTint="D9"/>
          <w:szCs w:val="22"/>
          <w:lang w:val="fr-FR"/>
        </w:rPr>
        <w:t>information international</w:t>
      </w:r>
    </w:p>
    <w:p w:rsidR="00CC5DF6" w:rsidRPr="00234673" w:rsidRDefault="00CC5DF6" w:rsidP="00234673">
      <w:pPr>
        <w:rPr>
          <w:szCs w:val="22"/>
          <w:lang w:val="fr-FR"/>
        </w:rPr>
      </w:pPr>
    </w:p>
    <w:p w:rsidR="00CC5DF6" w:rsidRPr="00953B52" w:rsidRDefault="00CC5DF6" w:rsidP="005C0BD9">
      <w:pPr>
        <w:rPr>
          <w:szCs w:val="22"/>
          <w:lang w:val="fr-FR"/>
        </w:rPr>
      </w:pPr>
      <w:r w:rsidRPr="00953B52">
        <w:rPr>
          <w:szCs w:val="22"/>
          <w:lang w:val="fr-FR"/>
        </w:rPr>
        <w:t>Les projets de texte suivants exposent les deux</w:t>
      </w:r>
      <w:r w:rsidR="00095B51">
        <w:rPr>
          <w:szCs w:val="22"/>
          <w:lang w:val="fr-FR"/>
        </w:rPr>
        <w:t> </w:t>
      </w:r>
      <w:r w:rsidRPr="00953B52">
        <w:rPr>
          <w:szCs w:val="22"/>
          <w:lang w:val="fr-FR"/>
        </w:rPr>
        <w:t>nouvelles idées présentées dans ce docume</w:t>
      </w:r>
      <w:r w:rsidR="0003571D" w:rsidRPr="00953B52">
        <w:rPr>
          <w:szCs w:val="22"/>
          <w:lang w:val="fr-FR"/>
        </w:rPr>
        <w:t>nt</w:t>
      </w:r>
      <w:r w:rsidR="0003571D">
        <w:rPr>
          <w:szCs w:val="22"/>
          <w:lang w:val="fr-FR"/>
        </w:rPr>
        <w:t xml:space="preserve">.  </w:t>
      </w:r>
      <w:r w:rsidR="0003571D" w:rsidRPr="00953B52">
        <w:rPr>
          <w:szCs w:val="22"/>
          <w:lang w:val="fr-FR"/>
        </w:rPr>
        <w:t>Il</w:t>
      </w:r>
      <w:r w:rsidRPr="00953B52">
        <w:rPr>
          <w:szCs w:val="22"/>
          <w:lang w:val="fr-FR"/>
        </w:rPr>
        <w:t xml:space="preserve">s font référence aux articles figurant dans le texte du </w:t>
      </w:r>
      <w:r w:rsidR="008D2CAF">
        <w:rPr>
          <w:szCs w:val="22"/>
          <w:lang w:val="fr-FR"/>
        </w:rPr>
        <w:t>p</w:t>
      </w:r>
      <w:r w:rsidRPr="00953B52">
        <w:rPr>
          <w:szCs w:val="22"/>
          <w:lang w:val="fr-FR"/>
        </w:rPr>
        <w:t>résident et il convient de les lire en regard de ce texte.</w:t>
      </w:r>
    </w:p>
    <w:p w:rsidR="00CC5DF6" w:rsidRPr="00953B52" w:rsidRDefault="00CC5DF6" w:rsidP="005C0BD9">
      <w:pPr>
        <w:rPr>
          <w:szCs w:val="22"/>
          <w:lang w:val="fr-FR"/>
        </w:rPr>
      </w:pPr>
    </w:p>
    <w:p w:rsidR="00CC5DF6" w:rsidRPr="00953B52" w:rsidRDefault="00CC5DF6" w:rsidP="005C0BD9">
      <w:pPr>
        <w:pStyle w:val="Default"/>
        <w:jc w:val="center"/>
        <w:rPr>
          <w:rFonts w:ascii="Arial" w:hAnsi="Arial" w:cs="Arial"/>
          <w:bCs/>
          <w:color w:val="auto"/>
          <w:sz w:val="22"/>
          <w:szCs w:val="22"/>
          <w:lang w:val="fr-FR"/>
        </w:rPr>
      </w:pPr>
    </w:p>
    <w:p w:rsidR="00CC5DF6" w:rsidRPr="00421A8D" w:rsidRDefault="00CC5DF6" w:rsidP="005C0BD9">
      <w:pPr>
        <w:autoSpaceDE w:val="0"/>
        <w:autoSpaceDN w:val="0"/>
        <w:adjustRightInd w:val="0"/>
        <w:jc w:val="center"/>
        <w:rPr>
          <w:b/>
          <w:szCs w:val="22"/>
          <w:u w:val="single"/>
          <w:lang w:val="fr-FR"/>
        </w:rPr>
      </w:pPr>
      <w:r w:rsidRPr="00421A8D">
        <w:rPr>
          <w:b/>
          <w:bCs/>
          <w:szCs w:val="22"/>
          <w:u w:val="single"/>
          <w:lang w:val="fr-FR"/>
        </w:rPr>
        <w:t>ARTICLE</w:t>
      </w:r>
      <w:r w:rsidR="00626B5E" w:rsidRPr="00421A8D">
        <w:rPr>
          <w:b/>
          <w:bCs/>
          <w:szCs w:val="22"/>
          <w:u w:val="single"/>
          <w:lang w:val="fr-FR"/>
        </w:rPr>
        <w:t> </w:t>
      </w:r>
      <w:r w:rsidRPr="00421A8D">
        <w:rPr>
          <w:b/>
          <w:bCs/>
          <w:szCs w:val="22"/>
          <w:u w:val="single"/>
          <w:lang w:val="fr-FR"/>
        </w:rPr>
        <w:t>5</w:t>
      </w:r>
    </w:p>
    <w:p w:rsidR="00CC5DF6" w:rsidRPr="00953B52" w:rsidRDefault="00CC5DF6" w:rsidP="005C0BD9">
      <w:pPr>
        <w:autoSpaceDE w:val="0"/>
        <w:autoSpaceDN w:val="0"/>
        <w:adjustRightInd w:val="0"/>
        <w:jc w:val="center"/>
        <w:rPr>
          <w:szCs w:val="22"/>
          <w:lang w:val="fr-FR"/>
        </w:rPr>
      </w:pPr>
      <w:r w:rsidRPr="00421A8D">
        <w:rPr>
          <w:b/>
          <w:bCs/>
          <w:szCs w:val="22"/>
          <w:u w:val="single"/>
          <w:lang w:val="fr-FR"/>
        </w:rPr>
        <w:t>NON</w:t>
      </w:r>
      <w:r w:rsidR="000B2FBE" w:rsidRPr="00421A8D">
        <w:rPr>
          <w:b/>
          <w:bCs/>
          <w:szCs w:val="22"/>
          <w:u w:val="single"/>
          <w:lang w:val="fr-FR"/>
        </w:rPr>
        <w:noBreakHyphen/>
      </w:r>
      <w:r w:rsidRPr="00421A8D">
        <w:rPr>
          <w:b/>
          <w:bCs/>
          <w:szCs w:val="22"/>
          <w:u w:val="single"/>
          <w:lang w:val="fr-FR"/>
        </w:rPr>
        <w:t xml:space="preserve">RÉTROACTIVITÉ </w:t>
      </w:r>
      <w:r w:rsidRPr="00953B52">
        <w:rPr>
          <w:b/>
          <w:bCs/>
          <w:color w:val="000000" w:themeColor="text1"/>
          <w:szCs w:val="22"/>
          <w:u w:val="single"/>
          <w:lang w:val="fr-FR"/>
        </w:rPr>
        <w:t>ET RÉCIPROCITÉ</w:t>
      </w:r>
    </w:p>
    <w:p w:rsidR="00CC5DF6" w:rsidRPr="00953B52" w:rsidRDefault="00CC5DF6" w:rsidP="005C0BD9">
      <w:pPr>
        <w:rPr>
          <w:szCs w:val="22"/>
          <w:lang w:val="fr-FR"/>
        </w:rPr>
      </w:pPr>
      <w:r w:rsidRPr="00953B52">
        <w:rPr>
          <w:szCs w:val="22"/>
          <w:lang w:val="fr-FR"/>
        </w:rPr>
        <w:t>…</w:t>
      </w:r>
    </w:p>
    <w:p w:rsidR="00CC5DF6" w:rsidRPr="00953B52" w:rsidRDefault="00CC5DF6" w:rsidP="00234673">
      <w:pPr>
        <w:tabs>
          <w:tab w:val="left" w:pos="1134"/>
        </w:tabs>
        <w:rPr>
          <w:b/>
          <w:color w:val="000000" w:themeColor="text1"/>
          <w:szCs w:val="22"/>
          <w:u w:val="single"/>
          <w:lang w:val="fr-FR"/>
        </w:rPr>
      </w:pPr>
      <w:r w:rsidRPr="00953B52">
        <w:rPr>
          <w:b/>
          <w:color w:val="000000" w:themeColor="text1"/>
          <w:szCs w:val="22"/>
          <w:u w:val="single"/>
          <w:lang w:val="fr-FR"/>
        </w:rPr>
        <w:t>5</w:t>
      </w:r>
      <w:r w:rsidR="00234673">
        <w:rPr>
          <w:b/>
          <w:color w:val="000000" w:themeColor="text1"/>
          <w:szCs w:val="22"/>
          <w:u w:val="single"/>
          <w:lang w:val="fr-FR"/>
        </w:rPr>
        <w:t>.</w:t>
      </w:r>
      <w:r w:rsidRPr="00953B52">
        <w:rPr>
          <w:b/>
          <w:color w:val="000000" w:themeColor="text1"/>
          <w:szCs w:val="22"/>
          <w:u w:val="single"/>
          <w:lang w:val="fr-FR"/>
        </w:rPr>
        <w:t xml:space="preserve">2 </w:t>
      </w:r>
      <w:r w:rsidR="00234673">
        <w:rPr>
          <w:b/>
          <w:color w:val="000000" w:themeColor="text1"/>
          <w:szCs w:val="22"/>
          <w:u w:val="single"/>
          <w:lang w:val="fr-FR"/>
        </w:rPr>
        <w:tab/>
      </w:r>
      <w:r w:rsidRPr="00953B52">
        <w:rPr>
          <w:b/>
          <w:color w:val="000000" w:themeColor="text1"/>
          <w:szCs w:val="22"/>
          <w:u w:val="single"/>
          <w:lang w:val="fr-FR"/>
        </w:rPr>
        <w:t>Les parties contractantes pourront appliquer l</w:t>
      </w:r>
      <w:r w:rsidR="00E84189">
        <w:rPr>
          <w:b/>
          <w:color w:val="000000" w:themeColor="text1"/>
          <w:szCs w:val="22"/>
          <w:u w:val="single"/>
          <w:lang w:val="fr-FR"/>
        </w:rPr>
        <w:t>’</w:t>
      </w:r>
      <w:r w:rsidRPr="00953B52">
        <w:rPr>
          <w:b/>
          <w:color w:val="000000" w:themeColor="text1"/>
          <w:szCs w:val="22"/>
          <w:u w:val="single"/>
          <w:lang w:val="fr-FR"/>
        </w:rPr>
        <w:t>exigence de divulgation spécifiée à l</w:t>
      </w:r>
      <w:r w:rsidR="00E84189">
        <w:rPr>
          <w:b/>
          <w:color w:val="000000" w:themeColor="text1"/>
          <w:szCs w:val="22"/>
          <w:u w:val="single"/>
          <w:lang w:val="fr-FR"/>
        </w:rPr>
        <w:t>’</w:t>
      </w:r>
      <w:r w:rsidR="00546B53" w:rsidRPr="00953B52">
        <w:rPr>
          <w:b/>
          <w:color w:val="000000" w:themeColor="text1"/>
          <w:szCs w:val="22"/>
          <w:u w:val="single"/>
          <w:lang w:val="fr-FR"/>
        </w:rPr>
        <w:t>article</w:t>
      </w:r>
      <w:r w:rsidR="00546B53">
        <w:rPr>
          <w:b/>
          <w:color w:val="000000" w:themeColor="text1"/>
          <w:szCs w:val="22"/>
          <w:u w:val="single"/>
          <w:lang w:val="fr-FR"/>
        </w:rPr>
        <w:t> </w:t>
      </w:r>
      <w:r w:rsidR="00546B53" w:rsidRPr="00953B52">
        <w:rPr>
          <w:b/>
          <w:color w:val="000000" w:themeColor="text1"/>
          <w:szCs w:val="22"/>
          <w:u w:val="single"/>
          <w:lang w:val="fr-FR"/>
        </w:rPr>
        <w:t>3</w:t>
      </w:r>
      <w:r w:rsidRPr="00953B52">
        <w:rPr>
          <w:b/>
          <w:color w:val="000000" w:themeColor="text1"/>
          <w:szCs w:val="22"/>
          <w:u w:val="single"/>
          <w:lang w:val="fr-FR"/>
        </w:rPr>
        <w:t xml:space="preserve"> uniquement à des ressources génétiques et à des savoirs traditionnels associés à des ressources génétiques de parties au présent document.</w:t>
      </w:r>
    </w:p>
    <w:p w:rsidR="00CC5DF6" w:rsidRPr="00953B52" w:rsidRDefault="00CC5DF6" w:rsidP="005C0BD9">
      <w:pPr>
        <w:rPr>
          <w:szCs w:val="22"/>
          <w:lang w:val="fr-FR"/>
        </w:rPr>
      </w:pPr>
    </w:p>
    <w:p w:rsidR="00CC5DF6" w:rsidRPr="00953B52" w:rsidRDefault="00CC5DF6" w:rsidP="005C0BD9">
      <w:pPr>
        <w:rPr>
          <w:szCs w:val="22"/>
          <w:lang w:val="fr-FR"/>
        </w:rPr>
      </w:pPr>
    </w:p>
    <w:p w:rsidR="00CC5DF6" w:rsidRPr="00953B52" w:rsidRDefault="00CC5DF6" w:rsidP="005C0BD9">
      <w:pPr>
        <w:pStyle w:val="Default"/>
        <w:jc w:val="center"/>
        <w:rPr>
          <w:rFonts w:ascii="Arial" w:hAnsi="Arial" w:cs="Arial"/>
          <w:b/>
          <w:color w:val="000000" w:themeColor="text1"/>
          <w:sz w:val="22"/>
          <w:szCs w:val="22"/>
          <w:u w:val="single"/>
          <w:lang w:val="fr-FR"/>
        </w:rPr>
      </w:pPr>
      <w:r w:rsidRPr="00953B52">
        <w:rPr>
          <w:rFonts w:ascii="Arial" w:hAnsi="Arial" w:cs="Arial"/>
          <w:b/>
          <w:bCs/>
          <w:color w:val="000000" w:themeColor="text1"/>
          <w:sz w:val="22"/>
          <w:szCs w:val="22"/>
          <w:u w:val="single"/>
          <w:lang w:val="fr-FR"/>
        </w:rPr>
        <w:t>ARTICLE 7</w:t>
      </w:r>
      <w:r w:rsidRPr="00502EE7">
        <w:rPr>
          <w:rFonts w:ascii="Arial" w:hAnsi="Arial"/>
          <w:b/>
          <w:i/>
          <w:color w:val="000000" w:themeColor="text1"/>
          <w:sz w:val="22"/>
          <w:u w:val="single"/>
          <w:lang w:val="fr-FR"/>
        </w:rPr>
        <w:t>bis</w:t>
      </w:r>
    </w:p>
    <w:p w:rsidR="00CC5DF6" w:rsidRPr="00953B52" w:rsidRDefault="00CC5DF6" w:rsidP="005C0BD9">
      <w:pPr>
        <w:pStyle w:val="Default"/>
        <w:jc w:val="center"/>
        <w:rPr>
          <w:rFonts w:ascii="Arial" w:hAnsi="Arial" w:cs="Arial"/>
          <w:b/>
          <w:bCs/>
          <w:color w:val="000000" w:themeColor="text1"/>
          <w:sz w:val="22"/>
          <w:szCs w:val="22"/>
          <w:u w:val="single"/>
          <w:lang w:val="fr-FR"/>
        </w:rPr>
      </w:pPr>
      <w:r w:rsidRPr="00953B52">
        <w:rPr>
          <w:rFonts w:ascii="Arial" w:hAnsi="Arial" w:cs="Arial"/>
          <w:b/>
          <w:bCs/>
          <w:color w:val="000000" w:themeColor="text1"/>
          <w:sz w:val="22"/>
          <w:szCs w:val="22"/>
          <w:u w:val="single"/>
          <w:lang w:val="fr-FR"/>
        </w:rPr>
        <w:t>SYSTÈME D</w:t>
      </w:r>
      <w:r w:rsidR="00E84189">
        <w:rPr>
          <w:rFonts w:ascii="Arial" w:hAnsi="Arial" w:cs="Arial"/>
          <w:b/>
          <w:bCs/>
          <w:color w:val="000000" w:themeColor="text1"/>
          <w:sz w:val="22"/>
          <w:szCs w:val="22"/>
          <w:u w:val="single"/>
          <w:lang w:val="fr-FR"/>
        </w:rPr>
        <w:t>’</w:t>
      </w:r>
      <w:r w:rsidRPr="00953B52">
        <w:rPr>
          <w:rFonts w:ascii="Arial" w:hAnsi="Arial" w:cs="Arial"/>
          <w:b/>
          <w:bCs/>
          <w:color w:val="000000" w:themeColor="text1"/>
          <w:sz w:val="22"/>
          <w:szCs w:val="22"/>
          <w:u w:val="single"/>
          <w:lang w:val="fr-FR"/>
        </w:rPr>
        <w:t>INFORMATION INTERNATIONAL</w:t>
      </w:r>
    </w:p>
    <w:p w:rsidR="00CC5DF6" w:rsidRPr="00953B52" w:rsidRDefault="00CC5DF6" w:rsidP="005C0BD9">
      <w:pPr>
        <w:pStyle w:val="Default"/>
        <w:spacing w:after="160"/>
        <w:jc w:val="center"/>
        <w:rPr>
          <w:rFonts w:ascii="Arial" w:hAnsi="Arial" w:cs="Arial"/>
          <w:b/>
          <w:color w:val="000000" w:themeColor="text1"/>
          <w:sz w:val="22"/>
          <w:szCs w:val="22"/>
          <w:u w:val="single"/>
          <w:lang w:val="fr-FR"/>
        </w:rPr>
      </w:pPr>
    </w:p>
    <w:p w:rsidR="00CC5DF6" w:rsidRPr="00953B52" w:rsidRDefault="00CC5DF6" w:rsidP="005C0BD9">
      <w:pPr>
        <w:rPr>
          <w:b/>
          <w:color w:val="000000" w:themeColor="text1"/>
          <w:szCs w:val="22"/>
          <w:u w:val="single"/>
          <w:lang w:val="fr-FR"/>
        </w:rPr>
      </w:pPr>
      <w:r w:rsidRPr="00953B52">
        <w:rPr>
          <w:b/>
          <w:color w:val="000000" w:themeColor="text1"/>
          <w:szCs w:val="22"/>
          <w:u w:val="single"/>
          <w:lang w:val="fr-FR"/>
        </w:rPr>
        <w:t>7</w:t>
      </w:r>
      <w:r w:rsidRPr="00502EE7">
        <w:rPr>
          <w:b/>
          <w:i/>
          <w:color w:val="000000" w:themeColor="text1"/>
          <w:u w:val="single"/>
          <w:lang w:val="fr-FR"/>
        </w:rPr>
        <w:t>bis</w:t>
      </w:r>
      <w:r w:rsidRPr="00953B52">
        <w:rPr>
          <w:b/>
          <w:color w:val="000000" w:themeColor="text1"/>
          <w:szCs w:val="22"/>
          <w:u w:val="single"/>
          <w:lang w:val="fr-FR"/>
        </w:rPr>
        <w:t xml:space="preserve">.1 </w:t>
      </w:r>
      <w:r w:rsidRPr="00953B52">
        <w:rPr>
          <w:b/>
          <w:color w:val="000000" w:themeColor="text1"/>
          <w:szCs w:val="22"/>
          <w:u w:val="single"/>
          <w:lang w:val="fr-FR"/>
        </w:rPr>
        <w:tab/>
        <w:t>Il est créé un système d</w:t>
      </w:r>
      <w:r w:rsidR="00E84189">
        <w:rPr>
          <w:b/>
          <w:color w:val="000000" w:themeColor="text1"/>
          <w:szCs w:val="22"/>
          <w:u w:val="single"/>
          <w:lang w:val="fr-FR"/>
        </w:rPr>
        <w:t>’</w:t>
      </w:r>
      <w:r w:rsidRPr="00953B52">
        <w:rPr>
          <w:b/>
          <w:color w:val="000000" w:themeColor="text1"/>
          <w:szCs w:val="22"/>
          <w:u w:val="single"/>
          <w:lang w:val="fr-FR"/>
        </w:rPr>
        <w:t>information international qui sera administré par le Secrétariat et assumera les fonctions suivantes</w:t>
      </w:r>
      <w:r w:rsidR="00E84189">
        <w:rPr>
          <w:b/>
          <w:color w:val="000000" w:themeColor="text1"/>
          <w:szCs w:val="22"/>
          <w:u w:val="single"/>
          <w:lang w:val="fr-FR"/>
        </w:rPr>
        <w:t> :</w:t>
      </w:r>
    </w:p>
    <w:p w:rsidR="00CC5DF6" w:rsidRPr="00953B52" w:rsidRDefault="00CC5DF6" w:rsidP="00234673">
      <w:pPr>
        <w:pStyle w:val="ListParagraph"/>
        <w:numPr>
          <w:ilvl w:val="0"/>
          <w:numId w:val="8"/>
        </w:numPr>
        <w:spacing w:line="240" w:lineRule="auto"/>
        <w:ind w:left="1701" w:hanging="567"/>
        <w:contextualSpacing w:val="0"/>
        <w:rPr>
          <w:rFonts w:ascii="Arial" w:hAnsi="Arial" w:cs="Arial"/>
          <w:b/>
          <w:color w:val="000000" w:themeColor="text1"/>
          <w:sz w:val="22"/>
          <w:szCs w:val="22"/>
          <w:u w:val="single"/>
          <w:lang w:val="fr-FR"/>
        </w:rPr>
      </w:pPr>
      <w:proofErr w:type="gramStart"/>
      <w:r w:rsidRPr="00953B52">
        <w:rPr>
          <w:rFonts w:ascii="Arial" w:hAnsi="Arial" w:cs="Arial"/>
          <w:b/>
          <w:color w:val="000000" w:themeColor="text1"/>
          <w:sz w:val="22"/>
          <w:szCs w:val="22"/>
          <w:u w:val="single"/>
          <w:lang w:val="fr-FR"/>
        </w:rPr>
        <w:t>permettre</w:t>
      </w:r>
      <w:proofErr w:type="gramEnd"/>
      <w:r w:rsidRPr="00953B52">
        <w:rPr>
          <w:rFonts w:ascii="Arial" w:hAnsi="Arial" w:cs="Arial"/>
          <w:b/>
          <w:color w:val="000000" w:themeColor="text1"/>
          <w:sz w:val="22"/>
          <w:szCs w:val="22"/>
          <w:u w:val="single"/>
          <w:lang w:val="fr-FR"/>
        </w:rPr>
        <w:t xml:space="preserve"> aux examinateurs de brevets de parties contractantes à cet instrument d</w:t>
      </w:r>
      <w:r w:rsidR="00E84189">
        <w:rPr>
          <w:rFonts w:ascii="Arial" w:hAnsi="Arial" w:cs="Arial"/>
          <w:b/>
          <w:color w:val="000000" w:themeColor="text1"/>
          <w:sz w:val="22"/>
          <w:szCs w:val="22"/>
          <w:u w:val="single"/>
          <w:lang w:val="fr-FR"/>
        </w:rPr>
        <w:t>’</w:t>
      </w:r>
      <w:r w:rsidRPr="00953B52">
        <w:rPr>
          <w:rFonts w:ascii="Arial" w:hAnsi="Arial" w:cs="Arial"/>
          <w:b/>
          <w:color w:val="000000" w:themeColor="text1"/>
          <w:sz w:val="22"/>
          <w:szCs w:val="22"/>
          <w:u w:val="single"/>
          <w:lang w:val="fr-FR"/>
        </w:rPr>
        <w:t>accéder aux systèmes d</w:t>
      </w:r>
      <w:r w:rsidR="00E84189">
        <w:rPr>
          <w:rFonts w:ascii="Arial" w:hAnsi="Arial" w:cs="Arial"/>
          <w:b/>
          <w:color w:val="000000" w:themeColor="text1"/>
          <w:sz w:val="22"/>
          <w:szCs w:val="22"/>
          <w:u w:val="single"/>
          <w:lang w:val="fr-FR"/>
        </w:rPr>
        <w:t>’</w:t>
      </w:r>
      <w:r w:rsidRPr="00953B52">
        <w:rPr>
          <w:rFonts w:ascii="Arial" w:hAnsi="Arial" w:cs="Arial"/>
          <w:b/>
          <w:color w:val="000000" w:themeColor="text1"/>
          <w:sz w:val="22"/>
          <w:szCs w:val="22"/>
          <w:u w:val="single"/>
          <w:lang w:val="fr-FR"/>
        </w:rPr>
        <w:t>information nationaux, créés conformément à l</w:t>
      </w:r>
      <w:r w:rsidR="00E84189">
        <w:rPr>
          <w:rFonts w:ascii="Arial" w:hAnsi="Arial" w:cs="Arial"/>
          <w:b/>
          <w:color w:val="000000" w:themeColor="text1"/>
          <w:sz w:val="22"/>
          <w:szCs w:val="22"/>
          <w:u w:val="single"/>
          <w:lang w:val="fr-FR"/>
        </w:rPr>
        <w:t>’</w:t>
      </w:r>
      <w:r w:rsidR="00546B53" w:rsidRPr="00953B52">
        <w:rPr>
          <w:rFonts w:ascii="Arial" w:hAnsi="Arial" w:cs="Arial"/>
          <w:b/>
          <w:color w:val="000000" w:themeColor="text1"/>
          <w:sz w:val="22"/>
          <w:szCs w:val="22"/>
          <w:u w:val="single"/>
          <w:lang w:val="fr-FR"/>
        </w:rPr>
        <w:t>article</w:t>
      </w:r>
      <w:r w:rsidR="00546B53">
        <w:rPr>
          <w:rFonts w:ascii="Arial" w:hAnsi="Arial" w:cs="Arial"/>
          <w:b/>
          <w:color w:val="000000" w:themeColor="text1"/>
          <w:sz w:val="22"/>
          <w:szCs w:val="22"/>
          <w:u w:val="single"/>
          <w:lang w:val="fr-FR"/>
        </w:rPr>
        <w:t> </w:t>
      </w:r>
      <w:r w:rsidR="00546B53" w:rsidRPr="00953B52">
        <w:rPr>
          <w:rFonts w:ascii="Arial" w:hAnsi="Arial" w:cs="Arial"/>
          <w:b/>
          <w:color w:val="000000" w:themeColor="text1"/>
          <w:sz w:val="22"/>
          <w:szCs w:val="22"/>
          <w:u w:val="single"/>
          <w:lang w:val="fr-FR"/>
        </w:rPr>
        <w:t>7</w:t>
      </w:r>
      <w:r w:rsidRPr="00953B52">
        <w:rPr>
          <w:rFonts w:ascii="Arial" w:hAnsi="Arial" w:cs="Arial"/>
          <w:b/>
          <w:color w:val="000000" w:themeColor="text1"/>
          <w:sz w:val="22"/>
          <w:szCs w:val="22"/>
          <w:u w:val="single"/>
          <w:lang w:val="fr-FR"/>
        </w:rPr>
        <w:t>, via une passerelle centralisée ou un portail en ligne;</w:t>
      </w:r>
    </w:p>
    <w:p w:rsidR="00CC5DF6" w:rsidRPr="00953B52" w:rsidRDefault="00CC5DF6" w:rsidP="00234673">
      <w:pPr>
        <w:pStyle w:val="ListParagraph"/>
        <w:numPr>
          <w:ilvl w:val="0"/>
          <w:numId w:val="8"/>
        </w:numPr>
        <w:spacing w:line="240" w:lineRule="auto"/>
        <w:ind w:left="1701" w:hanging="567"/>
        <w:contextualSpacing w:val="0"/>
        <w:rPr>
          <w:rFonts w:ascii="Arial" w:hAnsi="Arial" w:cs="Arial"/>
          <w:b/>
          <w:color w:val="000000" w:themeColor="text1"/>
          <w:sz w:val="22"/>
          <w:szCs w:val="22"/>
          <w:u w:val="single"/>
          <w:lang w:val="fr-FR"/>
        </w:rPr>
      </w:pPr>
      <w:proofErr w:type="gramStart"/>
      <w:r w:rsidRPr="00953B52">
        <w:rPr>
          <w:rFonts w:ascii="Arial" w:hAnsi="Arial" w:cs="Arial"/>
          <w:b/>
          <w:color w:val="000000" w:themeColor="text1"/>
          <w:sz w:val="22"/>
          <w:szCs w:val="22"/>
          <w:u w:val="single"/>
          <w:lang w:val="fr-FR"/>
        </w:rPr>
        <w:t>permettre</w:t>
      </w:r>
      <w:proofErr w:type="gramEnd"/>
      <w:r w:rsidRPr="00953B52">
        <w:rPr>
          <w:rFonts w:ascii="Arial" w:hAnsi="Arial" w:cs="Arial"/>
          <w:b/>
          <w:color w:val="000000" w:themeColor="text1"/>
          <w:sz w:val="22"/>
          <w:szCs w:val="22"/>
          <w:u w:val="single"/>
          <w:lang w:val="fr-FR"/>
        </w:rPr>
        <w:t xml:space="preserve"> le partage d</w:t>
      </w:r>
      <w:r w:rsidR="00E84189">
        <w:rPr>
          <w:rFonts w:ascii="Arial" w:hAnsi="Arial" w:cs="Arial"/>
          <w:b/>
          <w:color w:val="000000" w:themeColor="text1"/>
          <w:sz w:val="22"/>
          <w:szCs w:val="22"/>
          <w:u w:val="single"/>
          <w:lang w:val="fr-FR"/>
        </w:rPr>
        <w:t>’</w:t>
      </w:r>
      <w:r w:rsidRPr="00953B52">
        <w:rPr>
          <w:rFonts w:ascii="Arial" w:hAnsi="Arial" w:cs="Arial"/>
          <w:b/>
          <w:color w:val="000000" w:themeColor="text1"/>
          <w:sz w:val="22"/>
          <w:szCs w:val="22"/>
          <w:u w:val="single"/>
          <w:lang w:val="fr-FR"/>
        </w:rPr>
        <w:t>informations tel qu</w:t>
      </w:r>
      <w:r w:rsidR="00E84189">
        <w:rPr>
          <w:rFonts w:ascii="Arial" w:hAnsi="Arial" w:cs="Arial"/>
          <w:b/>
          <w:color w:val="000000" w:themeColor="text1"/>
          <w:sz w:val="22"/>
          <w:szCs w:val="22"/>
          <w:u w:val="single"/>
          <w:lang w:val="fr-FR"/>
        </w:rPr>
        <w:t>’</w:t>
      </w:r>
      <w:r w:rsidRPr="00953B52">
        <w:rPr>
          <w:rFonts w:ascii="Arial" w:hAnsi="Arial" w:cs="Arial"/>
          <w:b/>
          <w:color w:val="000000" w:themeColor="text1"/>
          <w:sz w:val="22"/>
          <w:szCs w:val="22"/>
          <w:u w:val="single"/>
          <w:lang w:val="fr-FR"/>
        </w:rPr>
        <w:t>énoncé à l</w:t>
      </w:r>
      <w:r w:rsidR="00E84189">
        <w:rPr>
          <w:rFonts w:ascii="Arial" w:hAnsi="Arial" w:cs="Arial"/>
          <w:b/>
          <w:color w:val="000000" w:themeColor="text1"/>
          <w:sz w:val="22"/>
          <w:szCs w:val="22"/>
          <w:u w:val="single"/>
          <w:lang w:val="fr-FR"/>
        </w:rPr>
        <w:t>’</w:t>
      </w:r>
      <w:r w:rsidR="00546B53" w:rsidRPr="00953B52">
        <w:rPr>
          <w:rFonts w:ascii="Arial" w:hAnsi="Arial" w:cs="Arial"/>
          <w:b/>
          <w:color w:val="000000" w:themeColor="text1"/>
          <w:sz w:val="22"/>
          <w:szCs w:val="22"/>
          <w:u w:val="single"/>
          <w:lang w:val="fr-FR"/>
        </w:rPr>
        <w:t>article</w:t>
      </w:r>
      <w:r w:rsidR="00546B53">
        <w:rPr>
          <w:rFonts w:ascii="Arial" w:hAnsi="Arial" w:cs="Arial"/>
          <w:b/>
          <w:color w:val="000000" w:themeColor="text1"/>
          <w:sz w:val="22"/>
          <w:szCs w:val="22"/>
          <w:u w:val="single"/>
          <w:lang w:val="fr-FR"/>
        </w:rPr>
        <w:t> </w:t>
      </w:r>
      <w:r w:rsidR="00546B53" w:rsidRPr="00953B52">
        <w:rPr>
          <w:rFonts w:ascii="Arial" w:hAnsi="Arial" w:cs="Arial"/>
          <w:b/>
          <w:color w:val="000000" w:themeColor="text1"/>
          <w:sz w:val="22"/>
          <w:szCs w:val="22"/>
          <w:u w:val="single"/>
          <w:lang w:val="fr-FR"/>
        </w:rPr>
        <w:t>3</w:t>
      </w:r>
      <w:r w:rsidRPr="00953B52">
        <w:rPr>
          <w:rFonts w:ascii="Arial" w:hAnsi="Arial" w:cs="Arial"/>
          <w:b/>
          <w:color w:val="000000" w:themeColor="text1"/>
          <w:sz w:val="22"/>
          <w:szCs w:val="22"/>
          <w:u w:val="single"/>
          <w:lang w:val="fr-FR"/>
        </w:rPr>
        <w:t xml:space="preserve"> avec toutes les autres parties contractantes à cet instrument.</w:t>
      </w:r>
    </w:p>
    <w:p w:rsidR="00546B53" w:rsidRDefault="00CC5DF6" w:rsidP="005C0BD9">
      <w:pPr>
        <w:rPr>
          <w:b/>
          <w:color w:val="000000" w:themeColor="text1"/>
          <w:szCs w:val="22"/>
          <w:u w:val="single"/>
          <w:lang w:val="fr-FR"/>
        </w:rPr>
      </w:pPr>
      <w:r w:rsidRPr="00953B52">
        <w:rPr>
          <w:b/>
          <w:color w:val="000000" w:themeColor="text1"/>
          <w:szCs w:val="22"/>
          <w:u w:val="single"/>
          <w:lang w:val="fr-FR"/>
        </w:rPr>
        <w:t>7</w:t>
      </w:r>
      <w:r w:rsidRPr="00502EE7">
        <w:rPr>
          <w:b/>
          <w:i/>
          <w:color w:val="000000" w:themeColor="text1"/>
          <w:u w:val="single"/>
          <w:lang w:val="fr-FR"/>
        </w:rPr>
        <w:t>bis</w:t>
      </w:r>
      <w:r w:rsidRPr="00953B52">
        <w:rPr>
          <w:b/>
          <w:color w:val="000000" w:themeColor="text1"/>
          <w:szCs w:val="22"/>
          <w:u w:val="single"/>
          <w:lang w:val="fr-FR"/>
        </w:rPr>
        <w:t xml:space="preserve">.2 </w:t>
      </w:r>
      <w:r w:rsidRPr="00953B52">
        <w:rPr>
          <w:b/>
          <w:color w:val="000000" w:themeColor="text1"/>
          <w:szCs w:val="22"/>
          <w:u w:val="single"/>
          <w:lang w:val="fr-FR"/>
        </w:rPr>
        <w:tab/>
        <w:t>Les offices de premier dépôt transmettront les informations énoncées à l</w:t>
      </w:r>
      <w:r w:rsidR="00E84189">
        <w:rPr>
          <w:b/>
          <w:color w:val="000000" w:themeColor="text1"/>
          <w:szCs w:val="22"/>
          <w:u w:val="single"/>
          <w:lang w:val="fr-FR"/>
        </w:rPr>
        <w:t>’</w:t>
      </w:r>
      <w:r w:rsidR="00546B53" w:rsidRPr="00953B52">
        <w:rPr>
          <w:b/>
          <w:color w:val="000000" w:themeColor="text1"/>
          <w:szCs w:val="22"/>
          <w:u w:val="single"/>
          <w:lang w:val="fr-FR"/>
        </w:rPr>
        <w:t>article</w:t>
      </w:r>
      <w:r w:rsidR="00546B53">
        <w:rPr>
          <w:b/>
          <w:color w:val="000000" w:themeColor="text1"/>
          <w:szCs w:val="22"/>
          <w:u w:val="single"/>
          <w:lang w:val="fr-FR"/>
        </w:rPr>
        <w:t> </w:t>
      </w:r>
      <w:r w:rsidR="00546B53" w:rsidRPr="00953B52">
        <w:rPr>
          <w:b/>
          <w:color w:val="000000" w:themeColor="text1"/>
          <w:szCs w:val="22"/>
          <w:u w:val="single"/>
          <w:lang w:val="fr-FR"/>
        </w:rPr>
        <w:t>3</w:t>
      </w:r>
      <w:r w:rsidRPr="00953B52">
        <w:rPr>
          <w:b/>
          <w:color w:val="000000" w:themeColor="text1"/>
          <w:szCs w:val="22"/>
          <w:u w:val="single"/>
          <w:lang w:val="fr-FR"/>
        </w:rPr>
        <w:t xml:space="preserve"> au système d</w:t>
      </w:r>
      <w:r w:rsidR="00E84189">
        <w:rPr>
          <w:b/>
          <w:color w:val="000000" w:themeColor="text1"/>
          <w:szCs w:val="22"/>
          <w:u w:val="single"/>
          <w:lang w:val="fr-FR"/>
        </w:rPr>
        <w:t>’</w:t>
      </w:r>
      <w:r w:rsidRPr="00953B52">
        <w:rPr>
          <w:b/>
          <w:color w:val="000000" w:themeColor="text1"/>
          <w:szCs w:val="22"/>
          <w:u w:val="single"/>
          <w:lang w:val="fr-FR"/>
        </w:rPr>
        <w:t>information international au plus tard à la date de publication de la demande de brevet.</w:t>
      </w:r>
    </w:p>
    <w:p w:rsidR="00CC5DF6" w:rsidRPr="00953B52" w:rsidRDefault="00CC5DF6" w:rsidP="005C0BD9">
      <w:pPr>
        <w:rPr>
          <w:b/>
          <w:color w:val="000000" w:themeColor="text1"/>
          <w:szCs w:val="22"/>
          <w:u w:val="single"/>
          <w:lang w:val="fr-FR"/>
        </w:rPr>
      </w:pPr>
      <w:r w:rsidRPr="00953B52">
        <w:rPr>
          <w:b/>
          <w:color w:val="000000" w:themeColor="text1"/>
          <w:szCs w:val="22"/>
          <w:u w:val="single"/>
          <w:lang w:val="fr-FR"/>
        </w:rPr>
        <w:t>7</w:t>
      </w:r>
      <w:r w:rsidRPr="00502EE7">
        <w:rPr>
          <w:b/>
          <w:i/>
          <w:color w:val="000000" w:themeColor="text1"/>
          <w:u w:val="single"/>
          <w:lang w:val="fr-FR"/>
        </w:rPr>
        <w:t>bis</w:t>
      </w:r>
      <w:r w:rsidRPr="00953B52">
        <w:rPr>
          <w:b/>
          <w:color w:val="000000" w:themeColor="text1"/>
          <w:szCs w:val="22"/>
          <w:u w:val="single"/>
          <w:lang w:val="fr-FR"/>
        </w:rPr>
        <w:t>.3</w:t>
      </w:r>
      <w:r w:rsidRPr="00953B52">
        <w:rPr>
          <w:b/>
          <w:color w:val="000000" w:themeColor="text1"/>
          <w:szCs w:val="22"/>
          <w:u w:val="single"/>
          <w:lang w:val="fr-FR"/>
        </w:rPr>
        <w:tab/>
        <w:t>Chaque partie contractante reconnaîtra les informations fournies par d</w:t>
      </w:r>
      <w:r w:rsidR="00E84189">
        <w:rPr>
          <w:b/>
          <w:color w:val="000000" w:themeColor="text1"/>
          <w:szCs w:val="22"/>
          <w:u w:val="single"/>
          <w:lang w:val="fr-FR"/>
        </w:rPr>
        <w:t>’</w:t>
      </w:r>
      <w:r w:rsidRPr="00953B52">
        <w:rPr>
          <w:b/>
          <w:color w:val="000000" w:themeColor="text1"/>
          <w:szCs w:val="22"/>
          <w:u w:val="single"/>
          <w:lang w:val="fr-FR"/>
        </w:rPr>
        <w:t>autres parties via le système d</w:t>
      </w:r>
      <w:r w:rsidR="00E84189">
        <w:rPr>
          <w:b/>
          <w:color w:val="000000" w:themeColor="text1"/>
          <w:szCs w:val="22"/>
          <w:u w:val="single"/>
          <w:lang w:val="fr-FR"/>
        </w:rPr>
        <w:t>’</w:t>
      </w:r>
      <w:r w:rsidRPr="00953B52">
        <w:rPr>
          <w:b/>
          <w:color w:val="000000" w:themeColor="text1"/>
          <w:szCs w:val="22"/>
          <w:u w:val="single"/>
          <w:lang w:val="fr-FR"/>
        </w:rPr>
        <w:t>information international comme étant suffisantes pour satisfaire à l</w:t>
      </w:r>
      <w:r w:rsidR="00E84189">
        <w:rPr>
          <w:b/>
          <w:color w:val="000000" w:themeColor="text1"/>
          <w:szCs w:val="22"/>
          <w:u w:val="single"/>
          <w:lang w:val="fr-FR"/>
        </w:rPr>
        <w:t>’</w:t>
      </w:r>
      <w:r w:rsidRPr="00953B52">
        <w:rPr>
          <w:b/>
          <w:color w:val="000000" w:themeColor="text1"/>
          <w:szCs w:val="22"/>
          <w:u w:val="single"/>
          <w:lang w:val="fr-FR"/>
        </w:rPr>
        <w:t>exigence de divulgation énoncée à l</w:t>
      </w:r>
      <w:r w:rsidR="00E84189">
        <w:rPr>
          <w:b/>
          <w:color w:val="000000" w:themeColor="text1"/>
          <w:szCs w:val="22"/>
          <w:u w:val="single"/>
          <w:lang w:val="fr-FR"/>
        </w:rPr>
        <w:t>’</w:t>
      </w:r>
      <w:r w:rsidR="00546B53" w:rsidRPr="00953B52">
        <w:rPr>
          <w:b/>
          <w:color w:val="000000" w:themeColor="text1"/>
          <w:szCs w:val="22"/>
          <w:u w:val="single"/>
          <w:lang w:val="fr-FR"/>
        </w:rPr>
        <w:t>article</w:t>
      </w:r>
      <w:r w:rsidR="00546B53">
        <w:rPr>
          <w:b/>
          <w:color w:val="000000" w:themeColor="text1"/>
          <w:szCs w:val="22"/>
          <w:u w:val="single"/>
          <w:lang w:val="fr-FR"/>
        </w:rPr>
        <w:t> </w:t>
      </w:r>
      <w:r w:rsidR="00546B53" w:rsidRPr="00953B52">
        <w:rPr>
          <w:b/>
          <w:color w:val="000000" w:themeColor="text1"/>
          <w:szCs w:val="22"/>
          <w:u w:val="single"/>
          <w:lang w:val="fr-FR"/>
        </w:rPr>
        <w:t>3</w:t>
      </w:r>
      <w:r w:rsidRPr="00953B52">
        <w:rPr>
          <w:b/>
          <w:color w:val="000000" w:themeColor="text1"/>
          <w:szCs w:val="22"/>
          <w:u w:val="single"/>
          <w:lang w:val="fr-FR"/>
        </w:rPr>
        <w:t>.</w:t>
      </w:r>
    </w:p>
    <w:p w:rsidR="00CC5DF6" w:rsidRPr="00953B52" w:rsidRDefault="00CC5DF6" w:rsidP="00AA54D1">
      <w:pPr>
        <w:pStyle w:val="Endofdocument-Annex"/>
        <w:spacing w:before="720"/>
        <w:rPr>
          <w:lang w:val="fr-FR"/>
        </w:rPr>
      </w:pPr>
      <w:r w:rsidRPr="00953B52">
        <w:rPr>
          <w:szCs w:val="22"/>
          <w:lang w:val="fr-FR"/>
        </w:rPr>
        <w:t>[Fin de l</w:t>
      </w:r>
      <w:r w:rsidR="00E84189">
        <w:rPr>
          <w:szCs w:val="22"/>
          <w:lang w:val="fr-FR"/>
        </w:rPr>
        <w:t>’</w:t>
      </w:r>
      <w:r w:rsidR="008D2CAF">
        <w:rPr>
          <w:szCs w:val="22"/>
          <w:lang w:val="fr-FR"/>
        </w:rPr>
        <w:t>a</w:t>
      </w:r>
      <w:r w:rsidRPr="00953B52">
        <w:rPr>
          <w:szCs w:val="22"/>
          <w:lang w:val="fr-FR"/>
        </w:rPr>
        <w:t>ppendice et du document]</w:t>
      </w:r>
    </w:p>
    <w:sectPr w:rsidR="00CC5DF6" w:rsidRPr="00953B52" w:rsidSect="00CC5DF6">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7FC" w:rsidRDefault="002657FC">
      <w:r>
        <w:separator/>
      </w:r>
    </w:p>
  </w:endnote>
  <w:endnote w:type="continuationSeparator" w:id="0">
    <w:p w:rsidR="002657FC" w:rsidRPr="009D30E6" w:rsidRDefault="002657FC" w:rsidP="00D45252">
      <w:pPr>
        <w:rPr>
          <w:sz w:val="17"/>
          <w:szCs w:val="17"/>
        </w:rPr>
      </w:pPr>
      <w:r w:rsidRPr="009D30E6">
        <w:rPr>
          <w:sz w:val="17"/>
          <w:szCs w:val="17"/>
        </w:rPr>
        <w:separator/>
      </w:r>
    </w:p>
    <w:p w:rsidR="002657FC" w:rsidRPr="009D30E6" w:rsidRDefault="002657FC" w:rsidP="00D45252">
      <w:pPr>
        <w:spacing w:after="60"/>
        <w:rPr>
          <w:sz w:val="17"/>
          <w:szCs w:val="17"/>
        </w:rPr>
      </w:pPr>
      <w:r w:rsidRPr="009D30E6">
        <w:rPr>
          <w:sz w:val="17"/>
          <w:szCs w:val="17"/>
        </w:rPr>
        <w:t>[Suite de la note de la page précédente]</w:t>
      </w:r>
    </w:p>
  </w:endnote>
  <w:endnote w:type="continuationNotice" w:id="1">
    <w:p w:rsidR="002657FC" w:rsidRPr="009D30E6" w:rsidRDefault="002657F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7FC" w:rsidRDefault="002657FC">
      <w:r>
        <w:separator/>
      </w:r>
    </w:p>
  </w:footnote>
  <w:footnote w:type="continuationSeparator" w:id="0">
    <w:p w:rsidR="002657FC" w:rsidRDefault="002657FC" w:rsidP="007461F1">
      <w:r>
        <w:separator/>
      </w:r>
    </w:p>
    <w:p w:rsidR="002657FC" w:rsidRPr="009D30E6" w:rsidRDefault="002657FC" w:rsidP="007461F1">
      <w:pPr>
        <w:spacing w:after="60"/>
        <w:rPr>
          <w:sz w:val="17"/>
          <w:szCs w:val="17"/>
        </w:rPr>
      </w:pPr>
      <w:r w:rsidRPr="009D30E6">
        <w:rPr>
          <w:sz w:val="17"/>
          <w:szCs w:val="17"/>
        </w:rPr>
        <w:t>[Suite de la note de la page précédente]</w:t>
      </w:r>
    </w:p>
  </w:footnote>
  <w:footnote w:type="continuationNotice" w:id="1">
    <w:p w:rsidR="002657FC" w:rsidRPr="009D30E6" w:rsidRDefault="002657FC" w:rsidP="007461F1">
      <w:pPr>
        <w:spacing w:before="60"/>
        <w:jc w:val="right"/>
        <w:rPr>
          <w:sz w:val="17"/>
          <w:szCs w:val="17"/>
        </w:rPr>
      </w:pPr>
      <w:r w:rsidRPr="009D30E6">
        <w:rPr>
          <w:sz w:val="17"/>
          <w:szCs w:val="17"/>
        </w:rPr>
        <w:t>[Suite de la note page suivante]</w:t>
      </w:r>
    </w:p>
  </w:footnote>
  <w:footnote w:id="2">
    <w:p w:rsidR="002657FC" w:rsidRPr="00176E93" w:rsidRDefault="002657FC" w:rsidP="00C904F7">
      <w:pPr>
        <w:pStyle w:val="FootnoteText"/>
        <w:tabs>
          <w:tab w:val="left" w:pos="567"/>
        </w:tabs>
        <w:rPr>
          <w:lang w:val="fr-FR"/>
        </w:rPr>
      </w:pPr>
      <w:r w:rsidRPr="000B45D9">
        <w:rPr>
          <w:rStyle w:val="FootnoteReference"/>
        </w:rPr>
        <w:footnoteRef/>
      </w:r>
      <w:r w:rsidRPr="003C2FCC">
        <w:t xml:space="preserve"> </w:t>
      </w:r>
      <w:r w:rsidRPr="003C2FCC">
        <w:tab/>
      </w:r>
      <w:r w:rsidRPr="00176E93">
        <w:rPr>
          <w:lang w:val="fr-FR"/>
        </w:rPr>
        <w:t>Ce document ne traite pas de tous les aspects</w:t>
      </w:r>
      <w:r>
        <w:rPr>
          <w:lang w:val="fr-FR"/>
        </w:rPr>
        <w:t xml:space="preserve"> actuellement en cours de discussion à l</w:t>
      </w:r>
      <w:r w:rsidR="00971CEE">
        <w:rPr>
          <w:lang w:val="fr-FR"/>
        </w:rPr>
        <w:t>’</w:t>
      </w:r>
      <w:r>
        <w:rPr>
          <w:lang w:val="fr-FR"/>
        </w:rPr>
        <w:t>IGC et ne présente pas d</w:t>
      </w:r>
      <w:r w:rsidR="00971CEE">
        <w:rPr>
          <w:lang w:val="fr-FR"/>
        </w:rPr>
        <w:t>’</w:t>
      </w:r>
      <w:r>
        <w:rPr>
          <w:lang w:val="fr-FR"/>
        </w:rPr>
        <w:t>analyse approfondie de toutes les informations pouvant être disponibles et pertinentes pour l</w:t>
      </w:r>
      <w:r w:rsidR="00971CEE">
        <w:rPr>
          <w:lang w:val="fr-FR"/>
        </w:rPr>
        <w:t>’</w:t>
      </w:r>
      <w:r>
        <w:rPr>
          <w:lang w:val="fr-FR"/>
        </w:rPr>
        <w:t>IGC</w:t>
      </w:r>
      <w:r w:rsidR="00626B5E">
        <w:rPr>
          <w:lang w:val="fr-FR"/>
        </w:rPr>
        <w:t xml:space="preserve">.  </w:t>
      </w:r>
      <w:r>
        <w:rPr>
          <w:lang w:val="fr-FR"/>
        </w:rPr>
        <w:t>En outre, il se concentre sur les ressources génétiques, les questions liées aux savoirs traditionnels associés aux ressources génétiques étant traitées seulement en plus</w:t>
      </w:r>
      <w:r w:rsidR="001C08FD">
        <w:rPr>
          <w:lang w:val="fr-FR"/>
        </w:rPr>
        <w:t>.</w:t>
      </w:r>
    </w:p>
  </w:footnote>
  <w:footnote w:id="3">
    <w:p w:rsidR="002657FC" w:rsidRPr="00176E93" w:rsidRDefault="002657FC" w:rsidP="00C904F7">
      <w:pPr>
        <w:pStyle w:val="FootnoteText"/>
        <w:tabs>
          <w:tab w:val="left" w:pos="567"/>
        </w:tabs>
        <w:rPr>
          <w:lang w:val="fr-FR"/>
        </w:rPr>
      </w:pPr>
      <w:r w:rsidRPr="00176E93">
        <w:rPr>
          <w:rStyle w:val="FootnoteReference"/>
          <w:lang w:val="fr-FR"/>
        </w:rPr>
        <w:footnoteRef/>
      </w:r>
      <w:r w:rsidRPr="00176E93">
        <w:rPr>
          <w:lang w:val="fr-FR"/>
        </w:rPr>
        <w:t xml:space="preserve"> </w:t>
      </w:r>
      <w:r w:rsidRPr="00176E93">
        <w:rPr>
          <w:lang w:val="fr-FR"/>
        </w:rPr>
        <w:tab/>
      </w:r>
      <w:r>
        <w:rPr>
          <w:lang w:val="fr-FR"/>
        </w:rPr>
        <w:t>Par exemple</w:t>
      </w:r>
      <w:r w:rsidR="00971CEE">
        <w:rPr>
          <w:lang w:val="fr-FR"/>
        </w:rPr>
        <w:t> :</w:t>
      </w:r>
      <w:r>
        <w:rPr>
          <w:lang w:val="fr-FR"/>
        </w:rPr>
        <w:t xml:space="preserve"> </w:t>
      </w:r>
      <w:bookmarkStart w:id="19" w:name="_Hlk50642800"/>
      <w:r>
        <w:rPr>
          <w:lang w:val="fr-FR"/>
        </w:rPr>
        <w:t xml:space="preserve">Traité international sur les ressources </w:t>
      </w:r>
      <w:proofErr w:type="spellStart"/>
      <w:r>
        <w:rPr>
          <w:lang w:val="fr-FR"/>
        </w:rPr>
        <w:t>phytogénétiques</w:t>
      </w:r>
      <w:proofErr w:type="spellEnd"/>
      <w:r>
        <w:rPr>
          <w:lang w:val="fr-FR"/>
        </w:rPr>
        <w:t xml:space="preserve"> pour l</w:t>
      </w:r>
      <w:r w:rsidR="00971CEE">
        <w:rPr>
          <w:lang w:val="fr-FR"/>
        </w:rPr>
        <w:t>’</w:t>
      </w:r>
      <w:r>
        <w:rPr>
          <w:lang w:val="fr-FR"/>
        </w:rPr>
        <w:t>alimentation et l</w:t>
      </w:r>
      <w:r w:rsidR="00971CEE">
        <w:rPr>
          <w:lang w:val="fr-FR"/>
        </w:rPr>
        <w:t>’</w:t>
      </w:r>
      <w:r>
        <w:rPr>
          <w:lang w:val="fr-FR"/>
        </w:rPr>
        <w:t>agriculture</w:t>
      </w:r>
      <w:r w:rsidRPr="00176E93">
        <w:rPr>
          <w:lang w:val="fr-FR"/>
        </w:rPr>
        <w:t xml:space="preserve"> </w:t>
      </w:r>
      <w:bookmarkEnd w:id="19"/>
      <w:r>
        <w:rPr>
          <w:lang w:val="fr-FR"/>
        </w:rPr>
        <w:t>de l</w:t>
      </w:r>
      <w:r w:rsidR="00971CEE">
        <w:rPr>
          <w:lang w:val="fr-FR"/>
        </w:rPr>
        <w:t>’</w:t>
      </w:r>
      <w:r>
        <w:rPr>
          <w:lang w:val="fr-FR"/>
        </w:rPr>
        <w:t xml:space="preserve">Organisation des </w:t>
      </w:r>
      <w:r w:rsidR="00971CEE">
        <w:rPr>
          <w:lang w:val="fr-FR"/>
        </w:rPr>
        <w:t>Nations Unies</w:t>
      </w:r>
      <w:r>
        <w:rPr>
          <w:lang w:val="fr-FR"/>
        </w:rPr>
        <w:t xml:space="preserve"> pour l</w:t>
      </w:r>
      <w:r w:rsidR="00971CEE">
        <w:rPr>
          <w:lang w:val="fr-FR"/>
        </w:rPr>
        <w:t>’</w:t>
      </w:r>
      <w:r>
        <w:rPr>
          <w:lang w:val="fr-FR"/>
        </w:rPr>
        <w:t>alimentation et l</w:t>
      </w:r>
      <w:r w:rsidR="00971CEE">
        <w:rPr>
          <w:lang w:val="fr-FR"/>
        </w:rPr>
        <w:t>’</w:t>
      </w:r>
      <w:r>
        <w:rPr>
          <w:lang w:val="fr-FR"/>
        </w:rPr>
        <w:t>agriculture</w:t>
      </w:r>
      <w:r w:rsidRPr="00176E93">
        <w:rPr>
          <w:lang w:val="fr-FR"/>
        </w:rPr>
        <w:t xml:space="preserve"> (FAO) </w:t>
      </w:r>
      <w:r>
        <w:rPr>
          <w:lang w:val="fr-FR"/>
        </w:rPr>
        <w:t>e</w:t>
      </w:r>
      <w:r w:rsidRPr="00176E93">
        <w:rPr>
          <w:lang w:val="fr-FR"/>
        </w:rPr>
        <w:t>n</w:t>
      </w:r>
      <w:r>
        <w:rPr>
          <w:lang w:val="fr-FR"/>
        </w:rPr>
        <w:t> </w:t>
      </w:r>
      <w:r w:rsidRPr="00176E93">
        <w:rPr>
          <w:lang w:val="fr-FR"/>
        </w:rPr>
        <w:t>2001</w:t>
      </w:r>
      <w:r>
        <w:rPr>
          <w:lang w:val="fr-FR"/>
        </w:rPr>
        <w:t>,</w:t>
      </w:r>
      <w:r w:rsidRPr="00176E93">
        <w:rPr>
          <w:lang w:val="fr-FR"/>
        </w:rPr>
        <w:t xml:space="preserve"> </w:t>
      </w:r>
      <w:r>
        <w:rPr>
          <w:lang w:val="fr-FR"/>
        </w:rPr>
        <w:t xml:space="preserve">Déclaration des </w:t>
      </w:r>
      <w:r w:rsidR="00971CEE">
        <w:rPr>
          <w:lang w:val="fr-FR"/>
        </w:rPr>
        <w:t>Nations Unies</w:t>
      </w:r>
      <w:r>
        <w:rPr>
          <w:lang w:val="fr-FR"/>
        </w:rPr>
        <w:t xml:space="preserve"> sur les droits des peuples autochtones en </w:t>
      </w:r>
      <w:r w:rsidRPr="00176E93">
        <w:rPr>
          <w:lang w:val="fr-FR"/>
        </w:rPr>
        <w:t xml:space="preserve">2007, </w:t>
      </w:r>
      <w:r>
        <w:rPr>
          <w:lang w:val="fr-FR"/>
        </w:rPr>
        <w:t>Protocole de</w:t>
      </w:r>
      <w:r w:rsidRPr="00176E93">
        <w:rPr>
          <w:lang w:val="fr-FR"/>
        </w:rPr>
        <w:t xml:space="preserve"> Nagoya </w:t>
      </w:r>
      <w:r>
        <w:rPr>
          <w:lang w:val="fr-FR"/>
        </w:rPr>
        <w:t>sur l</w:t>
      </w:r>
      <w:r w:rsidR="00971CEE">
        <w:rPr>
          <w:lang w:val="fr-FR"/>
        </w:rPr>
        <w:t>’</w:t>
      </w:r>
      <w:r>
        <w:rPr>
          <w:lang w:val="fr-FR"/>
        </w:rPr>
        <w:t xml:space="preserve">accès aux ressources génétiques et le partage juste et équitable des avantages découlant de leur utilisation relatif à la CDB (Protocole de </w:t>
      </w:r>
      <w:r w:rsidRPr="00176E93">
        <w:rPr>
          <w:lang w:val="fr-FR"/>
        </w:rPr>
        <w:t>Nagoya</w:t>
      </w:r>
      <w:r>
        <w:rPr>
          <w:lang w:val="fr-FR"/>
        </w:rPr>
        <w:t>) en </w:t>
      </w:r>
      <w:r w:rsidRPr="00176E93">
        <w:rPr>
          <w:lang w:val="fr-FR"/>
        </w:rPr>
        <w:t xml:space="preserve">2010, </w:t>
      </w:r>
      <w:r>
        <w:rPr>
          <w:lang w:val="fr-FR"/>
        </w:rPr>
        <w:t>et Cadre de préparation en cas de grippe pandémique pour l</w:t>
      </w:r>
      <w:r w:rsidR="00971CEE">
        <w:rPr>
          <w:lang w:val="fr-FR"/>
        </w:rPr>
        <w:t>’</w:t>
      </w:r>
      <w:r>
        <w:rPr>
          <w:lang w:val="fr-FR"/>
        </w:rPr>
        <w:t>échange des virus grippaux et l</w:t>
      </w:r>
      <w:r w:rsidR="00971CEE">
        <w:rPr>
          <w:lang w:val="fr-FR"/>
        </w:rPr>
        <w:t>’</w:t>
      </w:r>
      <w:r>
        <w:rPr>
          <w:lang w:val="fr-FR"/>
        </w:rPr>
        <w:t>accès aux vaccins et autres avantages (Cadre PIP) de l</w:t>
      </w:r>
      <w:r w:rsidR="00971CEE">
        <w:rPr>
          <w:lang w:val="fr-FR"/>
        </w:rPr>
        <w:t>’</w:t>
      </w:r>
      <w:r>
        <w:rPr>
          <w:lang w:val="fr-FR"/>
        </w:rPr>
        <w:t>Organisation mondiale de la Santé en </w:t>
      </w:r>
      <w:r w:rsidRPr="00176E93">
        <w:rPr>
          <w:lang w:val="fr-FR"/>
        </w:rPr>
        <w:t>2011.</w:t>
      </w:r>
    </w:p>
  </w:footnote>
  <w:footnote w:id="4">
    <w:p w:rsidR="002657FC" w:rsidRPr="00176E93" w:rsidRDefault="002657FC" w:rsidP="00C904F7">
      <w:pPr>
        <w:pStyle w:val="FootnoteText"/>
        <w:tabs>
          <w:tab w:val="left" w:pos="567"/>
        </w:tabs>
        <w:rPr>
          <w:lang w:val="fr-FR"/>
        </w:rPr>
      </w:pPr>
      <w:r w:rsidRPr="00176E93">
        <w:rPr>
          <w:rStyle w:val="FootnoteReference"/>
          <w:lang w:val="fr-FR"/>
        </w:rPr>
        <w:footnoteRef/>
      </w:r>
      <w:r w:rsidRPr="00176E93">
        <w:rPr>
          <w:lang w:val="fr-FR"/>
        </w:rPr>
        <w:t xml:space="preserve"> </w:t>
      </w:r>
      <w:r w:rsidRPr="00176E93">
        <w:rPr>
          <w:lang w:val="fr-FR"/>
        </w:rPr>
        <w:tab/>
      </w:r>
      <w:r>
        <w:rPr>
          <w:lang w:val="fr-FR"/>
        </w:rPr>
        <w:t xml:space="preserve">Des travaux sont en cours pour améliorer le système multilatéral du Traité international sur les ressources </w:t>
      </w:r>
      <w:proofErr w:type="spellStart"/>
      <w:r>
        <w:rPr>
          <w:lang w:val="fr-FR"/>
        </w:rPr>
        <w:t>phytogénétiques</w:t>
      </w:r>
      <w:proofErr w:type="spellEnd"/>
      <w:r>
        <w:rPr>
          <w:lang w:val="fr-FR"/>
        </w:rPr>
        <w:t xml:space="preserve"> pour l</w:t>
      </w:r>
      <w:r w:rsidR="00971CEE">
        <w:rPr>
          <w:lang w:val="fr-FR"/>
        </w:rPr>
        <w:t>’</w:t>
      </w:r>
      <w:r>
        <w:rPr>
          <w:lang w:val="fr-FR"/>
        </w:rPr>
        <w:t>alimentation et l</w:t>
      </w:r>
      <w:r w:rsidR="00971CEE">
        <w:rPr>
          <w:lang w:val="fr-FR"/>
        </w:rPr>
        <w:t>’</w:t>
      </w:r>
      <w:r>
        <w:rPr>
          <w:lang w:val="fr-FR"/>
        </w:rPr>
        <w:t xml:space="preserve">agriculture, via une éventuelle révision de </w:t>
      </w:r>
      <w:bookmarkStart w:id="20" w:name="_Hlk50451774"/>
      <w:r>
        <w:rPr>
          <w:lang w:val="fr-FR"/>
        </w:rPr>
        <w:t>l</w:t>
      </w:r>
      <w:r w:rsidR="00971CEE">
        <w:rPr>
          <w:lang w:val="fr-FR"/>
        </w:rPr>
        <w:t>’</w:t>
      </w:r>
      <w:r>
        <w:rPr>
          <w:lang w:val="fr-FR"/>
        </w:rPr>
        <w:t>Accord type sur le transfert de matériel</w:t>
      </w:r>
      <w:bookmarkEnd w:id="20"/>
      <w:r>
        <w:rPr>
          <w:lang w:val="fr-FR"/>
        </w:rPr>
        <w:t xml:space="preserve"> et une augmentation des cultures listées à l</w:t>
      </w:r>
      <w:r w:rsidR="00971CEE">
        <w:rPr>
          <w:lang w:val="fr-FR"/>
        </w:rPr>
        <w:t>’</w:t>
      </w:r>
      <w:r w:rsidR="008D2CAF">
        <w:rPr>
          <w:lang w:val="fr-FR"/>
        </w:rPr>
        <w:t>a</w:t>
      </w:r>
      <w:r>
        <w:rPr>
          <w:lang w:val="fr-FR"/>
        </w:rPr>
        <w:t>nnexe I</w:t>
      </w:r>
      <w:r w:rsidR="00626B5E">
        <w:rPr>
          <w:lang w:val="fr-FR"/>
        </w:rPr>
        <w:t xml:space="preserve">.  </w:t>
      </w:r>
      <w:r>
        <w:rPr>
          <w:lang w:val="fr-FR"/>
        </w:rPr>
        <w:t>La soixante</w:t>
      </w:r>
      <w:r w:rsidR="00971CEE">
        <w:rPr>
          <w:lang w:val="fr-FR"/>
        </w:rPr>
        <w:t>-</w:t>
      </w:r>
      <w:r>
        <w:rPr>
          <w:lang w:val="fr-FR"/>
        </w:rPr>
        <w:t>douzième Assemblée mondiale de la santé</w:t>
      </w:r>
      <w:r w:rsidRPr="00176E93">
        <w:rPr>
          <w:lang w:val="fr-FR"/>
        </w:rPr>
        <w:t xml:space="preserve"> (2019) </w:t>
      </w:r>
      <w:r>
        <w:rPr>
          <w:lang w:val="fr-FR"/>
        </w:rPr>
        <w:t>a modifié une note de bas de page de l</w:t>
      </w:r>
      <w:r w:rsidR="00971CEE">
        <w:rPr>
          <w:lang w:val="fr-FR"/>
        </w:rPr>
        <w:t>’</w:t>
      </w:r>
      <w:r>
        <w:rPr>
          <w:lang w:val="fr-FR"/>
        </w:rPr>
        <w:t>Accord type sur le transfert de matériel</w:t>
      </w:r>
      <w:r w:rsidR="00626B5E">
        <w:rPr>
          <w:lang w:val="fr-FR"/>
        </w:rPr>
        <w:t> </w:t>
      </w:r>
      <w:r>
        <w:rPr>
          <w:lang w:val="fr-FR"/>
        </w:rPr>
        <w:t>2 du Cadre PIP afin d</w:t>
      </w:r>
      <w:r w:rsidR="00971CEE">
        <w:rPr>
          <w:lang w:val="fr-FR"/>
        </w:rPr>
        <w:t>’</w:t>
      </w:r>
      <w:r>
        <w:rPr>
          <w:lang w:val="fr-FR"/>
        </w:rPr>
        <w:t>appliquer cet Accord aux fabricants utilisant indirectement du matériel biologique entrant dans le Cadre PIP au nom d</w:t>
      </w:r>
      <w:r w:rsidR="00971CEE">
        <w:rPr>
          <w:lang w:val="fr-FR"/>
        </w:rPr>
        <w:t>’</w:t>
      </w:r>
      <w:r>
        <w:rPr>
          <w:lang w:val="fr-FR"/>
        </w:rPr>
        <w:t>une autre entité</w:t>
      </w:r>
      <w:r w:rsidRPr="00176E93">
        <w:rPr>
          <w:lang w:val="fr-FR"/>
        </w:rPr>
        <w:t>.</w:t>
      </w:r>
    </w:p>
  </w:footnote>
  <w:footnote w:id="5">
    <w:p w:rsidR="002657FC" w:rsidRPr="00176E93" w:rsidRDefault="002657FC" w:rsidP="00C904F7">
      <w:pPr>
        <w:pStyle w:val="FootnoteText"/>
        <w:tabs>
          <w:tab w:val="left" w:pos="567"/>
        </w:tabs>
        <w:rPr>
          <w:lang w:val="fr-FR"/>
        </w:rPr>
      </w:pPr>
      <w:r w:rsidRPr="00176E93">
        <w:rPr>
          <w:rStyle w:val="FootnoteReference"/>
          <w:lang w:val="fr-FR"/>
        </w:rPr>
        <w:footnoteRef/>
      </w:r>
      <w:r w:rsidRPr="00176E93">
        <w:rPr>
          <w:lang w:val="fr-FR"/>
        </w:rPr>
        <w:t xml:space="preserve"> </w:t>
      </w:r>
      <w:r w:rsidRPr="00176E93">
        <w:rPr>
          <w:lang w:val="fr-FR"/>
        </w:rPr>
        <w:tab/>
      </w:r>
      <w:r>
        <w:rPr>
          <w:lang w:val="fr-FR"/>
        </w:rPr>
        <w:t xml:space="preserve">La Conférence intergouvernementale travaille actuellement sur les instruments internationaux juridiquement contraignants dans le cadre de la Convention des </w:t>
      </w:r>
      <w:r w:rsidR="00971CEE">
        <w:rPr>
          <w:lang w:val="fr-FR"/>
        </w:rPr>
        <w:t>Nations Unies</w:t>
      </w:r>
      <w:r>
        <w:rPr>
          <w:lang w:val="fr-FR"/>
        </w:rPr>
        <w:t xml:space="preserve"> sur le droit de la mer et portant sur la conservation et l</w:t>
      </w:r>
      <w:r w:rsidR="00971CEE">
        <w:rPr>
          <w:lang w:val="fr-FR"/>
        </w:rPr>
        <w:t>’</w:t>
      </w:r>
      <w:r>
        <w:rPr>
          <w:lang w:val="fr-FR"/>
        </w:rPr>
        <w:t>utilisation durable de la biodiversité marine des zones ne relevant pas de la juridiction nationale</w:t>
      </w:r>
      <w:r w:rsidR="00626B5E">
        <w:rPr>
          <w:lang w:val="fr-FR"/>
        </w:rPr>
        <w:t xml:space="preserve">.  </w:t>
      </w:r>
      <w:r>
        <w:rPr>
          <w:lang w:val="fr-FR"/>
        </w:rPr>
        <w:t xml:space="preserve">Des travaux sont réalisés également dans ce sens par la </w:t>
      </w:r>
      <w:bookmarkStart w:id="21" w:name="_Hlk50468452"/>
      <w:r>
        <w:rPr>
          <w:lang w:val="fr-FR"/>
        </w:rPr>
        <w:t>Commission des ressources génétiques pour l</w:t>
      </w:r>
      <w:r w:rsidR="00971CEE">
        <w:rPr>
          <w:lang w:val="fr-FR"/>
        </w:rPr>
        <w:t>’</w:t>
      </w:r>
      <w:r>
        <w:rPr>
          <w:lang w:val="fr-FR"/>
        </w:rPr>
        <w:t>alimentation et l</w:t>
      </w:r>
      <w:r w:rsidR="00971CEE">
        <w:rPr>
          <w:lang w:val="fr-FR"/>
        </w:rPr>
        <w:t>’</w:t>
      </w:r>
      <w:r>
        <w:rPr>
          <w:lang w:val="fr-FR"/>
        </w:rPr>
        <w:t>agriculture (CRGAA) de la FAO, par le Groupe de travail de la CDB sur l</w:t>
      </w:r>
      <w:r w:rsidR="00971CEE">
        <w:rPr>
          <w:lang w:val="fr-FR"/>
        </w:rPr>
        <w:t>’</w:t>
      </w:r>
      <w:r>
        <w:rPr>
          <w:lang w:val="fr-FR"/>
        </w:rPr>
        <w:t>a</w:t>
      </w:r>
      <w:r w:rsidRPr="00176E93">
        <w:rPr>
          <w:lang w:val="fr-FR"/>
        </w:rPr>
        <w:t>rticle</w:t>
      </w:r>
      <w:r>
        <w:rPr>
          <w:lang w:val="fr-FR"/>
        </w:rPr>
        <w:t> </w:t>
      </w:r>
      <w:r w:rsidRPr="00176E93">
        <w:rPr>
          <w:lang w:val="fr-FR"/>
        </w:rPr>
        <w:t>8</w:t>
      </w:r>
      <w:r>
        <w:rPr>
          <w:lang w:val="fr-FR"/>
        </w:rPr>
        <w:t>.</w:t>
      </w:r>
      <w:r w:rsidRPr="00176E93">
        <w:rPr>
          <w:lang w:val="fr-FR"/>
        </w:rPr>
        <w:t xml:space="preserve">j) </w:t>
      </w:r>
      <w:r>
        <w:rPr>
          <w:lang w:val="fr-FR"/>
        </w:rPr>
        <w:t>et les dispositions connexes, et dans le cadre du processus de la CDB fondé sur la science et les politiques générales concernant les informations de séquençage numérique sur les ressources génétiques</w:t>
      </w:r>
      <w:bookmarkEnd w:id="21"/>
      <w:r w:rsidR="001C08FD">
        <w:rPr>
          <w:lang w:val="fr-FR"/>
        </w:rPr>
        <w:t>.</w:t>
      </w:r>
    </w:p>
  </w:footnote>
  <w:footnote w:id="6">
    <w:p w:rsidR="002657FC" w:rsidRPr="00176E93" w:rsidRDefault="002657FC" w:rsidP="005C0BD9">
      <w:pPr>
        <w:pStyle w:val="FootnoteText"/>
        <w:tabs>
          <w:tab w:val="left" w:pos="567"/>
        </w:tabs>
        <w:rPr>
          <w:lang w:val="fr-FR"/>
        </w:rPr>
      </w:pPr>
      <w:r w:rsidRPr="00176E93">
        <w:rPr>
          <w:rStyle w:val="FootnoteReference"/>
          <w:lang w:val="fr-FR"/>
        </w:rPr>
        <w:footnoteRef/>
      </w:r>
      <w:r w:rsidRPr="00176E93">
        <w:rPr>
          <w:lang w:val="fr-FR"/>
        </w:rPr>
        <w:t xml:space="preserve"> </w:t>
      </w:r>
      <w:r w:rsidRPr="00176E93">
        <w:rPr>
          <w:lang w:val="fr-FR"/>
        </w:rPr>
        <w:tab/>
      </w:r>
      <w:r>
        <w:rPr>
          <w:lang w:val="fr-FR"/>
        </w:rPr>
        <w:t>OMPI</w:t>
      </w:r>
      <w:r w:rsidRPr="00176E93">
        <w:rPr>
          <w:lang w:val="fr-FR"/>
        </w:rPr>
        <w:t xml:space="preserve"> (201</w:t>
      </w:r>
      <w:r w:rsidR="005C1410">
        <w:rPr>
          <w:lang w:val="fr-FR"/>
        </w:rPr>
        <w:t>9</w:t>
      </w:r>
      <w:r w:rsidRPr="00176E93">
        <w:rPr>
          <w:lang w:val="fr-FR"/>
        </w:rPr>
        <w:t xml:space="preserve">), </w:t>
      </w:r>
      <w:hyperlink r:id="rId1" w:history="1">
        <w:r>
          <w:rPr>
            <w:rStyle w:val="Hyperlink"/>
            <w:lang w:val="fr-FR"/>
          </w:rPr>
          <w:t>Questions essentielles sur les exigences de divulgation en matière de brevets concernant les ressources génétiques et les savoirs traditionnels</w:t>
        </w:r>
      </w:hyperlink>
      <w:r w:rsidR="00626B5E">
        <w:rPr>
          <w:lang w:val="fr-FR"/>
        </w:rPr>
        <w:t xml:space="preserve">.  </w:t>
      </w:r>
      <w:r>
        <w:rPr>
          <w:lang w:val="fr-FR"/>
        </w:rPr>
        <w:t>Un examen plus précis de ces exigences nationales montre que nombre d</w:t>
      </w:r>
      <w:r w:rsidR="00971CEE">
        <w:rPr>
          <w:lang w:val="fr-FR"/>
        </w:rPr>
        <w:t>’</w:t>
      </w:r>
      <w:r>
        <w:rPr>
          <w:lang w:val="fr-FR"/>
        </w:rPr>
        <w:t>entre elles vont au</w:t>
      </w:r>
      <w:r w:rsidR="00971CEE">
        <w:rPr>
          <w:lang w:val="fr-FR"/>
        </w:rPr>
        <w:t>-</w:t>
      </w:r>
      <w:r>
        <w:rPr>
          <w:lang w:val="fr-FR"/>
        </w:rPr>
        <w:t>delà d</w:t>
      </w:r>
      <w:r w:rsidR="00971CEE">
        <w:rPr>
          <w:lang w:val="fr-FR"/>
        </w:rPr>
        <w:t>’</w:t>
      </w:r>
      <w:r>
        <w:rPr>
          <w:lang w:val="fr-FR"/>
        </w:rPr>
        <w:t>une simple divulgation de la source ou de l</w:t>
      </w:r>
      <w:r w:rsidR="00971CEE">
        <w:rPr>
          <w:lang w:val="fr-FR"/>
        </w:rPr>
        <w:t>’</w:t>
      </w:r>
      <w:r>
        <w:rPr>
          <w:lang w:val="fr-FR"/>
        </w:rPr>
        <w:t>origine mais implique aussi, par exemple, de fournir la preuve que les règles en matière d</w:t>
      </w:r>
      <w:r w:rsidR="00971CEE">
        <w:rPr>
          <w:lang w:val="fr-FR"/>
        </w:rPr>
        <w:t>’</w:t>
      </w:r>
      <w:r>
        <w:rPr>
          <w:lang w:val="fr-FR"/>
        </w:rPr>
        <w:t>accès et de partage des avantages sont respectées</w:t>
      </w:r>
      <w:r w:rsidR="00626B5E">
        <w:rPr>
          <w:lang w:val="fr-FR"/>
        </w:rPr>
        <w:t xml:space="preserve">.  </w:t>
      </w:r>
      <w:r>
        <w:rPr>
          <w:lang w:val="fr-FR"/>
        </w:rPr>
        <w:t>En même temps, elles sont souvent une portée géographique limitée, ne s</w:t>
      </w:r>
      <w:r w:rsidR="00971CEE">
        <w:rPr>
          <w:lang w:val="fr-FR"/>
        </w:rPr>
        <w:t>’</w:t>
      </w:r>
      <w:r>
        <w:rPr>
          <w:lang w:val="fr-FR"/>
        </w:rPr>
        <w:t>appliquant qu</w:t>
      </w:r>
      <w:r w:rsidR="00971CEE">
        <w:rPr>
          <w:lang w:val="fr-FR"/>
        </w:rPr>
        <w:t>’</w:t>
      </w:r>
      <w:r>
        <w:rPr>
          <w:lang w:val="fr-FR"/>
        </w:rPr>
        <w:t>à des ressources génétiques provenant du territoire même du pays (</w:t>
      </w:r>
      <w:r w:rsidR="00626B5E">
        <w:rPr>
          <w:lang w:val="fr-FR"/>
        </w:rPr>
        <w:t>p. ex.</w:t>
      </w:r>
      <w:r w:rsidR="00971CEE">
        <w:rPr>
          <w:lang w:val="fr-FR"/>
        </w:rPr>
        <w:t> :</w:t>
      </w:r>
      <w:r>
        <w:rPr>
          <w:lang w:val="fr-FR"/>
        </w:rPr>
        <w:t xml:space="preserve"> Brésil, Égypte et</w:t>
      </w:r>
      <w:r w:rsidRPr="00176E93">
        <w:rPr>
          <w:lang w:val="fr-FR"/>
        </w:rPr>
        <w:t xml:space="preserve"> </w:t>
      </w:r>
      <w:r w:rsidR="00626B5E">
        <w:rPr>
          <w:lang w:val="fr-FR"/>
        </w:rPr>
        <w:t>Costa Rica</w:t>
      </w:r>
      <w:r w:rsidRPr="00176E93">
        <w:rPr>
          <w:lang w:val="fr-FR"/>
        </w:rPr>
        <w:t>)</w:t>
      </w:r>
      <w:r>
        <w:rPr>
          <w:lang w:val="fr-FR"/>
        </w:rPr>
        <w:t xml:space="preserve"> ou de territoires placés sous un régime commun concernant l</w:t>
      </w:r>
      <w:r w:rsidR="00971CEE">
        <w:rPr>
          <w:lang w:val="fr-FR"/>
        </w:rPr>
        <w:t>’</w:t>
      </w:r>
      <w:r>
        <w:rPr>
          <w:lang w:val="fr-FR"/>
        </w:rPr>
        <w:t>accès et le partage des avantages (</w:t>
      </w:r>
      <w:r w:rsidR="00626B5E">
        <w:rPr>
          <w:lang w:val="fr-FR"/>
        </w:rPr>
        <w:t>p. ex.</w:t>
      </w:r>
      <w:r w:rsidR="00971CEE">
        <w:rPr>
          <w:lang w:val="fr-FR"/>
        </w:rPr>
        <w:t> :</w:t>
      </w:r>
      <w:r>
        <w:rPr>
          <w:lang w:val="fr-FR"/>
        </w:rPr>
        <w:t xml:space="preserve"> Communauté andine</w:t>
      </w:r>
      <w:r w:rsidRPr="00176E93">
        <w:rPr>
          <w:lang w:val="fr-FR"/>
        </w:rPr>
        <w:t>).</w:t>
      </w:r>
    </w:p>
  </w:footnote>
  <w:footnote w:id="7">
    <w:p w:rsidR="002657FC" w:rsidRPr="003C2FCC" w:rsidRDefault="002657FC" w:rsidP="00C904F7">
      <w:pPr>
        <w:pStyle w:val="FootnoteText"/>
        <w:tabs>
          <w:tab w:val="left" w:pos="567"/>
        </w:tabs>
      </w:pPr>
      <w:r w:rsidRPr="00176E93">
        <w:rPr>
          <w:rStyle w:val="FootnoteReference"/>
          <w:lang w:val="fr-FR"/>
        </w:rPr>
        <w:footnoteRef/>
      </w:r>
      <w:r>
        <w:rPr>
          <w:lang w:val="fr-FR"/>
        </w:rPr>
        <w:t xml:space="preserve"> </w:t>
      </w:r>
      <w:r w:rsidRPr="00176E93">
        <w:rPr>
          <w:lang w:val="fr-FR"/>
        </w:rPr>
        <w:tab/>
      </w:r>
      <w:r>
        <w:rPr>
          <w:lang w:val="fr-FR"/>
        </w:rPr>
        <w:t xml:space="preserve">Voir un aperçu du cadre juridique suisse </w:t>
      </w:r>
      <w:r w:rsidRPr="00246F88">
        <w:rPr>
          <w:lang w:val="fr-FR"/>
        </w:rPr>
        <w:t>en matière de ressources génétiques et de savoirs traditionnels connex</w:t>
      </w:r>
      <w:r>
        <w:rPr>
          <w:lang w:val="fr-FR"/>
        </w:rPr>
        <w:t>es à l</w:t>
      </w:r>
      <w:r w:rsidR="00971CEE">
        <w:rPr>
          <w:lang w:val="fr-FR"/>
        </w:rPr>
        <w:t>’</w:t>
      </w:r>
      <w:r w:rsidR="008D2CAF">
        <w:rPr>
          <w:lang w:val="fr-FR"/>
        </w:rPr>
        <w:t>a</w:t>
      </w:r>
      <w:r>
        <w:rPr>
          <w:lang w:val="fr-FR"/>
        </w:rPr>
        <w:t>ppendice</w:t>
      </w:r>
      <w:r w:rsidR="00626B5E">
        <w:rPr>
          <w:lang w:val="fr-FR"/>
        </w:rPr>
        <w:t> </w:t>
      </w:r>
      <w:r>
        <w:rPr>
          <w:lang w:val="fr-FR"/>
        </w:rPr>
        <w:t>1 du document</w:t>
      </w:r>
      <w:r w:rsidRPr="003C2FCC">
        <w:t xml:space="preserve"> </w:t>
      </w:r>
      <w:hyperlink r:id="rId2" w:history="1">
        <w:r w:rsidRPr="003C2FCC">
          <w:rPr>
            <w:rStyle w:val="Hyperlink"/>
          </w:rPr>
          <w:t>WIPO/GRTKF/IC/31</w:t>
        </w:r>
      </w:hyperlink>
      <w:r w:rsidRPr="003C2FCC">
        <w:rPr>
          <w:color w:val="3B3B3B"/>
        </w:rPr>
        <w:t>.</w:t>
      </w:r>
    </w:p>
  </w:footnote>
  <w:footnote w:id="8">
    <w:p w:rsidR="002657FC" w:rsidRPr="003064F7" w:rsidRDefault="002657FC" w:rsidP="00C904F7">
      <w:pPr>
        <w:pStyle w:val="FootnoteText"/>
        <w:tabs>
          <w:tab w:val="left" w:pos="567"/>
        </w:tabs>
        <w:rPr>
          <w:lang w:val="fr-FR"/>
        </w:rPr>
      </w:pPr>
      <w:r w:rsidRPr="000B45D9">
        <w:rPr>
          <w:rStyle w:val="FootnoteReference"/>
        </w:rPr>
        <w:footnoteRef/>
      </w:r>
      <w:r>
        <w:t xml:space="preserve"> </w:t>
      </w:r>
      <w:r w:rsidRPr="003C2FCC">
        <w:tab/>
      </w:r>
      <w:r w:rsidRPr="003064F7">
        <w:rPr>
          <w:lang w:val="fr-FR"/>
        </w:rPr>
        <w:t>D</w:t>
      </w:r>
      <w:r w:rsidR="00971CEE">
        <w:rPr>
          <w:lang w:val="fr-FR"/>
        </w:rPr>
        <w:t>’</w:t>
      </w:r>
      <w:r w:rsidRPr="003064F7">
        <w:rPr>
          <w:lang w:val="fr-FR"/>
        </w:rPr>
        <w:t>après l</w:t>
      </w:r>
      <w:r w:rsidR="00971CEE">
        <w:rPr>
          <w:lang w:val="fr-FR"/>
        </w:rPr>
        <w:t>’</w:t>
      </w:r>
      <w:r w:rsidRPr="003064F7">
        <w:rPr>
          <w:lang w:val="fr-FR"/>
        </w:rPr>
        <w:t>analyse des rapports intérimaires nationaux concernant le Protocole de Nagoya</w:t>
      </w:r>
      <w:r>
        <w:rPr>
          <w:lang w:val="fr-FR"/>
        </w:rPr>
        <w:t>, en 2018, environ</w:t>
      </w:r>
      <w:r w:rsidRPr="003064F7">
        <w:rPr>
          <w:lang w:val="fr-FR"/>
        </w:rPr>
        <w:t xml:space="preserve"> 50% </w:t>
      </w:r>
      <w:r w:rsidR="003D438A">
        <w:rPr>
          <w:lang w:val="fr-FR"/>
        </w:rPr>
        <w:t>seulement des p</w:t>
      </w:r>
      <w:r>
        <w:rPr>
          <w:lang w:val="fr-FR"/>
        </w:rPr>
        <w:t xml:space="preserve">arties au Protocole avaient établi des </w:t>
      </w:r>
      <w:r w:rsidRPr="003064F7">
        <w:rPr>
          <w:lang w:val="fr-FR"/>
        </w:rPr>
        <w:t>mesures pour que les utilisateurs respectent les exigences en matière d</w:t>
      </w:r>
      <w:r w:rsidR="00971CEE">
        <w:rPr>
          <w:lang w:val="fr-FR"/>
        </w:rPr>
        <w:t>’</w:t>
      </w:r>
      <w:r w:rsidRPr="003064F7">
        <w:rPr>
          <w:lang w:val="fr-FR"/>
        </w:rPr>
        <w:t>accès et de partage des avantages</w:t>
      </w:r>
      <w:r w:rsidR="001C08FD">
        <w:rPr>
          <w:lang w:val="fr-FR"/>
        </w:rPr>
        <w:t>.</w:t>
      </w:r>
    </w:p>
  </w:footnote>
  <w:footnote w:id="9">
    <w:p w:rsidR="002657FC" w:rsidRPr="005F00C6" w:rsidRDefault="002657FC" w:rsidP="00C904F7">
      <w:pPr>
        <w:pStyle w:val="FootnoteText"/>
        <w:tabs>
          <w:tab w:val="left" w:pos="567"/>
        </w:tabs>
        <w:rPr>
          <w:lang w:val="fr-FR"/>
        </w:rPr>
      </w:pPr>
      <w:r w:rsidRPr="000B45D9">
        <w:rPr>
          <w:rStyle w:val="FootnoteReference"/>
        </w:rPr>
        <w:footnoteRef/>
      </w:r>
      <w:r>
        <w:t xml:space="preserve"> </w:t>
      </w:r>
      <w:r w:rsidRPr="003C2FCC">
        <w:tab/>
      </w:r>
      <w:r w:rsidRPr="005F00C6">
        <w:rPr>
          <w:lang w:val="fr-FR"/>
        </w:rPr>
        <w:t>Voir, par exemple,</w:t>
      </w:r>
      <w:r>
        <w:rPr>
          <w:lang w:val="fr-FR"/>
        </w:rPr>
        <w:t xml:space="preserve"> le projet de directives sur l</w:t>
      </w:r>
      <w:r w:rsidR="00971CEE">
        <w:rPr>
          <w:lang w:val="fr-FR"/>
        </w:rPr>
        <w:t>’</w:t>
      </w:r>
      <w:r>
        <w:rPr>
          <w:lang w:val="fr-FR"/>
        </w:rPr>
        <w:t>accès et le partage des avantages de l</w:t>
      </w:r>
      <w:r w:rsidR="00971CEE">
        <w:rPr>
          <w:lang w:val="fr-FR"/>
        </w:rPr>
        <w:t>’</w:t>
      </w:r>
      <w:r>
        <w:rPr>
          <w:lang w:val="fr-FR"/>
        </w:rPr>
        <w:t>Autorité indienne pour la biodiversité (</w:t>
      </w:r>
      <w:proofErr w:type="spellStart"/>
      <w:r w:rsidR="00A0792D">
        <w:fldChar w:fldCharType="begin"/>
      </w:r>
      <w:r w:rsidR="00A0792D">
        <w:instrText xml:space="preserve"> HYPERLINK "https://spicyip.com/wp-content/uploads/2019/12/Draft-ABS-Regulations-2019.pdf" </w:instrText>
      </w:r>
      <w:r w:rsidR="00A0792D">
        <w:fldChar w:fldCharType="separate"/>
      </w:r>
      <w:r w:rsidRPr="005F00C6">
        <w:rPr>
          <w:rStyle w:val="Hyperlink"/>
          <w:lang w:val="fr-FR"/>
        </w:rPr>
        <w:t>draft</w:t>
      </w:r>
      <w:proofErr w:type="spellEnd"/>
      <w:r w:rsidRPr="005F00C6">
        <w:rPr>
          <w:rStyle w:val="Hyperlink"/>
          <w:lang w:val="fr-FR"/>
        </w:rPr>
        <w:t xml:space="preserve"> ABS Guidelines of the National </w:t>
      </w:r>
      <w:proofErr w:type="spellStart"/>
      <w:r w:rsidRPr="005F00C6">
        <w:rPr>
          <w:rStyle w:val="Hyperlink"/>
          <w:lang w:val="fr-FR"/>
        </w:rPr>
        <w:t>Biodiversity</w:t>
      </w:r>
      <w:proofErr w:type="spellEnd"/>
      <w:r w:rsidRPr="005F00C6">
        <w:rPr>
          <w:rStyle w:val="Hyperlink"/>
          <w:lang w:val="fr-FR"/>
        </w:rPr>
        <w:t xml:space="preserve"> </w:t>
      </w:r>
      <w:proofErr w:type="spellStart"/>
      <w:r w:rsidRPr="005F00C6">
        <w:rPr>
          <w:rStyle w:val="Hyperlink"/>
          <w:lang w:val="fr-FR"/>
        </w:rPr>
        <w:t>Authority</w:t>
      </w:r>
      <w:proofErr w:type="spellEnd"/>
      <w:r w:rsidRPr="005F00C6">
        <w:rPr>
          <w:rStyle w:val="Hyperlink"/>
          <w:lang w:val="fr-FR"/>
        </w:rPr>
        <w:t xml:space="preserve"> in </w:t>
      </w:r>
      <w:proofErr w:type="spellStart"/>
      <w:r w:rsidRPr="005F00C6">
        <w:rPr>
          <w:rStyle w:val="Hyperlink"/>
          <w:lang w:val="fr-FR"/>
        </w:rPr>
        <w:t>India</w:t>
      </w:r>
      <w:proofErr w:type="spellEnd"/>
      <w:r w:rsidR="00A0792D">
        <w:rPr>
          <w:rStyle w:val="Hyperlink"/>
          <w:lang w:val="fr-FR"/>
        </w:rPr>
        <w:fldChar w:fldCharType="end"/>
      </w:r>
      <w:r>
        <w:rPr>
          <w:rStyle w:val="Hyperlink"/>
          <w:lang w:val="fr-FR"/>
        </w:rPr>
        <w:t>)</w:t>
      </w:r>
      <w:r w:rsidRPr="005F00C6">
        <w:rPr>
          <w:lang w:val="fr-FR"/>
        </w:rPr>
        <w:t xml:space="preserve">, </w:t>
      </w:r>
      <w:r>
        <w:rPr>
          <w:lang w:val="fr-FR"/>
        </w:rPr>
        <w:t>ou la</w:t>
      </w:r>
      <w:r w:rsidRPr="005F00C6">
        <w:rPr>
          <w:lang w:val="fr-FR"/>
        </w:rPr>
        <w:t xml:space="preserve"> </w:t>
      </w:r>
      <w:hyperlink r:id="rId3" w:tgtFrame="_blank" w:history="1">
        <w:r>
          <w:rPr>
            <w:rStyle w:val="Hyperlink"/>
            <w:lang w:val="fr-FR"/>
          </w:rPr>
          <w:t>loi espagnole</w:t>
        </w:r>
        <w:r w:rsidRPr="005F00C6">
          <w:rPr>
            <w:rStyle w:val="Hyperlink"/>
            <w:lang w:val="fr-FR"/>
          </w:rPr>
          <w:t xml:space="preserve"> 24/2015 </w:t>
        </w:r>
        <w:r>
          <w:rPr>
            <w:rStyle w:val="Hyperlink"/>
            <w:lang w:val="fr-FR"/>
          </w:rPr>
          <w:t>du</w:t>
        </w:r>
        <w:r w:rsidRPr="005F00C6">
          <w:rPr>
            <w:rStyle w:val="Hyperlink"/>
            <w:lang w:val="fr-FR"/>
          </w:rPr>
          <w:t xml:space="preserve"> 24</w:t>
        </w:r>
        <w:r>
          <w:rPr>
            <w:rStyle w:val="Hyperlink"/>
            <w:lang w:val="fr-FR"/>
          </w:rPr>
          <w:t> juillet sur les brevet</w:t>
        </w:r>
        <w:r w:rsidRPr="005F00C6">
          <w:rPr>
            <w:rStyle w:val="Hyperlink"/>
            <w:lang w:val="fr-FR"/>
          </w:rPr>
          <w:t>s</w:t>
        </w:r>
      </w:hyperlink>
      <w:r w:rsidRPr="005F00C6">
        <w:rPr>
          <w:color w:val="333333"/>
          <w:lang w:val="fr-FR"/>
        </w:rPr>
        <w:t xml:space="preserve"> </w:t>
      </w:r>
      <w:r w:rsidRPr="005F00C6">
        <w:rPr>
          <w:lang w:val="fr-FR"/>
        </w:rPr>
        <w:t>(</w:t>
      </w:r>
      <w:r>
        <w:rPr>
          <w:lang w:val="fr-FR"/>
        </w:rPr>
        <w:t>a</w:t>
      </w:r>
      <w:r w:rsidRPr="005F00C6">
        <w:rPr>
          <w:lang w:val="fr-FR"/>
        </w:rPr>
        <w:t>rticle</w:t>
      </w:r>
      <w:r>
        <w:rPr>
          <w:lang w:val="fr-FR"/>
        </w:rPr>
        <w:t> </w:t>
      </w:r>
      <w:r w:rsidRPr="005F00C6">
        <w:rPr>
          <w:lang w:val="fr-FR"/>
        </w:rPr>
        <w:t xml:space="preserve">23) </w:t>
      </w:r>
      <w:r>
        <w:rPr>
          <w:lang w:val="fr-FR"/>
        </w:rPr>
        <w:t>et son</w:t>
      </w:r>
      <w:r w:rsidRPr="005F00C6">
        <w:rPr>
          <w:color w:val="333333"/>
          <w:lang w:val="fr-FR"/>
        </w:rPr>
        <w:t xml:space="preserve"> </w:t>
      </w:r>
      <w:hyperlink r:id="rId4" w:tgtFrame="_blank" w:history="1">
        <w:r>
          <w:rPr>
            <w:rStyle w:val="Hyperlink"/>
            <w:lang w:val="fr-FR"/>
          </w:rPr>
          <w:t>règlement</w:t>
        </w:r>
      </w:hyperlink>
      <w:r w:rsidRPr="005F00C6">
        <w:rPr>
          <w:color w:val="333333"/>
          <w:lang w:val="fr-FR"/>
        </w:rPr>
        <w:t xml:space="preserve"> </w:t>
      </w:r>
      <w:r w:rsidRPr="005F00C6">
        <w:rPr>
          <w:lang w:val="fr-FR"/>
        </w:rPr>
        <w:t>(</w:t>
      </w:r>
      <w:r>
        <w:rPr>
          <w:lang w:val="fr-FR"/>
        </w:rPr>
        <w:t>a</w:t>
      </w:r>
      <w:r w:rsidRPr="005F00C6">
        <w:rPr>
          <w:lang w:val="fr-FR"/>
        </w:rPr>
        <w:t>rticle</w:t>
      </w:r>
      <w:r>
        <w:rPr>
          <w:lang w:val="fr-FR"/>
        </w:rPr>
        <w:t> </w:t>
      </w:r>
      <w:r w:rsidRPr="005F00C6">
        <w:rPr>
          <w:lang w:val="fr-FR"/>
        </w:rPr>
        <w:t>2)</w:t>
      </w:r>
      <w:r w:rsidR="00626B5E">
        <w:rPr>
          <w:lang w:val="fr-FR"/>
        </w:rPr>
        <w:t xml:space="preserve">.  </w:t>
      </w:r>
      <w:r>
        <w:rPr>
          <w:lang w:val="fr-FR"/>
        </w:rPr>
        <w:t>Cette dernière oblige à inclure des informations sur l</w:t>
      </w:r>
      <w:r w:rsidR="00971CEE">
        <w:rPr>
          <w:lang w:val="fr-FR"/>
        </w:rPr>
        <w:t>’</w:t>
      </w:r>
      <w:r>
        <w:rPr>
          <w:lang w:val="fr-FR"/>
        </w:rPr>
        <w:t>utilisation des ressources génétiques conformément aux dispositions du règlement mettant en œuvre le Protocole</w:t>
      </w:r>
      <w:r w:rsidR="00626B5E">
        <w:rPr>
          <w:lang w:val="fr-FR"/>
        </w:rPr>
        <w:t xml:space="preserve">.  </w:t>
      </w:r>
      <w:r>
        <w:rPr>
          <w:lang w:val="fr-FR"/>
        </w:rPr>
        <w:t>En particulier, le numéro d</w:t>
      </w:r>
      <w:r w:rsidR="00971CEE">
        <w:rPr>
          <w:lang w:val="fr-FR"/>
        </w:rPr>
        <w:t>’</w:t>
      </w:r>
      <w:r>
        <w:rPr>
          <w:lang w:val="fr-FR"/>
        </w:rPr>
        <w:t>enregistrement de la déclaration de diligence requise, suivant le décret royal 124/2017, doit être conservé à l</w:t>
      </w:r>
      <w:r w:rsidR="00971CEE">
        <w:rPr>
          <w:lang w:val="fr-FR"/>
        </w:rPr>
        <w:t>’</w:t>
      </w:r>
      <w:r>
        <w:rPr>
          <w:lang w:val="fr-FR"/>
        </w:rPr>
        <w:t>Office espagnol des brevets</w:t>
      </w:r>
      <w:r w:rsidRPr="005F00C6">
        <w:rPr>
          <w:lang w:val="fr-FR"/>
        </w:rPr>
        <w:t>.</w:t>
      </w:r>
    </w:p>
  </w:footnote>
  <w:footnote w:id="10">
    <w:p w:rsidR="002657FC" w:rsidRPr="005F00C6" w:rsidRDefault="002657FC" w:rsidP="00C904F7">
      <w:pPr>
        <w:pStyle w:val="FootnoteText"/>
        <w:tabs>
          <w:tab w:val="left" w:pos="567"/>
        </w:tabs>
        <w:rPr>
          <w:lang w:val="fr-FR"/>
        </w:rPr>
      </w:pPr>
      <w:r w:rsidRPr="005F00C6">
        <w:rPr>
          <w:rStyle w:val="FootnoteReference"/>
          <w:lang w:val="fr-FR"/>
        </w:rPr>
        <w:footnoteRef/>
      </w:r>
      <w:r>
        <w:rPr>
          <w:lang w:val="fr-FR"/>
        </w:rPr>
        <w:t xml:space="preserve"> </w:t>
      </w:r>
      <w:r>
        <w:rPr>
          <w:lang w:val="fr-FR"/>
        </w:rPr>
        <w:tab/>
        <w:t>Voir le</w:t>
      </w:r>
      <w:r w:rsidRPr="005F00C6">
        <w:rPr>
          <w:lang w:val="fr-FR"/>
        </w:rPr>
        <w:t xml:space="preserve"> </w:t>
      </w:r>
      <w:hyperlink r:id="rId5" w:history="1">
        <w:r>
          <w:rPr>
            <w:rStyle w:val="Hyperlink"/>
            <w:lang w:val="fr-FR"/>
          </w:rPr>
          <w:t>Centre d</w:t>
        </w:r>
        <w:r w:rsidR="00971CEE">
          <w:rPr>
            <w:rStyle w:val="Hyperlink"/>
            <w:lang w:val="fr-FR"/>
          </w:rPr>
          <w:t>’</w:t>
        </w:r>
        <w:r>
          <w:rPr>
            <w:rStyle w:val="Hyperlink"/>
            <w:lang w:val="fr-FR"/>
          </w:rPr>
          <w:t>échange sur l</w:t>
        </w:r>
        <w:r w:rsidR="00971CEE">
          <w:rPr>
            <w:rStyle w:val="Hyperlink"/>
            <w:lang w:val="fr-FR"/>
          </w:rPr>
          <w:t>’</w:t>
        </w:r>
        <w:r>
          <w:rPr>
            <w:rStyle w:val="Hyperlink"/>
            <w:lang w:val="fr-FR"/>
          </w:rPr>
          <w:t>accès et le partage des avantages</w:t>
        </w:r>
      </w:hyperlink>
      <w:r w:rsidRPr="001C08FD">
        <w:rPr>
          <w:rStyle w:val="Hyperlink"/>
          <w:color w:val="auto"/>
          <w:u w:val="none"/>
          <w:lang w:val="fr-FR"/>
        </w:rPr>
        <w:t>.</w:t>
      </w:r>
    </w:p>
  </w:footnote>
  <w:footnote w:id="11">
    <w:p w:rsidR="002657FC" w:rsidRPr="005F00C6" w:rsidRDefault="002657FC" w:rsidP="00C904F7">
      <w:pPr>
        <w:pStyle w:val="FootnoteText"/>
        <w:tabs>
          <w:tab w:val="left" w:pos="567"/>
        </w:tabs>
        <w:rPr>
          <w:lang w:val="fr-FR"/>
        </w:rPr>
      </w:pPr>
      <w:r w:rsidRPr="005F00C6">
        <w:rPr>
          <w:rStyle w:val="FootnoteReference"/>
          <w:lang w:val="fr-FR"/>
        </w:rPr>
        <w:footnoteRef/>
      </w:r>
      <w:r w:rsidRPr="005F00C6">
        <w:rPr>
          <w:lang w:val="fr-FR"/>
        </w:rPr>
        <w:t xml:space="preserve"> </w:t>
      </w:r>
      <w:r w:rsidRPr="005F00C6">
        <w:rPr>
          <w:lang w:val="fr-FR"/>
        </w:rPr>
        <w:tab/>
      </w:r>
      <w:r>
        <w:rPr>
          <w:lang w:val="fr-FR"/>
        </w:rPr>
        <w:t>Voir par exemple</w:t>
      </w:r>
      <w:r w:rsidR="00971CEE">
        <w:rPr>
          <w:lang w:val="fr-FR"/>
        </w:rPr>
        <w:t> :</w:t>
      </w:r>
      <w:r w:rsidRPr="005F00C6">
        <w:rPr>
          <w:lang w:val="fr-FR"/>
        </w:rPr>
        <w:t xml:space="preserve"> </w:t>
      </w:r>
      <w:hyperlink r:id="rId6" w:history="1">
        <w:r w:rsidR="00626B5E">
          <w:rPr>
            <w:rStyle w:val="Hyperlink"/>
            <w:lang w:val="fr-FR"/>
          </w:rPr>
          <w:t>https:</w:t>
        </w:r>
        <w:r w:rsidRPr="005F00C6">
          <w:rPr>
            <w:rStyle w:val="Hyperlink"/>
            <w:lang w:val="fr-FR"/>
          </w:rPr>
          <w:t>//www.ifpma.org/wp</w:t>
        </w:r>
        <w:r w:rsidR="00971CEE">
          <w:rPr>
            <w:rStyle w:val="Hyperlink"/>
            <w:lang w:val="fr-FR"/>
          </w:rPr>
          <w:t>-</w:t>
        </w:r>
        <w:r w:rsidRPr="005F00C6">
          <w:rPr>
            <w:rStyle w:val="Hyperlink"/>
            <w:lang w:val="fr-FR"/>
          </w:rPr>
          <w:t>content/uploads/2018/06/Economic</w:t>
        </w:r>
        <w:r w:rsidR="00971CEE">
          <w:rPr>
            <w:rStyle w:val="Hyperlink"/>
            <w:lang w:val="fr-FR"/>
          </w:rPr>
          <w:t>-</w:t>
        </w:r>
        <w:r w:rsidRPr="005F00C6">
          <w:rPr>
            <w:rStyle w:val="Hyperlink"/>
            <w:lang w:val="fr-FR"/>
          </w:rPr>
          <w:t>impact</w:t>
        </w:r>
        <w:r w:rsidR="00971CEE">
          <w:rPr>
            <w:rStyle w:val="Hyperlink"/>
            <w:lang w:val="fr-FR"/>
          </w:rPr>
          <w:t>-</w:t>
        </w:r>
        <w:r w:rsidRPr="005F00C6">
          <w:rPr>
            <w:rStyle w:val="Hyperlink"/>
            <w:lang w:val="fr-FR"/>
          </w:rPr>
          <w:t>DRs</w:t>
        </w:r>
        <w:r w:rsidR="00971CEE">
          <w:rPr>
            <w:rStyle w:val="Hyperlink"/>
            <w:lang w:val="fr-FR"/>
          </w:rPr>
          <w:t>-</w:t>
        </w:r>
        <w:r w:rsidRPr="005F00C6">
          <w:rPr>
            <w:rStyle w:val="Hyperlink"/>
            <w:lang w:val="fr-FR"/>
          </w:rPr>
          <w:t>for</w:t>
        </w:r>
        <w:r w:rsidR="00971CEE">
          <w:rPr>
            <w:rStyle w:val="Hyperlink"/>
            <w:lang w:val="fr-FR"/>
          </w:rPr>
          <w:t>-</w:t>
        </w:r>
        <w:r w:rsidRPr="005F00C6">
          <w:rPr>
            <w:rStyle w:val="Hyperlink"/>
            <w:lang w:val="fr-FR"/>
          </w:rPr>
          <w:t>GRs</w:t>
        </w:r>
        <w:r w:rsidR="00971CEE">
          <w:rPr>
            <w:rStyle w:val="Hyperlink"/>
            <w:lang w:val="fr-FR"/>
          </w:rPr>
          <w:t>-</w:t>
        </w:r>
        <w:r w:rsidRPr="005F00C6">
          <w:rPr>
            <w:rStyle w:val="Hyperlink"/>
            <w:lang w:val="fr-FR"/>
          </w:rPr>
          <w:t>final</w:t>
        </w:r>
        <w:r w:rsidR="00971CEE">
          <w:rPr>
            <w:rStyle w:val="Hyperlink"/>
            <w:lang w:val="fr-FR"/>
          </w:rPr>
          <w:t>-</w:t>
        </w:r>
        <w:r w:rsidRPr="005F00C6">
          <w:rPr>
            <w:rStyle w:val="Hyperlink"/>
            <w:lang w:val="fr-FR"/>
          </w:rPr>
          <w:t>report_June2018.pdf</w:t>
        </w:r>
      </w:hyperlink>
      <w:r w:rsidRPr="005F00C6">
        <w:rPr>
          <w:lang w:val="fr-FR"/>
        </w:rPr>
        <w:t>, o</w:t>
      </w:r>
      <w:r>
        <w:rPr>
          <w:lang w:val="fr-FR"/>
        </w:rPr>
        <w:t>u</w:t>
      </w:r>
      <w:r w:rsidRPr="005F00C6">
        <w:rPr>
          <w:lang w:val="fr-FR"/>
        </w:rPr>
        <w:t xml:space="preserve"> </w:t>
      </w:r>
      <w:hyperlink r:id="rId7" w:history="1">
        <w:r w:rsidRPr="005F00C6">
          <w:rPr>
            <w:rStyle w:val="Hyperlink"/>
            <w:lang w:val="fr-FR"/>
          </w:rPr>
          <w:t>WIPO/GRTKF/IC/40/11</w:t>
        </w:r>
      </w:hyperlink>
      <w:r w:rsidRPr="001C08FD">
        <w:rPr>
          <w:rStyle w:val="Hyperlink"/>
          <w:color w:val="auto"/>
          <w:u w:val="none"/>
          <w:lang w:val="fr-FR"/>
        </w:rPr>
        <w:t>.</w:t>
      </w:r>
    </w:p>
  </w:footnote>
  <w:footnote w:id="12">
    <w:p w:rsidR="002657FC" w:rsidRPr="00E17473" w:rsidRDefault="002657FC" w:rsidP="00C904F7">
      <w:pPr>
        <w:pStyle w:val="FootnoteText"/>
        <w:tabs>
          <w:tab w:val="left" w:pos="567"/>
        </w:tabs>
        <w:rPr>
          <w:lang w:val="fr-FR"/>
        </w:rPr>
      </w:pPr>
      <w:r w:rsidRPr="000B45D9">
        <w:rPr>
          <w:rStyle w:val="FootnoteReference"/>
        </w:rPr>
        <w:footnoteRef/>
      </w:r>
      <w:r>
        <w:t xml:space="preserve"> </w:t>
      </w:r>
      <w:r w:rsidRPr="003C2FCC">
        <w:tab/>
      </w:r>
      <w:r w:rsidRPr="00E17473">
        <w:rPr>
          <w:lang w:val="fr-FR"/>
        </w:rPr>
        <w:t xml:space="preserve">Selon les statistiques de </w:t>
      </w:r>
      <w:proofErr w:type="spellStart"/>
      <w:r w:rsidRPr="00E17473">
        <w:rPr>
          <w:lang w:val="fr-FR"/>
        </w:rPr>
        <w:t>GenBank</w:t>
      </w:r>
      <w:proofErr w:type="spellEnd"/>
      <w:r w:rsidRPr="00E17473">
        <w:rPr>
          <w:lang w:val="fr-FR"/>
        </w:rPr>
        <w:t xml:space="preserve"> et WGS</w:t>
      </w:r>
      <w:r>
        <w:rPr>
          <w:lang w:val="fr-FR"/>
        </w:rPr>
        <w:t>, depuis </w:t>
      </w:r>
      <w:r w:rsidRPr="00E17473">
        <w:rPr>
          <w:lang w:val="fr-FR"/>
        </w:rPr>
        <w:t xml:space="preserve">1982, </w:t>
      </w:r>
      <w:r>
        <w:rPr>
          <w:lang w:val="fr-FR"/>
        </w:rPr>
        <w:t>le nombre de bases figurant dans</w:t>
      </w:r>
      <w:r w:rsidRPr="00E17473">
        <w:rPr>
          <w:lang w:val="fr-FR"/>
        </w:rPr>
        <w:t xml:space="preserve"> </w:t>
      </w:r>
      <w:proofErr w:type="spellStart"/>
      <w:r w:rsidRPr="00E17473">
        <w:rPr>
          <w:lang w:val="fr-FR"/>
        </w:rPr>
        <w:t>GenBank</w:t>
      </w:r>
      <w:proofErr w:type="spellEnd"/>
      <w:r w:rsidRPr="00E17473">
        <w:rPr>
          <w:lang w:val="fr-FR"/>
        </w:rPr>
        <w:t xml:space="preserve"> </w:t>
      </w:r>
      <w:r>
        <w:rPr>
          <w:lang w:val="fr-FR"/>
        </w:rPr>
        <w:t>double environ tous les 18 mois</w:t>
      </w:r>
      <w:r w:rsidR="00971CEE">
        <w:rPr>
          <w:lang w:val="fr-FR"/>
        </w:rPr>
        <w:t> :</w:t>
      </w:r>
      <w:r w:rsidRPr="00E17473">
        <w:rPr>
          <w:lang w:val="fr-FR"/>
        </w:rPr>
        <w:t xml:space="preserve"> </w:t>
      </w:r>
      <w:hyperlink r:id="rId8" w:history="1">
        <w:r w:rsidR="00626B5E">
          <w:rPr>
            <w:rStyle w:val="Hyperlink"/>
            <w:lang w:val="fr-FR"/>
          </w:rPr>
          <w:t>https:</w:t>
        </w:r>
        <w:r w:rsidRPr="00E17473">
          <w:rPr>
            <w:rStyle w:val="Hyperlink"/>
            <w:lang w:val="fr-FR"/>
          </w:rPr>
          <w:t>//www.ncbi.nlm.nih.gov/genbank/statistics/</w:t>
        </w:r>
      </w:hyperlink>
      <w:r w:rsidR="001C08FD">
        <w:rPr>
          <w:lang w:val="fr-FR"/>
        </w:rPr>
        <w:t>.</w:t>
      </w:r>
    </w:p>
  </w:footnote>
  <w:footnote w:id="13">
    <w:p w:rsidR="002657FC" w:rsidRPr="00E17473" w:rsidRDefault="002657FC" w:rsidP="00C904F7">
      <w:pPr>
        <w:pStyle w:val="FootnoteText"/>
        <w:tabs>
          <w:tab w:val="left" w:pos="567"/>
        </w:tabs>
        <w:rPr>
          <w:lang w:val="fr-FR"/>
        </w:rPr>
      </w:pPr>
      <w:r w:rsidRPr="00E17473">
        <w:rPr>
          <w:rStyle w:val="FootnoteReference"/>
          <w:lang w:val="fr-FR"/>
        </w:rPr>
        <w:footnoteRef/>
      </w:r>
      <w:r>
        <w:rPr>
          <w:lang w:val="fr-FR"/>
        </w:rPr>
        <w:t xml:space="preserve"> </w:t>
      </w:r>
      <w:r w:rsidRPr="00E17473">
        <w:rPr>
          <w:lang w:val="fr-FR"/>
        </w:rPr>
        <w:tab/>
      </w:r>
      <w:r>
        <w:rPr>
          <w:lang w:val="fr-FR"/>
        </w:rPr>
        <w:t>Les travaux menés par la CDB ont pour but de mieux comprendre les incidences éventuelles des informations de séquençage numérique sur les trois</w:t>
      </w:r>
      <w:r w:rsidR="00705C94">
        <w:rPr>
          <w:lang w:val="fr-FR"/>
        </w:rPr>
        <w:t> </w:t>
      </w:r>
      <w:r>
        <w:rPr>
          <w:lang w:val="fr-FR"/>
        </w:rPr>
        <w:t>objectifs de la CDB (conservation de la diversité biologique, utilisation durable de ses éléments et partage des avantages découlant de l</w:t>
      </w:r>
      <w:r w:rsidR="00971CEE">
        <w:rPr>
          <w:lang w:val="fr-FR"/>
        </w:rPr>
        <w:t>’</w:t>
      </w:r>
      <w:r>
        <w:rPr>
          <w:lang w:val="fr-FR"/>
        </w:rPr>
        <w:t>exploitation des ressources génétiques</w:t>
      </w:r>
      <w:r w:rsidRPr="00E17473">
        <w:rPr>
          <w:lang w:val="fr-FR"/>
        </w:rPr>
        <w:t>)</w:t>
      </w:r>
      <w:r w:rsidR="00626B5E">
        <w:rPr>
          <w:lang w:val="fr-FR"/>
        </w:rPr>
        <w:t xml:space="preserve">.  </w:t>
      </w:r>
      <w:r>
        <w:rPr>
          <w:lang w:val="fr-FR"/>
        </w:rPr>
        <w:t>Pour plus d</w:t>
      </w:r>
      <w:r w:rsidR="00971CEE">
        <w:rPr>
          <w:lang w:val="fr-FR"/>
        </w:rPr>
        <w:t>’</w:t>
      </w:r>
      <w:r>
        <w:rPr>
          <w:lang w:val="fr-FR"/>
        </w:rPr>
        <w:t>informations, voir</w:t>
      </w:r>
      <w:r w:rsidR="00971CEE">
        <w:rPr>
          <w:lang w:val="fr-FR"/>
        </w:rPr>
        <w:t> :</w:t>
      </w:r>
      <w:r w:rsidRPr="00E17473">
        <w:rPr>
          <w:lang w:val="fr-FR"/>
        </w:rPr>
        <w:t xml:space="preserve"> </w:t>
      </w:r>
      <w:hyperlink r:id="rId9" w:history="1">
        <w:r w:rsidR="00626B5E">
          <w:rPr>
            <w:rStyle w:val="Hyperlink"/>
            <w:lang w:val="fr-FR"/>
          </w:rPr>
          <w:t>https:</w:t>
        </w:r>
        <w:r w:rsidRPr="00E17473">
          <w:rPr>
            <w:rStyle w:val="Hyperlink"/>
            <w:lang w:val="fr-FR"/>
          </w:rPr>
          <w:t>//www.cbd.int/meetings/DSI</w:t>
        </w:r>
        <w:r w:rsidR="00971CEE">
          <w:rPr>
            <w:rStyle w:val="Hyperlink"/>
            <w:lang w:val="fr-FR"/>
          </w:rPr>
          <w:t>-</w:t>
        </w:r>
        <w:r w:rsidRPr="00E17473">
          <w:rPr>
            <w:rStyle w:val="Hyperlink"/>
            <w:lang w:val="fr-FR"/>
          </w:rPr>
          <w:t>AHTEG</w:t>
        </w:r>
        <w:r w:rsidR="00971CEE">
          <w:rPr>
            <w:rStyle w:val="Hyperlink"/>
            <w:lang w:val="fr-FR"/>
          </w:rPr>
          <w:t>-</w:t>
        </w:r>
        <w:r w:rsidRPr="00E17473">
          <w:rPr>
            <w:rStyle w:val="Hyperlink"/>
            <w:lang w:val="fr-FR"/>
          </w:rPr>
          <w:t>2020</w:t>
        </w:r>
        <w:r w:rsidR="00971CEE">
          <w:rPr>
            <w:rStyle w:val="Hyperlink"/>
            <w:lang w:val="fr-FR"/>
          </w:rPr>
          <w:t>-</w:t>
        </w:r>
        <w:r w:rsidRPr="00E17473">
          <w:rPr>
            <w:rStyle w:val="Hyperlink"/>
            <w:lang w:val="fr-FR"/>
          </w:rPr>
          <w:t>01</w:t>
        </w:r>
      </w:hyperlink>
      <w:r w:rsidRPr="00E17473">
        <w:rPr>
          <w:lang w:val="fr-FR"/>
        </w:rPr>
        <w:t>.</w:t>
      </w:r>
    </w:p>
  </w:footnote>
  <w:footnote w:id="14">
    <w:p w:rsidR="002657FC" w:rsidRPr="00F8414A" w:rsidRDefault="002657FC" w:rsidP="00C904F7">
      <w:pPr>
        <w:pStyle w:val="FootnoteText"/>
        <w:tabs>
          <w:tab w:val="left" w:pos="567"/>
        </w:tabs>
        <w:rPr>
          <w:iCs/>
          <w:lang w:val="fr-FR"/>
        </w:rPr>
      </w:pPr>
      <w:r w:rsidRPr="00E17473">
        <w:rPr>
          <w:rStyle w:val="FootnoteReference"/>
          <w:lang w:val="fr-FR"/>
        </w:rPr>
        <w:footnoteRef/>
      </w:r>
      <w:r>
        <w:rPr>
          <w:lang w:val="fr-FR"/>
        </w:rPr>
        <w:t xml:space="preserve"> </w:t>
      </w:r>
      <w:r w:rsidRPr="00E17473">
        <w:rPr>
          <w:lang w:val="fr-FR"/>
        </w:rPr>
        <w:tab/>
      </w:r>
      <w:r>
        <w:rPr>
          <w:lang w:val="fr-FR"/>
        </w:rPr>
        <w:t>Selon l</w:t>
      </w:r>
      <w:r w:rsidR="00971CEE">
        <w:rPr>
          <w:lang w:val="fr-FR"/>
        </w:rPr>
        <w:t>’</w:t>
      </w:r>
      <w:r>
        <w:rPr>
          <w:lang w:val="fr-FR"/>
        </w:rPr>
        <w:t xml:space="preserve">étude de la CDB sur la traçabilité et les bases de données concernant les informations de séquençage numérique, les bases de données publiques citées dans le résumé annuel des bases de données biologiques, établi par le </w:t>
      </w:r>
      <w:proofErr w:type="spellStart"/>
      <w:r w:rsidRPr="00E17473">
        <w:rPr>
          <w:iCs/>
          <w:lang w:val="fr-FR"/>
        </w:rPr>
        <w:t>Nucleic</w:t>
      </w:r>
      <w:proofErr w:type="spellEnd"/>
      <w:r w:rsidRPr="00E17473">
        <w:rPr>
          <w:iCs/>
          <w:lang w:val="fr-FR"/>
        </w:rPr>
        <w:t xml:space="preserve"> </w:t>
      </w:r>
      <w:proofErr w:type="spellStart"/>
      <w:r w:rsidRPr="00E17473">
        <w:rPr>
          <w:iCs/>
          <w:lang w:val="fr-FR"/>
        </w:rPr>
        <w:t>Acids</w:t>
      </w:r>
      <w:proofErr w:type="spellEnd"/>
      <w:r w:rsidRPr="00E17473">
        <w:rPr>
          <w:iCs/>
          <w:lang w:val="fr-FR"/>
        </w:rPr>
        <w:t xml:space="preserve"> </w:t>
      </w:r>
      <w:proofErr w:type="spellStart"/>
      <w:r w:rsidRPr="00E17473">
        <w:rPr>
          <w:iCs/>
          <w:lang w:val="fr-FR"/>
        </w:rPr>
        <w:t>Research</w:t>
      </w:r>
      <w:proofErr w:type="spellEnd"/>
      <w:r w:rsidRPr="00E17473">
        <w:rPr>
          <w:iCs/>
          <w:lang w:val="fr-FR"/>
        </w:rPr>
        <w:t xml:space="preserve"> (NAR)</w:t>
      </w:r>
      <w:r>
        <w:rPr>
          <w:iCs/>
          <w:lang w:val="fr-FR"/>
        </w:rPr>
        <w:t>, comptent plus de 1700 entrées</w:t>
      </w:r>
      <w:r w:rsidRPr="00E17473">
        <w:rPr>
          <w:iCs/>
          <w:lang w:val="fr-FR"/>
        </w:rPr>
        <w:t xml:space="preserve"> (</w:t>
      </w:r>
      <w:r w:rsidR="008D2CAF">
        <w:rPr>
          <w:iCs/>
          <w:lang w:val="fr-FR"/>
        </w:rPr>
        <w:t>f</w:t>
      </w:r>
      <w:r w:rsidRPr="00E17473">
        <w:rPr>
          <w:iCs/>
          <w:lang w:val="fr-FR"/>
        </w:rPr>
        <w:t>igure</w:t>
      </w:r>
      <w:r w:rsidR="00626B5E">
        <w:rPr>
          <w:iCs/>
          <w:lang w:val="fr-FR"/>
        </w:rPr>
        <w:t> </w:t>
      </w:r>
      <w:r w:rsidRPr="00E17473">
        <w:rPr>
          <w:iCs/>
          <w:lang w:val="fr-FR"/>
        </w:rPr>
        <w:t>1)</w:t>
      </w:r>
      <w:r w:rsidR="001C08FD">
        <w:rPr>
          <w:iCs/>
          <w:lang w:val="fr-FR"/>
        </w:rPr>
        <w:t>.</w:t>
      </w:r>
    </w:p>
  </w:footnote>
  <w:footnote w:id="15">
    <w:p w:rsidR="002657FC" w:rsidRPr="003A3A14" w:rsidRDefault="002657FC" w:rsidP="00C904F7">
      <w:pPr>
        <w:pStyle w:val="Text"/>
        <w:tabs>
          <w:tab w:val="left" w:pos="567"/>
        </w:tabs>
        <w:rPr>
          <w:rFonts w:ascii="Arial" w:hAnsi="Arial" w:cs="Arial"/>
          <w:sz w:val="18"/>
          <w:szCs w:val="18"/>
          <w:lang w:val="fr-FR"/>
        </w:rPr>
      </w:pPr>
      <w:r w:rsidRPr="000B45D9">
        <w:rPr>
          <w:rStyle w:val="FootnoteReference"/>
          <w:rFonts w:ascii="Arial" w:hAnsi="Arial" w:cs="Arial"/>
          <w:sz w:val="18"/>
          <w:szCs w:val="18"/>
        </w:rPr>
        <w:footnoteRef/>
      </w:r>
      <w:r>
        <w:rPr>
          <w:rFonts w:ascii="Arial" w:hAnsi="Arial" w:cs="Arial"/>
          <w:sz w:val="18"/>
          <w:szCs w:val="18"/>
          <w:lang w:val="fr-CH"/>
        </w:rPr>
        <w:t xml:space="preserve"> </w:t>
      </w:r>
      <w:r w:rsidRPr="003C2FCC">
        <w:rPr>
          <w:rFonts w:ascii="Arial" w:hAnsi="Arial" w:cs="Arial"/>
          <w:sz w:val="18"/>
          <w:szCs w:val="18"/>
          <w:lang w:val="fr-CH"/>
        </w:rPr>
        <w:tab/>
      </w:r>
      <w:r w:rsidRPr="003A3A14">
        <w:rPr>
          <w:rFonts w:ascii="Arial" w:hAnsi="Arial" w:cs="Arial"/>
          <w:sz w:val="18"/>
          <w:szCs w:val="18"/>
          <w:lang w:val="fr-FR"/>
        </w:rPr>
        <w:t>L</w:t>
      </w:r>
      <w:r w:rsidR="00971CEE">
        <w:rPr>
          <w:rFonts w:ascii="Arial" w:hAnsi="Arial" w:cs="Arial"/>
          <w:sz w:val="18"/>
          <w:szCs w:val="18"/>
          <w:lang w:val="fr-FR"/>
        </w:rPr>
        <w:t>’</w:t>
      </w:r>
      <w:r w:rsidRPr="003A3A14">
        <w:rPr>
          <w:rFonts w:ascii="Arial" w:hAnsi="Arial" w:cs="Arial"/>
          <w:sz w:val="18"/>
          <w:szCs w:val="18"/>
          <w:lang w:val="fr-FR"/>
        </w:rPr>
        <w:t>étude de la</w:t>
      </w:r>
      <w:r>
        <w:rPr>
          <w:rFonts w:ascii="Arial" w:hAnsi="Arial" w:cs="Arial"/>
          <w:sz w:val="18"/>
          <w:szCs w:val="18"/>
          <w:lang w:val="fr-FR"/>
        </w:rPr>
        <w:t> </w:t>
      </w:r>
      <w:r w:rsidRPr="003A3A14">
        <w:rPr>
          <w:rFonts w:ascii="Arial" w:hAnsi="Arial" w:cs="Arial"/>
          <w:sz w:val="18"/>
          <w:szCs w:val="18"/>
          <w:lang w:val="fr-FR"/>
        </w:rPr>
        <w:t>CDB sur les informations de séquençage numérique</w:t>
      </w:r>
      <w:r>
        <w:rPr>
          <w:rFonts w:ascii="Arial" w:hAnsi="Arial" w:cs="Arial"/>
          <w:sz w:val="18"/>
          <w:szCs w:val="18"/>
          <w:lang w:val="fr-FR"/>
        </w:rPr>
        <w:t xml:space="preserve"> indique notamment que la proximité d</w:t>
      </w:r>
      <w:r w:rsidR="00971CEE">
        <w:rPr>
          <w:rFonts w:ascii="Arial" w:hAnsi="Arial" w:cs="Arial"/>
          <w:sz w:val="18"/>
          <w:szCs w:val="18"/>
          <w:lang w:val="fr-FR"/>
        </w:rPr>
        <w:t>’</w:t>
      </w:r>
      <w:r>
        <w:rPr>
          <w:rFonts w:ascii="Arial" w:hAnsi="Arial" w:cs="Arial"/>
          <w:sz w:val="18"/>
          <w:szCs w:val="18"/>
          <w:lang w:val="fr-FR"/>
        </w:rPr>
        <w:t>un type spécifique d</w:t>
      </w:r>
      <w:r w:rsidR="00971CEE">
        <w:rPr>
          <w:rFonts w:ascii="Arial" w:hAnsi="Arial" w:cs="Arial"/>
          <w:sz w:val="18"/>
          <w:szCs w:val="18"/>
          <w:lang w:val="fr-FR"/>
        </w:rPr>
        <w:t>’</w:t>
      </w:r>
      <w:r>
        <w:rPr>
          <w:rFonts w:ascii="Arial" w:hAnsi="Arial" w:cs="Arial"/>
          <w:sz w:val="18"/>
          <w:szCs w:val="18"/>
          <w:lang w:val="fr-FR"/>
        </w:rPr>
        <w:t>information par rapport à la ressource génétique est importante pour déterminer l</w:t>
      </w:r>
      <w:r w:rsidR="00971CEE">
        <w:rPr>
          <w:rFonts w:ascii="Arial" w:hAnsi="Arial" w:cs="Arial"/>
          <w:sz w:val="18"/>
          <w:szCs w:val="18"/>
          <w:lang w:val="fr-FR"/>
        </w:rPr>
        <w:t>’</w:t>
      </w:r>
      <w:r>
        <w:rPr>
          <w:rFonts w:ascii="Arial" w:hAnsi="Arial" w:cs="Arial"/>
          <w:sz w:val="18"/>
          <w:szCs w:val="18"/>
          <w:lang w:val="fr-FR"/>
        </w:rPr>
        <w:t>origine par rapport à une ressource génétique en particulier et aussi pour identifier la source d</w:t>
      </w:r>
      <w:r w:rsidR="00971CEE">
        <w:rPr>
          <w:rFonts w:ascii="Arial" w:hAnsi="Arial" w:cs="Arial"/>
          <w:sz w:val="18"/>
          <w:szCs w:val="18"/>
          <w:lang w:val="fr-FR"/>
        </w:rPr>
        <w:t>’</w:t>
      </w:r>
      <w:r>
        <w:rPr>
          <w:rFonts w:ascii="Arial" w:hAnsi="Arial" w:cs="Arial"/>
          <w:sz w:val="18"/>
          <w:szCs w:val="18"/>
          <w:lang w:val="fr-FR"/>
        </w:rPr>
        <w:t>information, notamment pour déterminer si elle a été générée via l</w:t>
      </w:r>
      <w:r w:rsidR="00971CEE">
        <w:rPr>
          <w:rFonts w:ascii="Arial" w:hAnsi="Arial" w:cs="Arial"/>
          <w:sz w:val="18"/>
          <w:szCs w:val="18"/>
          <w:lang w:val="fr-FR"/>
        </w:rPr>
        <w:t>’</w:t>
      </w:r>
      <w:r>
        <w:rPr>
          <w:rFonts w:ascii="Arial" w:hAnsi="Arial" w:cs="Arial"/>
          <w:sz w:val="18"/>
          <w:szCs w:val="18"/>
          <w:lang w:val="fr-FR"/>
        </w:rPr>
        <w:t>exploitation d</w:t>
      </w:r>
      <w:r w:rsidR="00971CEE">
        <w:rPr>
          <w:rFonts w:ascii="Arial" w:hAnsi="Arial" w:cs="Arial"/>
          <w:sz w:val="18"/>
          <w:szCs w:val="18"/>
          <w:lang w:val="fr-FR"/>
        </w:rPr>
        <w:t>’</w:t>
      </w:r>
      <w:r>
        <w:rPr>
          <w:rFonts w:ascii="Arial" w:hAnsi="Arial" w:cs="Arial"/>
          <w:sz w:val="18"/>
          <w:szCs w:val="18"/>
          <w:lang w:val="fr-FR"/>
        </w:rPr>
        <w:t>une ressource génétique ou indépendamment, entre autres, de la proximité de l</w:t>
      </w:r>
      <w:r w:rsidR="00971CEE">
        <w:rPr>
          <w:rFonts w:ascii="Arial" w:hAnsi="Arial" w:cs="Arial"/>
          <w:sz w:val="18"/>
          <w:szCs w:val="18"/>
          <w:lang w:val="fr-FR"/>
        </w:rPr>
        <w:t>’</w:t>
      </w:r>
      <w:r>
        <w:rPr>
          <w:rFonts w:ascii="Arial" w:hAnsi="Arial" w:cs="Arial"/>
          <w:sz w:val="18"/>
          <w:szCs w:val="18"/>
          <w:lang w:val="fr-FR"/>
        </w:rPr>
        <w:t>information par rapport à la ressource génétique sous</w:t>
      </w:r>
      <w:r w:rsidR="00971CEE">
        <w:rPr>
          <w:rFonts w:ascii="Arial" w:hAnsi="Arial" w:cs="Arial"/>
          <w:sz w:val="18"/>
          <w:szCs w:val="18"/>
          <w:lang w:val="fr-FR"/>
        </w:rPr>
        <w:t>-</w:t>
      </w:r>
      <w:r>
        <w:rPr>
          <w:rFonts w:ascii="Arial" w:hAnsi="Arial" w:cs="Arial"/>
          <w:sz w:val="18"/>
          <w:szCs w:val="18"/>
          <w:lang w:val="fr-FR"/>
        </w:rPr>
        <w:t>jacente</w:t>
      </w:r>
      <w:r w:rsidRPr="003A3A14">
        <w:rPr>
          <w:rFonts w:ascii="Arial" w:hAnsi="Arial" w:cs="Arial"/>
          <w:sz w:val="18"/>
          <w:szCs w:val="18"/>
          <w:lang w:val="fr-FR"/>
        </w:rPr>
        <w:t>.</w:t>
      </w:r>
    </w:p>
  </w:footnote>
  <w:footnote w:id="16">
    <w:p w:rsidR="002657FC" w:rsidRPr="003A3A14" w:rsidRDefault="002657FC" w:rsidP="00C904F7">
      <w:pPr>
        <w:pStyle w:val="FootnoteText"/>
        <w:tabs>
          <w:tab w:val="left" w:pos="567"/>
        </w:tabs>
        <w:rPr>
          <w:szCs w:val="18"/>
          <w:lang w:val="fr-FR"/>
        </w:rPr>
      </w:pPr>
      <w:r w:rsidRPr="003A3A14">
        <w:rPr>
          <w:rStyle w:val="FootnoteReference"/>
          <w:szCs w:val="18"/>
          <w:lang w:val="fr-FR"/>
        </w:rPr>
        <w:footnoteRef/>
      </w:r>
      <w:r>
        <w:rPr>
          <w:szCs w:val="18"/>
          <w:lang w:val="fr-FR"/>
        </w:rPr>
        <w:t xml:space="preserve"> </w:t>
      </w:r>
      <w:r w:rsidRPr="003A3A14">
        <w:rPr>
          <w:szCs w:val="18"/>
          <w:lang w:val="fr-FR"/>
        </w:rPr>
        <w:tab/>
      </w:r>
      <w:r>
        <w:rPr>
          <w:szCs w:val="18"/>
          <w:lang w:val="fr-FR"/>
        </w:rPr>
        <w:t>Voir, par exemple, l</w:t>
      </w:r>
      <w:r w:rsidR="00971CEE">
        <w:rPr>
          <w:szCs w:val="18"/>
          <w:lang w:val="fr-FR"/>
        </w:rPr>
        <w:t>’</w:t>
      </w:r>
      <w:r>
        <w:rPr>
          <w:szCs w:val="18"/>
          <w:lang w:val="fr-FR"/>
        </w:rPr>
        <w:t>a</w:t>
      </w:r>
      <w:r w:rsidRPr="003A3A14">
        <w:rPr>
          <w:szCs w:val="18"/>
          <w:lang w:val="fr-FR"/>
        </w:rPr>
        <w:t>rt</w:t>
      </w:r>
      <w:r>
        <w:rPr>
          <w:szCs w:val="18"/>
          <w:lang w:val="fr-FR"/>
        </w:rPr>
        <w:t>icle </w:t>
      </w:r>
      <w:r w:rsidRPr="003A3A14">
        <w:rPr>
          <w:szCs w:val="18"/>
          <w:lang w:val="fr-FR"/>
        </w:rPr>
        <w:t>1</w:t>
      </w:r>
      <w:r>
        <w:rPr>
          <w:szCs w:val="18"/>
          <w:lang w:val="fr-FR"/>
        </w:rPr>
        <w:t>.</w:t>
      </w:r>
      <w:r w:rsidRPr="003A3A14">
        <w:rPr>
          <w:i/>
          <w:szCs w:val="18"/>
          <w:lang w:val="fr-FR"/>
        </w:rPr>
        <w:t>b</w:t>
      </w:r>
      <w:r>
        <w:rPr>
          <w:i/>
          <w:szCs w:val="18"/>
          <w:lang w:val="fr-FR"/>
        </w:rPr>
        <w:t xml:space="preserve">, </w:t>
      </w:r>
      <w:r w:rsidRPr="003A3A14">
        <w:rPr>
          <w:szCs w:val="18"/>
          <w:lang w:val="fr-FR"/>
        </w:rPr>
        <w:t>para</w:t>
      </w:r>
      <w:r>
        <w:rPr>
          <w:szCs w:val="18"/>
          <w:lang w:val="fr-FR"/>
        </w:rPr>
        <w:t>graphe </w:t>
      </w:r>
      <w:r w:rsidRPr="003A3A14">
        <w:rPr>
          <w:szCs w:val="18"/>
          <w:lang w:val="fr-FR"/>
        </w:rPr>
        <w:t>1</w:t>
      </w:r>
      <w:r>
        <w:rPr>
          <w:szCs w:val="18"/>
          <w:lang w:val="fr-FR"/>
        </w:rPr>
        <w:t>, de la Loi suisse sur les brevets</w:t>
      </w:r>
      <w:r w:rsidRPr="003A3A14">
        <w:rPr>
          <w:szCs w:val="18"/>
          <w:lang w:val="fr-FR"/>
        </w:rPr>
        <w:t>.</w:t>
      </w:r>
    </w:p>
  </w:footnote>
  <w:footnote w:id="17">
    <w:p w:rsidR="002657FC" w:rsidRPr="00CF5DA0" w:rsidRDefault="002657FC" w:rsidP="00C904F7">
      <w:pPr>
        <w:pStyle w:val="FootnoteText"/>
        <w:tabs>
          <w:tab w:val="left" w:pos="567"/>
        </w:tabs>
        <w:rPr>
          <w:szCs w:val="18"/>
          <w:lang w:val="fr-FR"/>
        </w:rPr>
      </w:pPr>
      <w:r w:rsidRPr="003A3A14">
        <w:rPr>
          <w:rStyle w:val="FootnoteReference"/>
          <w:szCs w:val="18"/>
          <w:lang w:val="fr-FR"/>
        </w:rPr>
        <w:footnoteRef/>
      </w:r>
      <w:r>
        <w:rPr>
          <w:szCs w:val="18"/>
          <w:lang w:val="fr-FR"/>
        </w:rPr>
        <w:t xml:space="preserve"> </w:t>
      </w:r>
      <w:r w:rsidRPr="003A3A14">
        <w:rPr>
          <w:szCs w:val="18"/>
          <w:lang w:val="fr-FR"/>
        </w:rPr>
        <w:tab/>
      </w:r>
      <w:r>
        <w:rPr>
          <w:szCs w:val="18"/>
          <w:lang w:val="fr-FR"/>
        </w:rPr>
        <w:t>Non seulement les humains ont plus de 98% de leur ADN et presque tous leurs g</w:t>
      </w:r>
      <w:r w:rsidR="00626B5E">
        <w:rPr>
          <w:szCs w:val="18"/>
          <w:lang w:val="fr-FR"/>
        </w:rPr>
        <w:t>è</w:t>
      </w:r>
      <w:r>
        <w:rPr>
          <w:szCs w:val="18"/>
          <w:lang w:val="fr-FR"/>
        </w:rPr>
        <w:t>nes en commun avec leur proche parent, le chimpanzé, mais les animaux et les végétaux ont aussi beaucoup de gènes en commun.</w:t>
      </w:r>
    </w:p>
  </w:footnote>
  <w:footnote w:id="18">
    <w:p w:rsidR="002657FC" w:rsidRPr="003C2FCC" w:rsidRDefault="002657FC" w:rsidP="00C904F7">
      <w:pPr>
        <w:pStyle w:val="FootnoteText"/>
        <w:tabs>
          <w:tab w:val="left" w:pos="567"/>
        </w:tabs>
        <w:rPr>
          <w:lang w:val="en-US"/>
        </w:rPr>
      </w:pPr>
      <w:r w:rsidRPr="003A3A14">
        <w:rPr>
          <w:rStyle w:val="FootnoteReference"/>
          <w:szCs w:val="18"/>
          <w:lang w:val="fr-FR"/>
        </w:rPr>
        <w:footnoteRef/>
      </w:r>
      <w:r>
        <w:rPr>
          <w:szCs w:val="18"/>
          <w:lang w:val="fr-FR"/>
        </w:rPr>
        <w:t xml:space="preserve"> </w:t>
      </w:r>
      <w:r w:rsidRPr="003A3A14">
        <w:rPr>
          <w:szCs w:val="18"/>
          <w:lang w:val="fr-FR"/>
        </w:rPr>
        <w:tab/>
      </w:r>
      <w:r>
        <w:rPr>
          <w:szCs w:val="18"/>
          <w:lang w:val="fr-FR"/>
        </w:rPr>
        <w:t>Voir, par exemple</w:t>
      </w:r>
      <w:r w:rsidR="00971CEE">
        <w:rPr>
          <w:szCs w:val="18"/>
          <w:lang w:val="fr-FR"/>
        </w:rPr>
        <w:t> :</w:t>
      </w:r>
      <w:r w:rsidRPr="003A3A14">
        <w:rPr>
          <w:szCs w:val="18"/>
          <w:lang w:val="fr-FR"/>
        </w:rPr>
        <w:t xml:space="preserve"> </w:t>
      </w:r>
      <w:proofErr w:type="spellStart"/>
      <w:r w:rsidRPr="003A3A14">
        <w:rPr>
          <w:szCs w:val="18"/>
          <w:lang w:val="fr-FR"/>
        </w:rPr>
        <w:t>Qingyu</w:t>
      </w:r>
      <w:proofErr w:type="spellEnd"/>
      <w:r w:rsidRPr="003A3A14">
        <w:rPr>
          <w:szCs w:val="18"/>
          <w:lang w:val="fr-FR"/>
        </w:rPr>
        <w:t xml:space="preserve"> Chen, Justin </w:t>
      </w:r>
      <w:proofErr w:type="spellStart"/>
      <w:r w:rsidRPr="003A3A14">
        <w:rPr>
          <w:szCs w:val="18"/>
          <w:lang w:val="fr-FR"/>
        </w:rPr>
        <w:t>Zobel</w:t>
      </w:r>
      <w:proofErr w:type="spellEnd"/>
      <w:r w:rsidRPr="003A3A14">
        <w:rPr>
          <w:szCs w:val="18"/>
          <w:lang w:val="fr-FR"/>
        </w:rPr>
        <w:t xml:space="preserve">, Karin </w:t>
      </w:r>
      <w:proofErr w:type="spellStart"/>
      <w:r w:rsidRPr="003A3A14">
        <w:rPr>
          <w:szCs w:val="18"/>
          <w:lang w:val="fr-FR"/>
        </w:rPr>
        <w:t>Verspoor</w:t>
      </w:r>
      <w:proofErr w:type="spellEnd"/>
      <w:r w:rsidR="00626B5E">
        <w:rPr>
          <w:szCs w:val="18"/>
          <w:lang w:val="fr-FR"/>
        </w:rPr>
        <w:t xml:space="preserve">.  </w:t>
      </w:r>
      <w:r w:rsidRPr="003C2FCC">
        <w:rPr>
          <w:i/>
          <w:iCs/>
          <w:szCs w:val="18"/>
          <w:lang w:val="en-US"/>
        </w:rPr>
        <w:t>Duplicates, redundancies and inconsistencies in the primary nucleotide databases</w:t>
      </w:r>
      <w:r w:rsidR="00626B5E">
        <w:rPr>
          <w:i/>
          <w:iCs/>
          <w:szCs w:val="18"/>
          <w:lang w:val="en-US"/>
        </w:rPr>
        <w:t>:</w:t>
      </w:r>
      <w:r w:rsidRPr="003C2FCC">
        <w:rPr>
          <w:i/>
          <w:iCs/>
          <w:szCs w:val="18"/>
          <w:lang w:val="en-US"/>
        </w:rPr>
        <w:t xml:space="preserve"> a descriptive study</w:t>
      </w:r>
      <w:r w:rsidR="00626B5E">
        <w:rPr>
          <w:szCs w:val="18"/>
          <w:lang w:val="en-US"/>
        </w:rPr>
        <w:t xml:space="preserve">.  </w:t>
      </w:r>
      <w:r w:rsidRPr="003C2FCC">
        <w:rPr>
          <w:szCs w:val="18"/>
          <w:lang w:val="en-US"/>
        </w:rPr>
        <w:t xml:space="preserve">Database, Volume 2017, </w:t>
      </w:r>
      <w:hyperlink r:id="rId10" w:history="1">
        <w:r w:rsidR="00626B5E">
          <w:rPr>
            <w:rStyle w:val="Hyperlink"/>
            <w:szCs w:val="18"/>
            <w:lang w:val="en-US"/>
          </w:rPr>
          <w:t>https:</w:t>
        </w:r>
        <w:r w:rsidRPr="003C2FCC">
          <w:rPr>
            <w:rStyle w:val="Hyperlink"/>
            <w:szCs w:val="18"/>
            <w:lang w:val="en-US"/>
          </w:rPr>
          <w:t>//doi.org/10.1093/database/baw163</w:t>
        </w:r>
      </w:hyperlink>
      <w:r w:rsidR="001C08FD" w:rsidRPr="001C08FD">
        <w:rPr>
          <w:rStyle w:val="Hyperlink"/>
          <w:color w:val="auto"/>
          <w:szCs w:val="18"/>
          <w:u w:val="none"/>
          <w:lang w:val="en-US"/>
        </w:rPr>
        <w:t>.</w:t>
      </w:r>
    </w:p>
  </w:footnote>
  <w:footnote w:id="19">
    <w:p w:rsidR="002657FC" w:rsidRPr="00ED5D1F" w:rsidRDefault="002657FC" w:rsidP="00C904F7">
      <w:pPr>
        <w:pStyle w:val="FootnoteText"/>
        <w:tabs>
          <w:tab w:val="left" w:pos="567"/>
        </w:tabs>
        <w:rPr>
          <w:lang w:val="fr-FR"/>
        </w:rPr>
      </w:pPr>
      <w:r w:rsidRPr="000B45D9">
        <w:rPr>
          <w:rStyle w:val="FootnoteReference"/>
        </w:rPr>
        <w:footnoteRef/>
      </w:r>
      <w:r w:rsidRPr="00CC5DF6">
        <w:rPr>
          <w:lang w:val="en-US"/>
        </w:rPr>
        <w:t xml:space="preserve"> </w:t>
      </w:r>
      <w:r w:rsidRPr="00CC5DF6">
        <w:rPr>
          <w:lang w:val="en-US"/>
        </w:rPr>
        <w:tab/>
      </w:r>
      <w:r w:rsidRPr="003C2FCC">
        <w:rPr>
          <w:lang w:val="en-US"/>
        </w:rPr>
        <w:t xml:space="preserve">Oldham P, Hall S, </w:t>
      </w:r>
      <w:proofErr w:type="spellStart"/>
      <w:r w:rsidRPr="003C2FCC">
        <w:rPr>
          <w:lang w:val="en-US"/>
        </w:rPr>
        <w:t>Forero</w:t>
      </w:r>
      <w:proofErr w:type="spellEnd"/>
      <w:r w:rsidRPr="003C2FCC">
        <w:rPr>
          <w:lang w:val="en-US"/>
        </w:rPr>
        <w:t xml:space="preserve"> O (2013) Biological Diversity in the Patent System</w:t>
      </w:r>
      <w:r w:rsidR="00626B5E">
        <w:rPr>
          <w:lang w:val="en-US"/>
        </w:rPr>
        <w:t xml:space="preserve">.  </w:t>
      </w:r>
      <w:proofErr w:type="spellStart"/>
      <w:r w:rsidRPr="00ED5D1F">
        <w:rPr>
          <w:lang w:val="fr-FR"/>
        </w:rPr>
        <w:t>PLoS</w:t>
      </w:r>
      <w:proofErr w:type="spellEnd"/>
      <w:r w:rsidRPr="00ED5D1F">
        <w:rPr>
          <w:lang w:val="fr-FR"/>
        </w:rPr>
        <w:t xml:space="preserve"> ONE 8(11)</w:t>
      </w:r>
      <w:r w:rsidR="00971CEE">
        <w:rPr>
          <w:lang w:val="fr-FR"/>
        </w:rPr>
        <w:t> :</w:t>
      </w:r>
      <w:r w:rsidRPr="00ED5D1F">
        <w:rPr>
          <w:lang w:val="fr-FR"/>
        </w:rPr>
        <w:t xml:space="preserve"> e78737</w:t>
      </w:r>
      <w:r w:rsidR="00626B5E">
        <w:rPr>
          <w:lang w:val="fr-FR"/>
        </w:rPr>
        <w:t xml:space="preserve">.  </w:t>
      </w:r>
      <w:proofErr w:type="gramStart"/>
      <w:r w:rsidRPr="00ED5D1F">
        <w:rPr>
          <w:lang w:val="fr-FR"/>
        </w:rPr>
        <w:t>doi</w:t>
      </w:r>
      <w:r w:rsidR="00626B5E">
        <w:rPr>
          <w:lang w:val="fr-FR"/>
        </w:rPr>
        <w:t>:</w:t>
      </w:r>
      <w:r w:rsidRPr="00ED5D1F">
        <w:rPr>
          <w:lang w:val="fr-FR"/>
        </w:rPr>
        <w:t>10</w:t>
      </w:r>
      <w:r w:rsidR="00E74831">
        <w:rPr>
          <w:lang w:val="fr-FR"/>
        </w:rPr>
        <w:t>.</w:t>
      </w:r>
      <w:r w:rsidRPr="00ED5D1F">
        <w:rPr>
          <w:lang w:val="fr-FR"/>
        </w:rPr>
        <w:t>1371/journal.pone</w:t>
      </w:r>
      <w:proofErr w:type="gramEnd"/>
      <w:r w:rsidRPr="00ED5D1F">
        <w:rPr>
          <w:lang w:val="fr-FR"/>
        </w:rPr>
        <w:t>.0</w:t>
      </w:r>
      <w:r>
        <w:rPr>
          <w:lang w:val="fr-FR"/>
        </w:rPr>
        <w:t> 078 </w:t>
      </w:r>
      <w:r w:rsidRPr="00ED5D1F">
        <w:rPr>
          <w:lang w:val="fr-FR"/>
        </w:rPr>
        <w:t>737.</w:t>
      </w:r>
    </w:p>
  </w:footnote>
  <w:footnote w:id="20">
    <w:p w:rsidR="002657FC" w:rsidRPr="00ED5D1F" w:rsidRDefault="002657FC" w:rsidP="00C904F7">
      <w:pPr>
        <w:pStyle w:val="FootnoteText"/>
        <w:tabs>
          <w:tab w:val="left" w:pos="567"/>
        </w:tabs>
        <w:rPr>
          <w:lang w:val="fr-FR"/>
        </w:rPr>
      </w:pPr>
      <w:r w:rsidRPr="00ED5D1F">
        <w:rPr>
          <w:rStyle w:val="FootnoteReference"/>
          <w:lang w:val="fr-FR"/>
        </w:rPr>
        <w:footnoteRef/>
      </w:r>
      <w:r w:rsidRPr="00ED5D1F">
        <w:rPr>
          <w:lang w:val="fr-FR"/>
        </w:rPr>
        <w:t xml:space="preserve"> </w:t>
      </w:r>
      <w:r w:rsidRPr="00ED5D1F">
        <w:rPr>
          <w:lang w:val="fr-FR"/>
        </w:rPr>
        <w:tab/>
        <w:t>Pourcentages calculés d</w:t>
      </w:r>
      <w:r w:rsidR="00971CEE">
        <w:rPr>
          <w:lang w:val="fr-FR"/>
        </w:rPr>
        <w:t>’</w:t>
      </w:r>
      <w:r w:rsidRPr="00ED5D1F">
        <w:rPr>
          <w:lang w:val="fr-FR"/>
        </w:rPr>
        <w:t xml:space="preserve">après la </w:t>
      </w:r>
      <w:r>
        <w:rPr>
          <w:lang w:val="fr-FR"/>
        </w:rPr>
        <w:t>f</w:t>
      </w:r>
      <w:r w:rsidRPr="00ED5D1F">
        <w:rPr>
          <w:lang w:val="fr-FR"/>
        </w:rPr>
        <w:t>igure</w:t>
      </w:r>
      <w:r w:rsidR="00626B5E">
        <w:rPr>
          <w:lang w:val="fr-FR"/>
        </w:rPr>
        <w:t> </w:t>
      </w:r>
      <w:r w:rsidRPr="00ED5D1F">
        <w:rPr>
          <w:lang w:val="fr-FR"/>
        </w:rPr>
        <w:t xml:space="preserve">4 du </w:t>
      </w:r>
      <w:r>
        <w:rPr>
          <w:lang w:val="fr-FR"/>
        </w:rPr>
        <w:t>r</w:t>
      </w:r>
      <w:r w:rsidRPr="00ED5D1F">
        <w:rPr>
          <w:lang w:val="fr-FR"/>
        </w:rPr>
        <w:t>apport.</w:t>
      </w:r>
    </w:p>
  </w:footnote>
  <w:footnote w:id="21">
    <w:p w:rsidR="002657FC" w:rsidRPr="00ED5D1F" w:rsidRDefault="002657FC" w:rsidP="00C904F7">
      <w:pPr>
        <w:pStyle w:val="FootnoteText"/>
        <w:tabs>
          <w:tab w:val="left" w:pos="567"/>
        </w:tabs>
        <w:rPr>
          <w:lang w:val="fr-FR"/>
        </w:rPr>
      </w:pPr>
      <w:r w:rsidRPr="00ED5D1F">
        <w:rPr>
          <w:rStyle w:val="FootnoteReference"/>
          <w:lang w:val="fr-FR"/>
        </w:rPr>
        <w:footnoteRef/>
      </w:r>
      <w:r>
        <w:rPr>
          <w:lang w:val="fr-FR"/>
        </w:rPr>
        <w:t xml:space="preserve"> </w:t>
      </w:r>
      <w:r w:rsidRPr="00ED5D1F">
        <w:rPr>
          <w:lang w:val="fr-FR"/>
        </w:rPr>
        <w:tab/>
      </w:r>
      <w:r>
        <w:rPr>
          <w:lang w:val="fr-FR"/>
        </w:rPr>
        <w:t>Voir</w:t>
      </w:r>
      <w:r w:rsidRPr="00ED5D1F">
        <w:rPr>
          <w:lang w:val="fr-FR"/>
        </w:rPr>
        <w:t xml:space="preserve"> Section</w:t>
      </w:r>
      <w:r>
        <w:rPr>
          <w:lang w:val="fr-FR"/>
        </w:rPr>
        <w:t> </w:t>
      </w:r>
      <w:r w:rsidRPr="00ED5D1F">
        <w:rPr>
          <w:lang w:val="fr-FR"/>
        </w:rPr>
        <w:t>II.C</w:t>
      </w:r>
      <w:r w:rsidR="00626B5E">
        <w:rPr>
          <w:lang w:val="fr-FR"/>
        </w:rPr>
        <w:t xml:space="preserve">.  </w:t>
      </w:r>
      <w:r>
        <w:rPr>
          <w:lang w:val="fr-FR"/>
        </w:rPr>
        <w:t>du document</w:t>
      </w:r>
      <w:r w:rsidRPr="00ED5D1F">
        <w:rPr>
          <w:lang w:val="fr-FR"/>
        </w:rPr>
        <w:t xml:space="preserve"> </w:t>
      </w:r>
      <w:hyperlink r:id="rId11" w:history="1">
        <w:r w:rsidR="00370098">
          <w:rPr>
            <w:rStyle w:val="Hyperlink"/>
            <w:lang w:val="fr-FR"/>
          </w:rPr>
          <w:t>WIPO/G</w:t>
        </w:r>
        <w:r w:rsidR="00370098">
          <w:rPr>
            <w:rStyle w:val="Hyperlink"/>
            <w:lang w:val="fr-FR"/>
          </w:rPr>
          <w:t>R</w:t>
        </w:r>
        <w:r w:rsidR="00370098">
          <w:rPr>
            <w:rStyle w:val="Hyperlink"/>
            <w:lang w:val="fr-FR"/>
          </w:rPr>
          <w:t>TKF/IC/31/8</w:t>
        </w:r>
      </w:hyperlink>
      <w:r w:rsidRPr="00ED5D1F">
        <w:rPr>
          <w:color w:val="3B3B3B"/>
          <w:lang w:val="fr-FR"/>
        </w:rPr>
        <w:t>.</w:t>
      </w:r>
    </w:p>
  </w:footnote>
  <w:footnote w:id="22">
    <w:p w:rsidR="002657FC" w:rsidRPr="00ED5D1F" w:rsidRDefault="002657FC" w:rsidP="00C904F7">
      <w:pPr>
        <w:pStyle w:val="FootnoteText"/>
        <w:tabs>
          <w:tab w:val="left" w:pos="360"/>
          <w:tab w:val="left" w:pos="567"/>
        </w:tabs>
        <w:rPr>
          <w:szCs w:val="18"/>
          <w:lang w:val="fr-FR"/>
        </w:rPr>
      </w:pPr>
      <w:r w:rsidRPr="00ED5D1F">
        <w:rPr>
          <w:rStyle w:val="FootnoteReference"/>
          <w:szCs w:val="18"/>
          <w:lang w:val="fr-FR"/>
        </w:rPr>
        <w:footnoteRef/>
      </w:r>
      <w:r w:rsidRPr="00ED5D1F">
        <w:rPr>
          <w:szCs w:val="18"/>
          <w:lang w:val="fr-FR"/>
        </w:rPr>
        <w:t xml:space="preserve"> </w:t>
      </w:r>
      <w:r w:rsidRPr="00ED5D1F">
        <w:rPr>
          <w:szCs w:val="18"/>
          <w:lang w:val="fr-FR"/>
        </w:rPr>
        <w:tab/>
      </w:r>
      <w:hyperlink r:id="rId12" w:history="1">
        <w:r w:rsidR="00626B5E">
          <w:rPr>
            <w:rStyle w:val="Hyperlink"/>
            <w:szCs w:val="18"/>
            <w:lang w:val="fr-FR"/>
          </w:rPr>
          <w:t>Site Web</w:t>
        </w:r>
        <w:r>
          <w:rPr>
            <w:rStyle w:val="Hyperlink"/>
            <w:szCs w:val="18"/>
            <w:lang w:val="fr-FR"/>
          </w:rPr>
          <w:t xml:space="preserve"> de l</w:t>
        </w:r>
        <w:r w:rsidR="00971CEE">
          <w:rPr>
            <w:rStyle w:val="Hyperlink"/>
            <w:szCs w:val="18"/>
            <w:lang w:val="fr-FR"/>
          </w:rPr>
          <w:t>’</w:t>
        </w:r>
        <w:r>
          <w:rPr>
            <w:rStyle w:val="Hyperlink"/>
            <w:szCs w:val="18"/>
            <w:lang w:val="fr-FR"/>
          </w:rPr>
          <w:t>Office fédéral de l</w:t>
        </w:r>
        <w:r w:rsidR="00971CEE">
          <w:rPr>
            <w:rStyle w:val="Hyperlink"/>
            <w:szCs w:val="18"/>
            <w:lang w:val="fr-FR"/>
          </w:rPr>
          <w:t>’</w:t>
        </w:r>
        <w:r>
          <w:rPr>
            <w:rStyle w:val="Hyperlink"/>
            <w:szCs w:val="18"/>
            <w:lang w:val="fr-FR"/>
          </w:rPr>
          <w:t>environnement</w:t>
        </w:r>
      </w:hyperlink>
      <w:r w:rsidRPr="00ED5D1F">
        <w:rPr>
          <w:szCs w:val="18"/>
          <w:lang w:val="fr-FR"/>
        </w:rPr>
        <w:t xml:space="preserve">, </w:t>
      </w:r>
      <w:r>
        <w:rPr>
          <w:szCs w:val="18"/>
          <w:lang w:val="fr-FR"/>
        </w:rPr>
        <w:t>consulté le</w:t>
      </w:r>
      <w:r w:rsidRPr="00ED5D1F">
        <w:rPr>
          <w:szCs w:val="18"/>
          <w:lang w:val="fr-FR"/>
        </w:rPr>
        <w:t xml:space="preserve"> 22</w:t>
      </w:r>
      <w:r w:rsidR="001C08FD">
        <w:rPr>
          <w:szCs w:val="18"/>
          <w:lang w:val="fr-FR"/>
        </w:rPr>
        <w:t> novembre </w:t>
      </w:r>
      <w:r w:rsidRPr="00ED5D1F">
        <w:rPr>
          <w:szCs w:val="18"/>
          <w:lang w:val="fr-FR"/>
        </w:rPr>
        <w:t>2019.</w:t>
      </w:r>
    </w:p>
  </w:footnote>
  <w:footnote w:id="23">
    <w:p w:rsidR="002657FC" w:rsidRPr="00ED5D1F" w:rsidRDefault="002657FC" w:rsidP="00C904F7">
      <w:pPr>
        <w:pStyle w:val="FootnoteText"/>
        <w:tabs>
          <w:tab w:val="left" w:pos="360"/>
          <w:tab w:val="left" w:pos="567"/>
        </w:tabs>
        <w:rPr>
          <w:szCs w:val="18"/>
          <w:lang w:val="fr-FR"/>
        </w:rPr>
      </w:pPr>
      <w:r w:rsidRPr="00ED5D1F">
        <w:rPr>
          <w:rStyle w:val="FootnoteReference"/>
          <w:szCs w:val="18"/>
          <w:lang w:val="fr-FR"/>
        </w:rPr>
        <w:footnoteRef/>
      </w:r>
      <w:r w:rsidRPr="00ED5D1F">
        <w:rPr>
          <w:szCs w:val="18"/>
          <w:lang w:val="fr-FR"/>
        </w:rPr>
        <w:t xml:space="preserve"> </w:t>
      </w:r>
      <w:r w:rsidRPr="00ED5D1F">
        <w:rPr>
          <w:szCs w:val="18"/>
          <w:lang w:val="fr-FR"/>
        </w:rPr>
        <w:tab/>
      </w:r>
      <w:r>
        <w:rPr>
          <w:szCs w:val="18"/>
          <w:lang w:val="fr-FR"/>
        </w:rPr>
        <w:t>On estime que les collections d</w:t>
      </w:r>
      <w:r w:rsidR="00971CEE">
        <w:rPr>
          <w:szCs w:val="18"/>
          <w:lang w:val="fr-FR"/>
        </w:rPr>
        <w:t>’</w:t>
      </w:r>
      <w:r>
        <w:rPr>
          <w:szCs w:val="18"/>
          <w:lang w:val="fr-FR"/>
        </w:rPr>
        <w:t>histoire naturelle renferment 2 à 4 milliards de spécimens dans le monde entier</w:t>
      </w:r>
      <w:r w:rsidR="00626B5E">
        <w:rPr>
          <w:szCs w:val="18"/>
          <w:lang w:val="fr-FR"/>
        </w:rPr>
        <w:t xml:space="preserve">.  </w:t>
      </w:r>
      <w:r>
        <w:rPr>
          <w:szCs w:val="18"/>
          <w:lang w:val="fr-FR"/>
        </w:rPr>
        <w:t>Ces collections contiennent aussi fréquemment un grand volume de matériel non trié et aujourd</w:t>
      </w:r>
      <w:r w:rsidR="00971CEE">
        <w:rPr>
          <w:szCs w:val="18"/>
          <w:lang w:val="fr-FR"/>
        </w:rPr>
        <w:t>’</w:t>
      </w:r>
      <w:r>
        <w:rPr>
          <w:szCs w:val="18"/>
          <w:lang w:val="fr-FR"/>
        </w:rPr>
        <w:t>hui la majorité des espèces nouvellement décrites sont découvertes dans des collections existantes</w:t>
      </w:r>
      <w:r w:rsidR="00626B5E">
        <w:rPr>
          <w:szCs w:val="18"/>
          <w:lang w:val="fr-FR"/>
        </w:rPr>
        <w:t xml:space="preserve">.  </w:t>
      </w:r>
      <w:r>
        <w:rPr>
          <w:szCs w:val="18"/>
          <w:lang w:val="fr-FR"/>
        </w:rPr>
        <w:t>Voir</w:t>
      </w:r>
      <w:r w:rsidR="00971CEE">
        <w:rPr>
          <w:szCs w:val="18"/>
          <w:lang w:val="fr-FR"/>
        </w:rPr>
        <w:t> :</w:t>
      </w:r>
      <w:r w:rsidRPr="00ED5D1F">
        <w:rPr>
          <w:szCs w:val="18"/>
          <w:lang w:val="fr-FR"/>
        </w:rPr>
        <w:t xml:space="preserve"> </w:t>
      </w:r>
      <w:hyperlink r:id="rId13" w:anchor="RSTB20170386C29" w:history="1">
        <w:r w:rsidR="00626B5E">
          <w:rPr>
            <w:rStyle w:val="Hyperlink"/>
            <w:szCs w:val="18"/>
            <w:lang w:val="fr-FR"/>
          </w:rPr>
          <w:t>https:</w:t>
        </w:r>
        <w:r w:rsidRPr="00ED5D1F">
          <w:rPr>
            <w:rStyle w:val="Hyperlink"/>
            <w:szCs w:val="18"/>
            <w:lang w:val="fr-FR"/>
          </w:rPr>
          <w:t>//www.ncbi.nlm.nih.gov/pmc/articles/PMC6282082/#RSTB20170386C29</w:t>
        </w:r>
      </w:hyperlink>
      <w:r w:rsidRPr="00ED5D1F">
        <w:rPr>
          <w:szCs w:val="18"/>
          <w:lang w:val="fr-FR"/>
        </w:rPr>
        <w:t>.</w:t>
      </w:r>
    </w:p>
  </w:footnote>
  <w:footnote w:id="24">
    <w:p w:rsidR="002657FC" w:rsidRPr="00800106" w:rsidRDefault="002657FC" w:rsidP="00C904F7">
      <w:pPr>
        <w:pStyle w:val="FootnoteText"/>
        <w:tabs>
          <w:tab w:val="left" w:pos="360"/>
          <w:tab w:val="left" w:pos="567"/>
        </w:tabs>
        <w:rPr>
          <w:szCs w:val="18"/>
          <w:lang w:val="fr-FR"/>
        </w:rPr>
      </w:pPr>
      <w:r w:rsidRPr="000B45D9">
        <w:rPr>
          <w:rStyle w:val="FootnoteReference"/>
          <w:szCs w:val="18"/>
        </w:rPr>
        <w:footnoteRef/>
      </w:r>
      <w:r>
        <w:rPr>
          <w:szCs w:val="18"/>
        </w:rPr>
        <w:t xml:space="preserve"> </w:t>
      </w:r>
      <w:r w:rsidRPr="003C2FCC">
        <w:rPr>
          <w:szCs w:val="18"/>
        </w:rPr>
        <w:tab/>
      </w:r>
      <w:r w:rsidRPr="00800106">
        <w:rPr>
          <w:szCs w:val="18"/>
          <w:lang w:val="fr-FR"/>
        </w:rPr>
        <w:t>Voir chapitre</w:t>
      </w:r>
      <w:r>
        <w:rPr>
          <w:szCs w:val="18"/>
          <w:lang w:val="fr-FR"/>
        </w:rPr>
        <w:t> </w:t>
      </w:r>
      <w:r w:rsidRPr="00800106">
        <w:rPr>
          <w:szCs w:val="18"/>
          <w:lang w:val="fr-FR"/>
        </w:rPr>
        <w:t xml:space="preserve">4 du </w:t>
      </w:r>
      <w:hyperlink r:id="rId14" w:history="1">
        <w:r w:rsidRPr="00800106">
          <w:rPr>
            <w:rStyle w:val="Hyperlink"/>
            <w:szCs w:val="18"/>
            <w:lang w:val="fr-FR"/>
          </w:rPr>
          <w:t>Rapport 2019 sur la propriété intellectuelle dans le monde</w:t>
        </w:r>
      </w:hyperlink>
      <w:r w:rsidRPr="001C08FD">
        <w:rPr>
          <w:rStyle w:val="Hyperlink"/>
          <w:color w:val="auto"/>
          <w:szCs w:val="18"/>
          <w:u w:val="none"/>
          <w:lang w:val="fr-FR"/>
        </w:rPr>
        <w:t>.</w:t>
      </w:r>
    </w:p>
  </w:footnote>
  <w:footnote w:id="25">
    <w:p w:rsidR="002657FC" w:rsidRPr="00800106" w:rsidRDefault="002657FC" w:rsidP="00C904F7">
      <w:pPr>
        <w:tabs>
          <w:tab w:val="left" w:pos="360"/>
          <w:tab w:val="left" w:pos="567"/>
        </w:tabs>
        <w:autoSpaceDE w:val="0"/>
        <w:autoSpaceDN w:val="0"/>
        <w:adjustRightInd w:val="0"/>
        <w:rPr>
          <w:sz w:val="18"/>
          <w:szCs w:val="18"/>
          <w:lang w:val="fr-FR"/>
        </w:rPr>
      </w:pPr>
      <w:r w:rsidRPr="00800106">
        <w:rPr>
          <w:rStyle w:val="FootnoteReference"/>
          <w:sz w:val="18"/>
          <w:szCs w:val="18"/>
          <w:lang w:val="fr-FR"/>
        </w:rPr>
        <w:footnoteRef/>
      </w:r>
      <w:r>
        <w:rPr>
          <w:sz w:val="18"/>
          <w:szCs w:val="18"/>
          <w:lang w:val="fr-FR"/>
        </w:rPr>
        <w:t xml:space="preserve"> </w:t>
      </w:r>
      <w:r w:rsidRPr="00800106">
        <w:rPr>
          <w:sz w:val="18"/>
          <w:szCs w:val="18"/>
          <w:lang w:val="fr-FR"/>
        </w:rPr>
        <w:tab/>
      </w:r>
      <w:r>
        <w:rPr>
          <w:sz w:val="18"/>
          <w:szCs w:val="18"/>
          <w:lang w:val="fr-FR"/>
        </w:rPr>
        <w:t>Le</w:t>
      </w:r>
      <w:r w:rsidRPr="00800106">
        <w:rPr>
          <w:sz w:val="18"/>
          <w:szCs w:val="18"/>
          <w:lang w:val="fr-FR"/>
        </w:rPr>
        <w:t xml:space="preserve"> </w:t>
      </w:r>
      <w:hyperlink r:id="rId15" w:history="1">
        <w:r>
          <w:rPr>
            <w:rStyle w:val="Hyperlink"/>
            <w:bCs/>
            <w:sz w:val="18"/>
            <w:szCs w:val="18"/>
            <w:lang w:val="fr-FR"/>
          </w:rPr>
          <w:t>Rapport panoramique sur les brevets relatif aux ressources génétiques marines</w:t>
        </w:r>
      </w:hyperlink>
      <w:r w:rsidRPr="00800106">
        <w:rPr>
          <w:sz w:val="18"/>
          <w:szCs w:val="18"/>
          <w:lang w:val="fr-FR"/>
        </w:rPr>
        <w:t xml:space="preserve"> </w:t>
      </w:r>
      <w:r>
        <w:rPr>
          <w:sz w:val="18"/>
          <w:szCs w:val="18"/>
          <w:lang w:val="fr-FR"/>
        </w:rPr>
        <w:t>de 2019 révèle, entre autres, que la recherche génétique marine dans la région de l</w:t>
      </w:r>
      <w:r w:rsidR="00971CEE">
        <w:rPr>
          <w:sz w:val="18"/>
          <w:szCs w:val="18"/>
          <w:lang w:val="fr-FR"/>
        </w:rPr>
        <w:t>’</w:t>
      </w:r>
      <w:r>
        <w:rPr>
          <w:sz w:val="18"/>
          <w:szCs w:val="18"/>
          <w:lang w:val="fr-FR"/>
        </w:rPr>
        <w:t>ASEAN revêt de plus en plus un caractère international</w:t>
      </w:r>
      <w:r w:rsidR="00626B5E">
        <w:rPr>
          <w:sz w:val="18"/>
          <w:szCs w:val="18"/>
          <w:lang w:val="fr-FR"/>
        </w:rPr>
        <w:t xml:space="preserve">.  </w:t>
      </w:r>
      <w:r>
        <w:rPr>
          <w:sz w:val="18"/>
          <w:szCs w:val="18"/>
          <w:lang w:val="fr-FR"/>
        </w:rPr>
        <w:t>Ce rapport mentionne des collaborations entre chercheurs de plus de 130</w:t>
      </w:r>
      <w:r w:rsidR="000B2FBE">
        <w:rPr>
          <w:sz w:val="18"/>
          <w:szCs w:val="18"/>
          <w:lang w:val="fr-FR"/>
        </w:rPr>
        <w:t> </w:t>
      </w:r>
      <w:r>
        <w:rPr>
          <w:sz w:val="18"/>
          <w:szCs w:val="18"/>
          <w:lang w:val="fr-FR"/>
        </w:rPr>
        <w:t>pays ainsi qu</w:t>
      </w:r>
      <w:r w:rsidR="00971CEE">
        <w:rPr>
          <w:sz w:val="18"/>
          <w:szCs w:val="18"/>
          <w:lang w:val="fr-FR"/>
        </w:rPr>
        <w:t>’</w:t>
      </w:r>
      <w:r>
        <w:rPr>
          <w:sz w:val="18"/>
          <w:szCs w:val="18"/>
          <w:lang w:val="fr-FR"/>
        </w:rPr>
        <w:t>un nouveau réseau d</w:t>
      </w:r>
      <w:r w:rsidR="00971CEE">
        <w:rPr>
          <w:sz w:val="18"/>
          <w:szCs w:val="18"/>
          <w:lang w:val="fr-FR"/>
        </w:rPr>
        <w:t>’</w:t>
      </w:r>
      <w:r>
        <w:rPr>
          <w:sz w:val="18"/>
          <w:szCs w:val="18"/>
          <w:lang w:val="fr-FR"/>
        </w:rPr>
        <w:t>organismes de financement au sein de la région et en dehors</w:t>
      </w:r>
      <w:r w:rsidR="00626B5E">
        <w:rPr>
          <w:sz w:val="18"/>
          <w:szCs w:val="18"/>
          <w:lang w:val="fr-FR"/>
        </w:rPr>
        <w:t xml:space="preserve">.  </w:t>
      </w:r>
      <w:r>
        <w:rPr>
          <w:sz w:val="18"/>
          <w:szCs w:val="18"/>
          <w:lang w:val="fr-FR"/>
        </w:rPr>
        <w:t>La recherche génétique marine dans cette région dépend d</w:t>
      </w:r>
      <w:r w:rsidR="00971CEE">
        <w:rPr>
          <w:sz w:val="18"/>
          <w:szCs w:val="18"/>
          <w:lang w:val="fr-FR"/>
        </w:rPr>
        <w:t>’</w:t>
      </w:r>
      <w:r>
        <w:rPr>
          <w:sz w:val="18"/>
          <w:szCs w:val="18"/>
          <w:lang w:val="fr-FR"/>
        </w:rPr>
        <w:t>un réseau important d</w:t>
      </w:r>
      <w:r w:rsidR="00971CEE">
        <w:rPr>
          <w:sz w:val="18"/>
          <w:szCs w:val="18"/>
          <w:lang w:val="fr-FR"/>
        </w:rPr>
        <w:t>’</w:t>
      </w:r>
      <w:r>
        <w:rPr>
          <w:sz w:val="18"/>
          <w:szCs w:val="18"/>
          <w:lang w:val="fr-FR"/>
        </w:rPr>
        <w:t xml:space="preserve">organismes internationaux de financement venant du Japon, de Chine, des </w:t>
      </w:r>
      <w:r w:rsidR="00626B5E">
        <w:rPr>
          <w:sz w:val="18"/>
          <w:szCs w:val="18"/>
          <w:lang w:val="fr-FR"/>
        </w:rPr>
        <w:t>États</w:t>
      </w:r>
      <w:r w:rsidR="00971CEE">
        <w:rPr>
          <w:sz w:val="18"/>
          <w:szCs w:val="18"/>
          <w:lang w:val="fr-FR"/>
        </w:rPr>
        <w:t>-</w:t>
      </w:r>
      <w:r w:rsidR="00626B5E">
        <w:rPr>
          <w:sz w:val="18"/>
          <w:szCs w:val="18"/>
          <w:lang w:val="fr-FR"/>
        </w:rPr>
        <w:t>Unis d</w:t>
      </w:r>
      <w:r w:rsidR="00971CEE">
        <w:rPr>
          <w:sz w:val="18"/>
          <w:szCs w:val="18"/>
          <w:lang w:val="fr-FR"/>
        </w:rPr>
        <w:t>’</w:t>
      </w:r>
      <w:r w:rsidR="00626B5E">
        <w:rPr>
          <w:sz w:val="18"/>
          <w:szCs w:val="18"/>
          <w:lang w:val="fr-FR"/>
        </w:rPr>
        <w:t>Amérique</w:t>
      </w:r>
      <w:r>
        <w:rPr>
          <w:sz w:val="18"/>
          <w:szCs w:val="18"/>
          <w:lang w:val="fr-FR"/>
        </w:rPr>
        <w:t xml:space="preserve"> et d</w:t>
      </w:r>
      <w:r w:rsidR="00971CEE">
        <w:rPr>
          <w:sz w:val="18"/>
          <w:szCs w:val="18"/>
          <w:lang w:val="fr-FR"/>
        </w:rPr>
        <w:t>’</w:t>
      </w:r>
      <w:r>
        <w:rPr>
          <w:sz w:val="18"/>
          <w:szCs w:val="18"/>
          <w:lang w:val="fr-FR"/>
        </w:rPr>
        <w:t>Europe, lesquels soutiennent les collaborations entre chercheurs de la région et de l</w:t>
      </w:r>
      <w:r w:rsidR="00971CEE">
        <w:rPr>
          <w:sz w:val="18"/>
          <w:szCs w:val="18"/>
          <w:lang w:val="fr-FR"/>
        </w:rPr>
        <w:t>’</w:t>
      </w:r>
      <w:r>
        <w:rPr>
          <w:sz w:val="18"/>
          <w:szCs w:val="18"/>
          <w:lang w:val="fr-FR"/>
        </w:rPr>
        <w:t>extérieur.</w:t>
      </w:r>
    </w:p>
  </w:footnote>
  <w:footnote w:id="26">
    <w:p w:rsidR="002657FC" w:rsidRPr="00800106" w:rsidRDefault="002657FC" w:rsidP="00C904F7">
      <w:pPr>
        <w:pStyle w:val="FootnoteText"/>
        <w:tabs>
          <w:tab w:val="left" w:pos="360"/>
          <w:tab w:val="left" w:pos="567"/>
        </w:tabs>
        <w:rPr>
          <w:lang w:val="fr-FR"/>
        </w:rPr>
      </w:pPr>
      <w:r w:rsidRPr="00800106">
        <w:rPr>
          <w:rStyle w:val="FootnoteReference"/>
          <w:szCs w:val="18"/>
          <w:lang w:val="fr-FR"/>
        </w:rPr>
        <w:footnoteRef/>
      </w:r>
      <w:r w:rsidRPr="00800106">
        <w:rPr>
          <w:szCs w:val="18"/>
          <w:lang w:val="fr-FR"/>
        </w:rPr>
        <w:t xml:space="preserve"> </w:t>
      </w:r>
      <w:r w:rsidRPr="00800106">
        <w:rPr>
          <w:szCs w:val="18"/>
          <w:lang w:val="fr-FR"/>
        </w:rPr>
        <w:tab/>
      </w:r>
      <w:r>
        <w:rPr>
          <w:szCs w:val="18"/>
          <w:lang w:val="fr-FR"/>
        </w:rPr>
        <w:t>Voir</w:t>
      </w:r>
      <w:r w:rsidRPr="00800106">
        <w:rPr>
          <w:szCs w:val="18"/>
          <w:lang w:val="fr-FR"/>
        </w:rPr>
        <w:t xml:space="preserve"> </w:t>
      </w:r>
      <w:hyperlink r:id="rId16" w:history="1">
        <w:r w:rsidR="00626B5E">
          <w:rPr>
            <w:rStyle w:val="Hyperlink"/>
            <w:szCs w:val="18"/>
            <w:lang w:val="fr-FR"/>
          </w:rPr>
          <w:t>https:</w:t>
        </w:r>
        <w:r w:rsidRPr="00800106">
          <w:rPr>
            <w:rStyle w:val="Hyperlink"/>
            <w:szCs w:val="18"/>
            <w:lang w:val="fr-FR"/>
          </w:rPr>
          <w:t>//www.future</w:t>
        </w:r>
        <w:r w:rsidR="00971CEE">
          <w:rPr>
            <w:rStyle w:val="Hyperlink"/>
            <w:szCs w:val="18"/>
            <w:lang w:val="fr-FR"/>
          </w:rPr>
          <w:t>-</w:t>
        </w:r>
        <w:r w:rsidRPr="00800106">
          <w:rPr>
            <w:rStyle w:val="Hyperlink"/>
            <w:szCs w:val="18"/>
            <w:lang w:val="fr-FR"/>
          </w:rPr>
          <w:t>science.com/doi/10.4155/ppa</w:t>
        </w:r>
        <w:r w:rsidR="00971CEE">
          <w:rPr>
            <w:rStyle w:val="Hyperlink"/>
            <w:szCs w:val="18"/>
            <w:lang w:val="fr-FR"/>
          </w:rPr>
          <w:t>-</w:t>
        </w:r>
        <w:r w:rsidRPr="00800106">
          <w:rPr>
            <w:rStyle w:val="Hyperlink"/>
            <w:szCs w:val="18"/>
            <w:lang w:val="fr-FR"/>
          </w:rPr>
          <w:t>2019</w:t>
        </w:r>
        <w:r w:rsidR="00971CEE">
          <w:rPr>
            <w:rStyle w:val="Hyperlink"/>
            <w:szCs w:val="18"/>
            <w:lang w:val="fr-FR"/>
          </w:rPr>
          <w:t>-</w:t>
        </w:r>
        <w:r w:rsidRPr="00800106">
          <w:rPr>
            <w:rStyle w:val="Hyperlink"/>
            <w:szCs w:val="18"/>
            <w:lang w:val="fr-FR"/>
          </w:rPr>
          <w:t>0017</w:t>
        </w:r>
      </w:hyperlink>
      <w:r w:rsidR="00626B5E">
        <w:rPr>
          <w:szCs w:val="18"/>
          <w:lang w:val="fr-FR"/>
        </w:rPr>
        <w:t xml:space="preserve">.  </w:t>
      </w:r>
      <w:r>
        <w:rPr>
          <w:szCs w:val="18"/>
          <w:lang w:val="fr-FR"/>
        </w:rPr>
        <w:t>Cette étude conduite par l</w:t>
      </w:r>
      <w:r w:rsidR="00971CEE">
        <w:rPr>
          <w:szCs w:val="18"/>
          <w:lang w:val="fr-FR"/>
        </w:rPr>
        <w:t>’</w:t>
      </w:r>
      <w:r w:rsidRPr="00800106">
        <w:rPr>
          <w:szCs w:val="18"/>
          <w:lang w:val="fr-FR"/>
        </w:rPr>
        <w:t xml:space="preserve">IPI </w:t>
      </w:r>
      <w:r>
        <w:rPr>
          <w:szCs w:val="18"/>
          <w:lang w:val="fr-FR"/>
        </w:rPr>
        <w:t>établit que le nombre de familles de brevets actives dans le secteur pharmaceutique a triplé depuis 2000 dans le monde</w:t>
      </w:r>
      <w:r w:rsidR="00626B5E">
        <w:rPr>
          <w:szCs w:val="18"/>
          <w:lang w:val="fr-FR"/>
        </w:rPr>
        <w:t xml:space="preserve">.  </w:t>
      </w:r>
      <w:r>
        <w:rPr>
          <w:szCs w:val="18"/>
          <w:lang w:val="fr-FR"/>
        </w:rPr>
        <w:t>Cette augmentation est due principalement à une envolée de brevets venant de Chine</w:t>
      </w:r>
      <w:r w:rsidR="00626B5E">
        <w:rPr>
          <w:szCs w:val="18"/>
          <w:lang w:val="fr-FR"/>
        </w:rPr>
        <w:t xml:space="preserve">.  </w:t>
      </w:r>
      <w:r>
        <w:rPr>
          <w:szCs w:val="18"/>
          <w:lang w:val="fr-FR"/>
        </w:rPr>
        <w:t xml:space="preserve">La moitié des brevets pharmaceutiques de Chine sont classés dans la catégorie </w:t>
      </w:r>
      <w:r w:rsidRPr="00800106">
        <w:rPr>
          <w:szCs w:val="18"/>
          <w:lang w:val="fr-FR"/>
        </w:rPr>
        <w:t>A61K36 (</w:t>
      </w:r>
      <w:r>
        <w:rPr>
          <w:szCs w:val="18"/>
          <w:lang w:val="fr-FR"/>
        </w:rPr>
        <w:t>“</w:t>
      </w:r>
      <w:r w:rsidRPr="002E5081">
        <w:rPr>
          <w:szCs w:val="18"/>
          <w:lang w:val="fr-FR"/>
        </w:rPr>
        <w:t>préparations médicinales de constitution indéterminée contenant du matériel provenant d</w:t>
      </w:r>
      <w:r w:rsidR="00971CEE">
        <w:rPr>
          <w:szCs w:val="18"/>
          <w:lang w:val="fr-FR"/>
        </w:rPr>
        <w:t>’</w:t>
      </w:r>
      <w:r w:rsidRPr="002E5081">
        <w:rPr>
          <w:szCs w:val="18"/>
          <w:lang w:val="fr-FR"/>
        </w:rPr>
        <w:t>algues, de lichens, de champignons, ou de plantes</w:t>
      </w:r>
      <w:r>
        <w:rPr>
          <w:szCs w:val="18"/>
          <w:lang w:val="fr-FR"/>
        </w:rPr>
        <w:t>”), ce qui montre l</w:t>
      </w:r>
      <w:r w:rsidR="00971CEE">
        <w:rPr>
          <w:szCs w:val="18"/>
          <w:lang w:val="fr-FR"/>
        </w:rPr>
        <w:t>’</w:t>
      </w:r>
      <w:r>
        <w:rPr>
          <w:szCs w:val="18"/>
          <w:lang w:val="fr-FR"/>
        </w:rPr>
        <w:t>importance des ressources génétiques</w:t>
      </w:r>
      <w:r w:rsidR="00626B5E">
        <w:rPr>
          <w:szCs w:val="18"/>
          <w:lang w:val="fr-FR"/>
        </w:rPr>
        <w:t xml:space="preserve">.  </w:t>
      </w:r>
      <w:r>
        <w:rPr>
          <w:szCs w:val="18"/>
          <w:lang w:val="fr-FR"/>
        </w:rPr>
        <w:t>Cette étude montre également que l</w:t>
      </w:r>
      <w:r w:rsidR="00971CEE">
        <w:rPr>
          <w:szCs w:val="18"/>
          <w:lang w:val="fr-FR"/>
        </w:rPr>
        <w:t>’</w:t>
      </w:r>
      <w:r>
        <w:rPr>
          <w:szCs w:val="18"/>
          <w:lang w:val="fr-FR"/>
        </w:rPr>
        <w:t>on trouve une plus forte concentration de brevets de haute qualité lorsque l</w:t>
      </w:r>
      <w:r w:rsidR="00971CEE">
        <w:rPr>
          <w:szCs w:val="18"/>
          <w:lang w:val="fr-FR"/>
        </w:rPr>
        <w:t>’</w:t>
      </w:r>
      <w:r>
        <w:rPr>
          <w:szCs w:val="18"/>
          <w:lang w:val="fr-FR"/>
        </w:rPr>
        <w:t>on sélectionne les brevets avec des inventeurs venant d</w:t>
      </w:r>
      <w:r w:rsidR="00971CEE">
        <w:rPr>
          <w:szCs w:val="18"/>
          <w:lang w:val="fr-FR"/>
        </w:rPr>
        <w:t>’</w:t>
      </w:r>
      <w:r>
        <w:rPr>
          <w:szCs w:val="18"/>
          <w:lang w:val="fr-FR"/>
        </w:rPr>
        <w:t>au moins deux des cinq</w:t>
      </w:r>
      <w:r w:rsidR="00705C94">
        <w:rPr>
          <w:szCs w:val="18"/>
          <w:lang w:val="fr-FR"/>
        </w:rPr>
        <w:t> </w:t>
      </w:r>
      <w:r>
        <w:rPr>
          <w:szCs w:val="18"/>
          <w:lang w:val="fr-FR"/>
        </w:rPr>
        <w:t>pays d</w:t>
      </w:r>
      <w:r w:rsidR="00971CEE">
        <w:rPr>
          <w:szCs w:val="18"/>
          <w:lang w:val="fr-FR"/>
        </w:rPr>
        <w:t>’</w:t>
      </w:r>
      <w:r>
        <w:rPr>
          <w:szCs w:val="18"/>
          <w:lang w:val="fr-FR"/>
        </w:rPr>
        <w:t xml:space="preserve">origine les plus importants pour les brevets pharmaceutiques, </w:t>
      </w:r>
      <w:r w:rsidR="00971CEE">
        <w:rPr>
          <w:szCs w:val="18"/>
          <w:lang w:val="fr-FR"/>
        </w:rPr>
        <w:t>à savoir :</w:t>
      </w:r>
      <w:r>
        <w:rPr>
          <w:szCs w:val="18"/>
          <w:lang w:val="fr-FR"/>
        </w:rPr>
        <w:t xml:space="preserve"> la Chine, les pays européens, le Japon, la République de Corée et les </w:t>
      </w:r>
      <w:r w:rsidR="00626B5E">
        <w:rPr>
          <w:szCs w:val="18"/>
          <w:lang w:val="fr-FR"/>
        </w:rPr>
        <w:t>États</w:t>
      </w:r>
      <w:r w:rsidR="00971CEE">
        <w:rPr>
          <w:szCs w:val="18"/>
          <w:lang w:val="fr-FR"/>
        </w:rPr>
        <w:t>-</w:t>
      </w:r>
      <w:r w:rsidR="00626B5E">
        <w:rPr>
          <w:szCs w:val="18"/>
          <w:lang w:val="fr-FR"/>
        </w:rPr>
        <w:t>Unis d</w:t>
      </w:r>
      <w:r w:rsidR="00971CEE">
        <w:rPr>
          <w:szCs w:val="18"/>
          <w:lang w:val="fr-FR"/>
        </w:rPr>
        <w:t>’</w:t>
      </w:r>
      <w:r w:rsidR="00626B5E">
        <w:rPr>
          <w:szCs w:val="18"/>
          <w:lang w:val="fr-FR"/>
        </w:rPr>
        <w:t>Amérique</w:t>
      </w:r>
      <w:r>
        <w:rPr>
          <w:szCs w:val="18"/>
          <w:lang w:val="fr-FR"/>
        </w:rPr>
        <w:t>.</w:t>
      </w:r>
    </w:p>
  </w:footnote>
  <w:footnote w:id="27">
    <w:p w:rsidR="002657FC" w:rsidRPr="003C2FCC" w:rsidRDefault="002657FC" w:rsidP="00C904F7">
      <w:pPr>
        <w:pStyle w:val="FootnoteText"/>
        <w:tabs>
          <w:tab w:val="left" w:pos="360"/>
          <w:tab w:val="left" w:pos="567"/>
        </w:tabs>
      </w:pPr>
      <w:r w:rsidRPr="00800106">
        <w:rPr>
          <w:rStyle w:val="FootnoteReference"/>
          <w:lang w:val="fr-FR"/>
        </w:rPr>
        <w:footnoteRef/>
      </w:r>
      <w:r>
        <w:rPr>
          <w:lang w:val="fr-FR"/>
        </w:rPr>
        <w:t xml:space="preserve"> </w:t>
      </w:r>
      <w:r w:rsidRPr="004D5E80">
        <w:rPr>
          <w:lang w:val="fr-FR"/>
        </w:rPr>
        <w:tab/>
        <w:t>Voir le</w:t>
      </w:r>
      <w:r>
        <w:rPr>
          <w:lang w:val="fr-FR"/>
        </w:rPr>
        <w:t>s documents soumis précédemment par la Suisse à l</w:t>
      </w:r>
      <w:r w:rsidR="00971CEE">
        <w:rPr>
          <w:lang w:val="fr-FR"/>
        </w:rPr>
        <w:t>’</w:t>
      </w:r>
      <w:r>
        <w:rPr>
          <w:lang w:val="fr-FR"/>
        </w:rPr>
        <w:t>OMPI, par exemple</w:t>
      </w:r>
      <w:r w:rsidR="00971CEE">
        <w:rPr>
          <w:lang w:val="fr-FR"/>
        </w:rPr>
        <w:t> :</w:t>
      </w:r>
      <w:r w:rsidRPr="004D5E80">
        <w:rPr>
          <w:lang w:val="fr-FR"/>
        </w:rPr>
        <w:t xml:space="preserve"> </w:t>
      </w:r>
      <w:hyperlink r:id="rId17" w:history="1">
        <w:r w:rsidR="00370098">
          <w:rPr>
            <w:rStyle w:val="Hyperlink"/>
            <w:lang w:val="fr-FR"/>
          </w:rPr>
          <w:t>WIPO/GRTKF/IC/31/8</w:t>
        </w:r>
      </w:hyperlink>
      <w:r w:rsidRPr="003C2FCC">
        <w:t xml:space="preserve"> ou </w:t>
      </w:r>
      <w:hyperlink r:id="rId18" w:history="1">
        <w:r w:rsidRPr="003C2FCC">
          <w:rPr>
            <w:rStyle w:val="Hyperlink"/>
          </w:rPr>
          <w:t>WIPO/GRTKF/IC/11/10</w:t>
        </w:r>
      </w:hyperlink>
      <w:r w:rsidR="00370098">
        <w:t>.</w:t>
      </w:r>
    </w:p>
  </w:footnote>
  <w:footnote w:id="28">
    <w:p w:rsidR="002657FC" w:rsidRPr="00370098" w:rsidRDefault="002657FC" w:rsidP="00C904F7">
      <w:pPr>
        <w:pStyle w:val="FootnoteText"/>
        <w:tabs>
          <w:tab w:val="left" w:pos="360"/>
          <w:tab w:val="left" w:pos="567"/>
        </w:tabs>
        <w:rPr>
          <w:lang w:val="fr-FR"/>
        </w:rPr>
      </w:pPr>
      <w:r w:rsidRPr="000B45D9">
        <w:rPr>
          <w:rStyle w:val="FootnoteReference"/>
        </w:rPr>
        <w:footnoteRef/>
      </w:r>
      <w:r>
        <w:t xml:space="preserve"> </w:t>
      </w:r>
      <w:r w:rsidRPr="003C2FCC">
        <w:tab/>
      </w:r>
      <w:r w:rsidRPr="00977C00">
        <w:rPr>
          <w:lang w:val="fr-FR"/>
        </w:rPr>
        <w:t>Voir aussi, par exemple, l</w:t>
      </w:r>
      <w:r w:rsidR="00971CEE">
        <w:rPr>
          <w:lang w:val="fr-FR"/>
        </w:rPr>
        <w:t>’</w:t>
      </w:r>
      <w:r w:rsidRPr="00977C00">
        <w:rPr>
          <w:lang w:val="fr-FR"/>
        </w:rPr>
        <w:t>article</w:t>
      </w:r>
      <w:r>
        <w:rPr>
          <w:lang w:val="fr-FR"/>
        </w:rPr>
        <w:t> </w:t>
      </w:r>
      <w:proofErr w:type="gramStart"/>
      <w:r w:rsidR="00370098">
        <w:rPr>
          <w:lang w:val="fr-FR"/>
        </w:rPr>
        <w:t>17.</w:t>
      </w:r>
      <w:r w:rsidRPr="00977C00">
        <w:rPr>
          <w:lang w:val="fr-FR"/>
        </w:rPr>
        <w:t>1</w:t>
      </w:r>
      <w:r>
        <w:rPr>
          <w:lang w:val="fr-FR"/>
        </w:rPr>
        <w:t>.</w:t>
      </w:r>
      <w:r w:rsidRPr="00977C00">
        <w:rPr>
          <w:lang w:val="fr-FR"/>
        </w:rPr>
        <w:t>a)i</w:t>
      </w:r>
      <w:proofErr w:type="gramEnd"/>
      <w:r w:rsidRPr="00977C00">
        <w:rPr>
          <w:lang w:val="fr-FR"/>
        </w:rPr>
        <w:t xml:space="preserve">) du Protocole de Nagoya, </w:t>
      </w:r>
      <w:r>
        <w:rPr>
          <w:lang w:val="fr-FR"/>
        </w:rPr>
        <w:t>qui fait spécifiquement référence à la “source” de la ressource génétique et pas au “pays d</w:t>
      </w:r>
      <w:r w:rsidR="00971CEE">
        <w:rPr>
          <w:lang w:val="fr-FR"/>
        </w:rPr>
        <w:t>’</w:t>
      </w:r>
      <w:r>
        <w:rPr>
          <w:lang w:val="fr-FR"/>
        </w:rPr>
        <w:t>origine”</w:t>
      </w:r>
      <w:r w:rsidR="001C08FD">
        <w:rPr>
          <w:lang w:val="fr-FR"/>
        </w:rPr>
        <w:t>.</w:t>
      </w:r>
    </w:p>
  </w:footnote>
  <w:footnote w:id="29">
    <w:p w:rsidR="002657FC" w:rsidRPr="00977C00" w:rsidRDefault="002657FC" w:rsidP="00C904F7">
      <w:pPr>
        <w:pStyle w:val="FootnoteText"/>
        <w:tabs>
          <w:tab w:val="left" w:pos="567"/>
        </w:tabs>
        <w:rPr>
          <w:lang w:val="fr-FR"/>
        </w:rPr>
      </w:pPr>
      <w:r w:rsidRPr="00977C00">
        <w:rPr>
          <w:rStyle w:val="FootnoteReference"/>
          <w:lang w:val="fr-FR"/>
        </w:rPr>
        <w:footnoteRef/>
      </w:r>
      <w:r>
        <w:rPr>
          <w:lang w:val="fr-FR"/>
        </w:rPr>
        <w:t xml:space="preserve"> </w:t>
      </w:r>
      <w:r w:rsidRPr="00977C00">
        <w:rPr>
          <w:lang w:val="fr-FR"/>
        </w:rPr>
        <w:tab/>
      </w:r>
      <w:r>
        <w:rPr>
          <w:lang w:val="fr-FR"/>
        </w:rPr>
        <w:t>Du point de vue de la Suisse, cette disposition s</w:t>
      </w:r>
      <w:r w:rsidR="00971CEE">
        <w:rPr>
          <w:lang w:val="fr-FR"/>
        </w:rPr>
        <w:t>’</w:t>
      </w:r>
      <w:r>
        <w:rPr>
          <w:lang w:val="fr-FR"/>
        </w:rPr>
        <w:t>appliquerait aux ressources génétiques dont le déposant du brevet connaît le pays d</w:t>
      </w:r>
      <w:r w:rsidR="00971CEE">
        <w:rPr>
          <w:lang w:val="fr-FR"/>
        </w:rPr>
        <w:t>’</w:t>
      </w:r>
      <w:r>
        <w:rPr>
          <w:lang w:val="fr-FR"/>
        </w:rPr>
        <w:t>origine</w:t>
      </w:r>
      <w:r w:rsidR="00626B5E">
        <w:rPr>
          <w:lang w:val="fr-FR"/>
        </w:rPr>
        <w:t xml:space="preserve">.  </w:t>
      </w:r>
      <w:r>
        <w:rPr>
          <w:lang w:val="fr-FR"/>
        </w:rPr>
        <w:t>Si le pays d</w:t>
      </w:r>
      <w:r w:rsidR="00971CEE">
        <w:rPr>
          <w:lang w:val="fr-FR"/>
        </w:rPr>
        <w:t>’</w:t>
      </w:r>
      <w:r>
        <w:rPr>
          <w:lang w:val="fr-FR"/>
        </w:rPr>
        <w:t>origine n</w:t>
      </w:r>
      <w:r w:rsidR="00971CEE">
        <w:rPr>
          <w:lang w:val="fr-FR"/>
        </w:rPr>
        <w:t>’</w:t>
      </w:r>
      <w:r>
        <w:rPr>
          <w:lang w:val="fr-FR"/>
        </w:rPr>
        <w:t>est pas connu ou s</w:t>
      </w:r>
      <w:r w:rsidR="00971CEE">
        <w:rPr>
          <w:lang w:val="fr-FR"/>
        </w:rPr>
        <w:t>’</w:t>
      </w:r>
      <w:r>
        <w:rPr>
          <w:lang w:val="fr-FR"/>
        </w:rPr>
        <w:t>il n</w:t>
      </w:r>
      <w:r w:rsidR="00971CEE">
        <w:rPr>
          <w:lang w:val="fr-FR"/>
        </w:rPr>
        <w:t>’</w:t>
      </w:r>
      <w:r>
        <w:rPr>
          <w:lang w:val="fr-FR"/>
        </w:rPr>
        <w:t>y a pas lieu de le connaître, cette disposition serait sans effet</w:t>
      </w:r>
      <w:r w:rsidR="00626B5E">
        <w:rPr>
          <w:lang w:val="fr-FR"/>
        </w:rPr>
        <w:t xml:space="preserve">.  </w:t>
      </w:r>
      <w:r>
        <w:rPr>
          <w:lang w:val="fr-FR"/>
        </w:rPr>
        <w:t>La Suisse estime également que l</w:t>
      </w:r>
      <w:r w:rsidR="00971CEE">
        <w:rPr>
          <w:lang w:val="fr-FR"/>
        </w:rPr>
        <w:t>’</w:t>
      </w:r>
      <w:r>
        <w:rPr>
          <w:lang w:val="fr-FR"/>
        </w:rPr>
        <w:t>exigence de divulgation internationale en matière de brevets devrait s</w:t>
      </w:r>
      <w:r w:rsidR="00971CEE">
        <w:rPr>
          <w:lang w:val="fr-FR"/>
        </w:rPr>
        <w:t>’</w:t>
      </w:r>
      <w:r>
        <w:rPr>
          <w:lang w:val="fr-FR"/>
        </w:rPr>
        <w:t>appliquer également aux ressources génétiques marines de régions ne relevant d</w:t>
      </w:r>
      <w:r w:rsidR="00971CEE">
        <w:rPr>
          <w:lang w:val="fr-FR"/>
        </w:rPr>
        <w:t>’</w:t>
      </w:r>
      <w:r>
        <w:rPr>
          <w:lang w:val="fr-FR"/>
        </w:rPr>
        <w:t xml:space="preserve">aucune législation nationale et aux ressources génétiques placées sous un régime multilatéral commun tel que le Système multilatéral du </w:t>
      </w:r>
      <w:r w:rsidRPr="00833E66">
        <w:rPr>
          <w:lang w:val="fr-FR"/>
        </w:rPr>
        <w:t xml:space="preserve">Traité international sur les ressources </w:t>
      </w:r>
      <w:proofErr w:type="spellStart"/>
      <w:r w:rsidRPr="00833E66">
        <w:rPr>
          <w:lang w:val="fr-FR"/>
        </w:rPr>
        <w:t>phytogénétiques</w:t>
      </w:r>
      <w:proofErr w:type="spellEnd"/>
      <w:r w:rsidRPr="00833E66">
        <w:rPr>
          <w:lang w:val="fr-FR"/>
        </w:rPr>
        <w:t xml:space="preserve"> pour l</w:t>
      </w:r>
      <w:r w:rsidR="00971CEE">
        <w:rPr>
          <w:lang w:val="fr-FR"/>
        </w:rPr>
        <w:t>’</w:t>
      </w:r>
      <w:r w:rsidRPr="00833E66">
        <w:rPr>
          <w:lang w:val="fr-FR"/>
        </w:rPr>
        <w:t>alimentation et l</w:t>
      </w:r>
      <w:r w:rsidR="00971CEE">
        <w:rPr>
          <w:lang w:val="fr-FR"/>
        </w:rPr>
        <w:t>’</w:t>
      </w:r>
      <w:r w:rsidRPr="00833E66">
        <w:rPr>
          <w:lang w:val="fr-FR"/>
        </w:rPr>
        <w:t>agriculture</w:t>
      </w:r>
      <w:r w:rsidR="001C08FD">
        <w:rPr>
          <w:lang w:val="fr-FR"/>
        </w:rPr>
        <w:t>.</w:t>
      </w:r>
    </w:p>
  </w:footnote>
  <w:footnote w:id="30">
    <w:p w:rsidR="002657FC" w:rsidRPr="003C2FCC" w:rsidRDefault="002657FC" w:rsidP="00C904F7">
      <w:pPr>
        <w:pStyle w:val="FootnoteText"/>
        <w:tabs>
          <w:tab w:val="left" w:pos="567"/>
        </w:tabs>
      </w:pPr>
      <w:r w:rsidRPr="000B45D9">
        <w:rPr>
          <w:rStyle w:val="FootnoteReference"/>
        </w:rPr>
        <w:footnoteRef/>
      </w:r>
      <w:r>
        <w:t xml:space="preserve"> </w:t>
      </w:r>
      <w:r w:rsidRPr="003C2FCC">
        <w:tab/>
      </w:r>
      <w:r w:rsidRPr="003A204E">
        <w:rPr>
          <w:lang w:val="fr-FR"/>
        </w:rPr>
        <w:t xml:space="preserve">Voir, par exemple, le document </w:t>
      </w:r>
      <w:hyperlink r:id="rId19" w:history="1">
        <w:r w:rsidRPr="003A204E">
          <w:rPr>
            <w:rStyle w:val="Hyperlink"/>
            <w:lang w:val="fr-FR"/>
          </w:rPr>
          <w:t>WIPO/GRTKF/IC/40/16</w:t>
        </w:r>
      </w:hyperlink>
      <w:r w:rsidR="00626B5E">
        <w:rPr>
          <w:lang w:val="fr-FR"/>
        </w:rPr>
        <w:t xml:space="preserve">.  </w:t>
      </w:r>
      <w:r>
        <w:rPr>
          <w:lang w:val="fr-FR"/>
        </w:rPr>
        <w:t>Voir aussi le document présenté par la Suisse en 2001 au Conseil des ADPIC sur une passerelle internationale concernant les bases de données pour les savoirs traditionnels</w:t>
      </w:r>
      <w:r w:rsidR="00971CEE">
        <w:rPr>
          <w:lang w:val="fr-FR"/>
        </w:rPr>
        <w:t> :</w:t>
      </w:r>
      <w:r w:rsidRPr="003A204E">
        <w:rPr>
          <w:lang w:val="fr-FR"/>
        </w:rPr>
        <w:t xml:space="preserve"> </w:t>
      </w:r>
      <w:hyperlink r:id="rId20" w:history="1">
        <w:r w:rsidRPr="003A204E">
          <w:rPr>
            <w:rStyle w:val="Hyperlink"/>
            <w:lang w:val="fr-FR"/>
          </w:rPr>
          <w:t>IP/C/W/400/Rev.1</w:t>
        </w:r>
      </w:hyperlink>
      <w:r w:rsidR="00370098" w:rsidRPr="00370098">
        <w:rPr>
          <w:rStyle w:val="Hyperlink"/>
          <w:color w:val="auto"/>
          <w:u w:val="none"/>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7FC" w:rsidRDefault="002657FC" w:rsidP="00E42C2C">
    <w:pPr>
      <w:jc w:val="right"/>
    </w:pPr>
    <w:r>
      <w:tab/>
      <w:t>WIPO/GRTKF/IC/41/12</w:t>
    </w:r>
  </w:p>
  <w:p w:rsidR="002657FC" w:rsidRDefault="002657FC" w:rsidP="00E42C2C">
    <w:pPr>
      <w:jc w:val="right"/>
    </w:pPr>
    <w:proofErr w:type="spellStart"/>
    <w:r>
      <w:t>Annex</w:t>
    </w:r>
    <w:proofErr w:type="spellEnd"/>
    <w:r>
      <w:t>, page 2</w:t>
    </w:r>
  </w:p>
  <w:p w:rsidR="002657FC" w:rsidRDefault="002657FC" w:rsidP="00E42C2C">
    <w:pPr>
      <w:pStyle w:val="Header"/>
      <w:tabs>
        <w:tab w:val="clear" w:pos="4536"/>
        <w:tab w:val="clear" w:pos="9072"/>
        <w:tab w:val="left" w:pos="778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7FC" w:rsidRPr="003C2FCC" w:rsidRDefault="002657FC" w:rsidP="00E42C2C">
    <w:pPr>
      <w:jc w:val="right"/>
    </w:pPr>
    <w:r w:rsidRPr="003C2FCC">
      <w:t>W</w:t>
    </w:r>
    <w:r w:rsidR="00691F77">
      <w:t>IPO/GRTKF/IC/42</w:t>
    </w:r>
    <w:r w:rsidRPr="003C2FCC">
      <w:t>/12</w:t>
    </w:r>
  </w:p>
  <w:p w:rsidR="002657FC" w:rsidRPr="003C2FCC" w:rsidRDefault="002657FC" w:rsidP="00E430AD">
    <w:pPr>
      <w:spacing w:after="220"/>
      <w:jc w:val="right"/>
    </w:pPr>
    <w:r w:rsidRPr="003C2FCC">
      <w:t>page</w:t>
    </w:r>
    <w:r w:rsidR="00626B5E">
      <w:t> </w:t>
    </w:r>
    <w:r w:rsidR="00691F77">
      <w:fldChar w:fldCharType="begin"/>
    </w:r>
    <w:r w:rsidR="00691F77">
      <w:instrText xml:space="preserve"> PAGE   \* MERGEFORMAT </w:instrText>
    </w:r>
    <w:r w:rsidR="00691F77">
      <w:fldChar w:fldCharType="separate"/>
    </w:r>
    <w:r w:rsidR="00E74831">
      <w:rPr>
        <w:noProof/>
      </w:rPr>
      <w:t>2</w:t>
    </w:r>
    <w:r w:rsidR="00691F7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7FC" w:rsidRDefault="002657FC" w:rsidP="00E42C2C">
    <w:pPr>
      <w:jc w:val="right"/>
    </w:pPr>
    <w:r>
      <w:tab/>
      <w:t>WIPO/GRTKF/IC/41/12</w:t>
    </w:r>
  </w:p>
  <w:p w:rsidR="002657FC" w:rsidRDefault="002657FC" w:rsidP="00E42C2C">
    <w:pPr>
      <w:jc w:val="right"/>
    </w:pPr>
    <w:proofErr w:type="spellStart"/>
    <w:r>
      <w:t>Annex</w:t>
    </w:r>
    <w:proofErr w:type="spellEnd"/>
    <w:r>
      <w:t>, page 8</w:t>
    </w:r>
  </w:p>
  <w:p w:rsidR="002657FC" w:rsidRDefault="002657FC" w:rsidP="00E42C2C">
    <w:pPr>
      <w:pStyle w:val="Header"/>
      <w:tabs>
        <w:tab w:val="clear" w:pos="4536"/>
        <w:tab w:val="clear" w:pos="9072"/>
        <w:tab w:val="left" w:pos="778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7FC" w:rsidRPr="003C2FCC" w:rsidRDefault="002657FC" w:rsidP="00E42C2C">
    <w:pPr>
      <w:jc w:val="right"/>
    </w:pPr>
    <w:r w:rsidRPr="003C2FCC">
      <w:t>W</w:t>
    </w:r>
    <w:r w:rsidR="00691F77">
      <w:t>IPO/GRTKF/IC/42</w:t>
    </w:r>
    <w:r w:rsidRPr="003C2FCC">
      <w:t>/12</w:t>
    </w:r>
  </w:p>
  <w:p w:rsidR="002657FC" w:rsidRPr="003C2FCC" w:rsidRDefault="002657FC" w:rsidP="00691F77">
    <w:pPr>
      <w:spacing w:after="480"/>
      <w:jc w:val="right"/>
    </w:pPr>
    <w:r w:rsidRPr="003C2FCC">
      <w:t xml:space="preserve">Annexe, page </w:t>
    </w:r>
    <w:r>
      <w:fldChar w:fldCharType="begin"/>
    </w:r>
    <w:r w:rsidRPr="003C2FCC">
      <w:instrText xml:space="preserve"> PAGE   \* MERGEFORMAT </w:instrText>
    </w:r>
    <w:r>
      <w:fldChar w:fldCharType="separate"/>
    </w:r>
    <w:r w:rsidR="00E74831">
      <w:rPr>
        <w:noProof/>
      </w:rPr>
      <w:t>13</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675516"/>
      <w:docPartObj>
        <w:docPartGallery w:val="Page Numbers (Top of Page)"/>
        <w:docPartUnique/>
      </w:docPartObj>
    </w:sdtPr>
    <w:sdtEndPr>
      <w:rPr>
        <w:noProof/>
      </w:rPr>
    </w:sdtEndPr>
    <w:sdtContent>
      <w:p w:rsidR="002657FC" w:rsidRPr="003C2FCC" w:rsidRDefault="00691F77" w:rsidP="00E42C2C">
        <w:pPr>
          <w:pStyle w:val="Header"/>
          <w:jc w:val="right"/>
        </w:pPr>
        <w:r>
          <w:t>WIPO/GRTKF/IC/42</w:t>
        </w:r>
        <w:r w:rsidR="002657FC" w:rsidRPr="003C2FCC">
          <w:t>/12</w:t>
        </w:r>
      </w:p>
      <w:p w:rsidR="002657FC" w:rsidRDefault="00D85854" w:rsidP="002A1AF5">
        <w:pPr>
          <w:pStyle w:val="Header"/>
          <w:tabs>
            <w:tab w:val="left" w:pos="8505"/>
          </w:tabs>
          <w:spacing w:after="480"/>
          <w:jc w:val="right"/>
        </w:pPr>
        <w:r>
          <w:t>ANNEXE</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7FC" w:rsidRDefault="002657FC" w:rsidP="00477D6B">
    <w:pPr>
      <w:jc w:val="right"/>
    </w:pPr>
    <w:bookmarkStart w:id="39" w:name="Code2"/>
    <w:bookmarkEnd w:id="39"/>
    <w:r>
      <w:t>WIPO/GRTKF/IC/41/12</w:t>
    </w:r>
  </w:p>
  <w:p w:rsidR="002657FC" w:rsidRDefault="002657FC"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2657FC" w:rsidRDefault="002657FC" w:rsidP="00477D6B">
    <w:pPr>
      <w:jc w:val="right"/>
    </w:pPr>
  </w:p>
  <w:p w:rsidR="002657FC" w:rsidRDefault="002657FC"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73702"/>
      <w:docPartObj>
        <w:docPartGallery w:val="Page Numbers (Top of Page)"/>
        <w:docPartUnique/>
      </w:docPartObj>
    </w:sdtPr>
    <w:sdtEndPr>
      <w:rPr>
        <w:noProof/>
      </w:rPr>
    </w:sdtEndPr>
    <w:sdtContent>
      <w:p w:rsidR="00D85854" w:rsidRPr="003C2FCC" w:rsidRDefault="00AA54D1" w:rsidP="00E42C2C">
        <w:pPr>
          <w:pStyle w:val="Header"/>
          <w:jc w:val="right"/>
        </w:pPr>
        <w:r>
          <w:t>WIPO/GRTKF/IC/42</w:t>
        </w:r>
        <w:r w:rsidR="00D85854" w:rsidRPr="003C2FCC">
          <w:t>/12</w:t>
        </w:r>
      </w:p>
      <w:p w:rsidR="00D85854" w:rsidRDefault="00D85854" w:rsidP="00AA54D1">
        <w:pPr>
          <w:pStyle w:val="Header"/>
          <w:tabs>
            <w:tab w:val="left" w:pos="8505"/>
          </w:tabs>
          <w:spacing w:after="480"/>
          <w:jc w:val="right"/>
        </w:pPr>
        <w:r>
          <w:t>APPENDICE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6A142F"/>
    <w:multiLevelType w:val="hybridMultilevel"/>
    <w:tmpl w:val="201C32B8"/>
    <w:lvl w:ilvl="0" w:tplc="28D82C5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31111A"/>
    <w:multiLevelType w:val="hybridMultilevel"/>
    <w:tmpl w:val="A40E43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CF96C53"/>
    <w:multiLevelType w:val="hybridMultilevel"/>
    <w:tmpl w:val="1876EE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02F7CEB"/>
    <w:multiLevelType w:val="hybridMultilevel"/>
    <w:tmpl w:val="386E66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065B4B"/>
    <w:multiLevelType w:val="hybridMultilevel"/>
    <w:tmpl w:val="4CA835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100996"/>
    <w:multiLevelType w:val="hybridMultilevel"/>
    <w:tmpl w:val="82046B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2508" w:hanging="360"/>
      </w:pPr>
      <w:rPr>
        <w:rFonts w:ascii="Courier New" w:hAnsi="Courier New" w:cs="Courier New" w:hint="default"/>
      </w:rPr>
    </w:lvl>
    <w:lvl w:ilvl="2" w:tplc="08070005" w:tentative="1">
      <w:start w:val="1"/>
      <w:numFmt w:val="bullet"/>
      <w:lvlText w:val=""/>
      <w:lvlJc w:val="left"/>
      <w:pPr>
        <w:ind w:left="3228" w:hanging="360"/>
      </w:pPr>
      <w:rPr>
        <w:rFonts w:ascii="Wingdings" w:hAnsi="Wingdings" w:hint="default"/>
      </w:rPr>
    </w:lvl>
    <w:lvl w:ilvl="3" w:tplc="08070001" w:tentative="1">
      <w:start w:val="1"/>
      <w:numFmt w:val="bullet"/>
      <w:lvlText w:val=""/>
      <w:lvlJc w:val="left"/>
      <w:pPr>
        <w:ind w:left="3948" w:hanging="360"/>
      </w:pPr>
      <w:rPr>
        <w:rFonts w:ascii="Symbol" w:hAnsi="Symbol" w:hint="default"/>
      </w:rPr>
    </w:lvl>
    <w:lvl w:ilvl="4" w:tplc="08070003" w:tentative="1">
      <w:start w:val="1"/>
      <w:numFmt w:val="bullet"/>
      <w:lvlText w:val="o"/>
      <w:lvlJc w:val="left"/>
      <w:pPr>
        <w:ind w:left="4668" w:hanging="360"/>
      </w:pPr>
      <w:rPr>
        <w:rFonts w:ascii="Courier New" w:hAnsi="Courier New" w:cs="Courier New" w:hint="default"/>
      </w:rPr>
    </w:lvl>
    <w:lvl w:ilvl="5" w:tplc="08070005" w:tentative="1">
      <w:start w:val="1"/>
      <w:numFmt w:val="bullet"/>
      <w:lvlText w:val=""/>
      <w:lvlJc w:val="left"/>
      <w:pPr>
        <w:ind w:left="5388" w:hanging="360"/>
      </w:pPr>
      <w:rPr>
        <w:rFonts w:ascii="Wingdings" w:hAnsi="Wingdings" w:hint="default"/>
      </w:rPr>
    </w:lvl>
    <w:lvl w:ilvl="6" w:tplc="08070001" w:tentative="1">
      <w:start w:val="1"/>
      <w:numFmt w:val="bullet"/>
      <w:lvlText w:val=""/>
      <w:lvlJc w:val="left"/>
      <w:pPr>
        <w:ind w:left="6108" w:hanging="360"/>
      </w:pPr>
      <w:rPr>
        <w:rFonts w:ascii="Symbol" w:hAnsi="Symbol" w:hint="default"/>
      </w:rPr>
    </w:lvl>
    <w:lvl w:ilvl="7" w:tplc="08070003" w:tentative="1">
      <w:start w:val="1"/>
      <w:numFmt w:val="bullet"/>
      <w:lvlText w:val="o"/>
      <w:lvlJc w:val="left"/>
      <w:pPr>
        <w:ind w:left="6828" w:hanging="360"/>
      </w:pPr>
      <w:rPr>
        <w:rFonts w:ascii="Courier New" w:hAnsi="Courier New" w:cs="Courier New" w:hint="default"/>
      </w:rPr>
    </w:lvl>
    <w:lvl w:ilvl="8" w:tplc="08070005" w:tentative="1">
      <w:start w:val="1"/>
      <w:numFmt w:val="bullet"/>
      <w:lvlText w:val=""/>
      <w:lvlJc w:val="left"/>
      <w:pPr>
        <w:ind w:left="7548" w:hanging="360"/>
      </w:pPr>
      <w:rPr>
        <w:rFonts w:ascii="Wingdings" w:hAnsi="Wingdings" w:hint="default"/>
      </w:rPr>
    </w:lvl>
  </w:abstractNum>
  <w:abstractNum w:abstractNumId="10" w15:restartNumberingAfterBreak="0">
    <w:nsid w:val="266821E1"/>
    <w:multiLevelType w:val="hybridMultilevel"/>
    <w:tmpl w:val="FDE4D2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66D561F"/>
    <w:multiLevelType w:val="hybridMultilevel"/>
    <w:tmpl w:val="023C2580"/>
    <w:lvl w:ilvl="0" w:tplc="018CA816">
      <w:start w:val="1"/>
      <w:numFmt w:val="decimal"/>
      <w:lvlText w:val="%1."/>
      <w:lvlJc w:val="left"/>
      <w:pPr>
        <w:ind w:left="5760" w:hanging="360"/>
      </w:pPr>
      <w:rPr>
        <w:rFonts w:ascii="Arial" w:hAnsi="Arial" w:cs="Arial" w:hint="default"/>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558DB"/>
    <w:multiLevelType w:val="hybridMultilevel"/>
    <w:tmpl w:val="728499F0"/>
    <w:lvl w:ilvl="0" w:tplc="60561ED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3" w15:restartNumberingAfterBreak="0">
    <w:nsid w:val="352F0AA8"/>
    <w:multiLevelType w:val="hybridMultilevel"/>
    <w:tmpl w:val="FBE654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B7553"/>
    <w:multiLevelType w:val="hybridMultilevel"/>
    <w:tmpl w:val="6D386604"/>
    <w:lvl w:ilvl="0" w:tplc="2604EA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038D0"/>
    <w:multiLevelType w:val="multilevel"/>
    <w:tmpl w:val="91889B36"/>
    <w:lvl w:ilvl="0">
      <w:start w:val="1"/>
      <w:numFmt w:val="lowerLetter"/>
      <w:lvlText w:val="%1)"/>
      <w:lvlJc w:val="left"/>
      <w:pPr>
        <w:ind w:left="1074"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18" w15:restartNumberingAfterBreak="0">
    <w:nsid w:val="599201E5"/>
    <w:multiLevelType w:val="hybridMultilevel"/>
    <w:tmpl w:val="AE0CB798"/>
    <w:lvl w:ilvl="0" w:tplc="08070001">
      <w:start w:val="1"/>
      <w:numFmt w:val="bullet"/>
      <w:lvlText w:val=""/>
      <w:lvlJc w:val="left"/>
      <w:pPr>
        <w:ind w:left="717" w:hanging="360"/>
      </w:pPr>
      <w:rPr>
        <w:rFonts w:ascii="Symbol" w:hAnsi="Symbol"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9" w15:restartNumberingAfterBreak="0">
    <w:nsid w:val="5DBE1765"/>
    <w:multiLevelType w:val="multilevel"/>
    <w:tmpl w:val="5C941D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094C75"/>
    <w:multiLevelType w:val="hybridMultilevel"/>
    <w:tmpl w:val="CC0C920A"/>
    <w:lvl w:ilvl="0" w:tplc="2A4ACF82">
      <w:start w:val="1"/>
      <w:numFmt w:val="bullet"/>
      <w:lvlText w:val=""/>
      <w:lvlJc w:val="left"/>
      <w:pPr>
        <w:ind w:left="360" w:hanging="360"/>
      </w:pPr>
      <w:rPr>
        <w:rFonts w:ascii="Symbol" w:hAnsi="Symbol" w:hint="default"/>
        <w:b w:val="0"/>
        <w:sz w:val="24"/>
        <w:szCs w:val="2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CAF4490"/>
    <w:multiLevelType w:val="multilevel"/>
    <w:tmpl w:val="DD0A5A4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1AB7A9B"/>
    <w:multiLevelType w:val="hybridMultilevel"/>
    <w:tmpl w:val="A51EE6BE"/>
    <w:lvl w:ilvl="0" w:tplc="0807000F">
      <w:start w:val="1"/>
      <w:numFmt w:val="decimal"/>
      <w:lvlText w:val="%1."/>
      <w:lvlJc w:val="left"/>
      <w:pPr>
        <w:ind w:left="366" w:hanging="360"/>
      </w:pPr>
    </w:lvl>
    <w:lvl w:ilvl="1" w:tplc="08070019" w:tentative="1">
      <w:start w:val="1"/>
      <w:numFmt w:val="lowerLetter"/>
      <w:lvlText w:val="%2."/>
      <w:lvlJc w:val="left"/>
      <w:pPr>
        <w:ind w:left="1086" w:hanging="360"/>
      </w:pPr>
    </w:lvl>
    <w:lvl w:ilvl="2" w:tplc="0807001B" w:tentative="1">
      <w:start w:val="1"/>
      <w:numFmt w:val="lowerRoman"/>
      <w:lvlText w:val="%3."/>
      <w:lvlJc w:val="right"/>
      <w:pPr>
        <w:ind w:left="1806" w:hanging="180"/>
      </w:pPr>
    </w:lvl>
    <w:lvl w:ilvl="3" w:tplc="0807000F" w:tentative="1">
      <w:start w:val="1"/>
      <w:numFmt w:val="decimal"/>
      <w:lvlText w:val="%4."/>
      <w:lvlJc w:val="left"/>
      <w:pPr>
        <w:ind w:left="2526" w:hanging="360"/>
      </w:pPr>
    </w:lvl>
    <w:lvl w:ilvl="4" w:tplc="08070019" w:tentative="1">
      <w:start w:val="1"/>
      <w:numFmt w:val="lowerLetter"/>
      <w:lvlText w:val="%5."/>
      <w:lvlJc w:val="left"/>
      <w:pPr>
        <w:ind w:left="3246" w:hanging="360"/>
      </w:pPr>
    </w:lvl>
    <w:lvl w:ilvl="5" w:tplc="0807001B" w:tentative="1">
      <w:start w:val="1"/>
      <w:numFmt w:val="lowerRoman"/>
      <w:lvlText w:val="%6."/>
      <w:lvlJc w:val="right"/>
      <w:pPr>
        <w:ind w:left="3966" w:hanging="180"/>
      </w:pPr>
    </w:lvl>
    <w:lvl w:ilvl="6" w:tplc="0807000F" w:tentative="1">
      <w:start w:val="1"/>
      <w:numFmt w:val="decimal"/>
      <w:lvlText w:val="%7."/>
      <w:lvlJc w:val="left"/>
      <w:pPr>
        <w:ind w:left="4686" w:hanging="360"/>
      </w:pPr>
    </w:lvl>
    <w:lvl w:ilvl="7" w:tplc="08070019" w:tentative="1">
      <w:start w:val="1"/>
      <w:numFmt w:val="lowerLetter"/>
      <w:lvlText w:val="%8."/>
      <w:lvlJc w:val="left"/>
      <w:pPr>
        <w:ind w:left="5406" w:hanging="360"/>
      </w:pPr>
    </w:lvl>
    <w:lvl w:ilvl="8" w:tplc="0807001B" w:tentative="1">
      <w:start w:val="1"/>
      <w:numFmt w:val="lowerRoman"/>
      <w:lvlText w:val="%9."/>
      <w:lvlJc w:val="right"/>
      <w:pPr>
        <w:ind w:left="6126" w:hanging="180"/>
      </w:pPr>
    </w:lvl>
  </w:abstractNum>
  <w:abstractNum w:abstractNumId="23" w15:restartNumberingAfterBreak="0">
    <w:nsid w:val="73567642"/>
    <w:multiLevelType w:val="multilevel"/>
    <w:tmpl w:val="ED70884A"/>
    <w:lvl w:ilvl="0">
      <w:start w:val="3"/>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24" w15:restartNumberingAfterBreak="0">
    <w:nsid w:val="7B776359"/>
    <w:multiLevelType w:val="multilevel"/>
    <w:tmpl w:val="C492A7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A62D3C"/>
    <w:multiLevelType w:val="hybridMultilevel"/>
    <w:tmpl w:val="1090C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5"/>
  </w:num>
  <w:num w:numId="5">
    <w:abstractNumId w:val="2"/>
  </w:num>
  <w:num w:numId="6">
    <w:abstractNumId w:val="8"/>
  </w:num>
  <w:num w:numId="7">
    <w:abstractNumId w:val="11"/>
  </w:num>
  <w:num w:numId="8">
    <w:abstractNumId w:val="12"/>
  </w:num>
  <w:num w:numId="9">
    <w:abstractNumId w:val="5"/>
  </w:num>
  <w:num w:numId="10">
    <w:abstractNumId w:val="7"/>
  </w:num>
  <w:num w:numId="11">
    <w:abstractNumId w:val="21"/>
  </w:num>
  <w:num w:numId="12">
    <w:abstractNumId w:val="23"/>
  </w:num>
  <w:num w:numId="13">
    <w:abstractNumId w:val="22"/>
  </w:num>
  <w:num w:numId="14">
    <w:abstractNumId w:val="3"/>
  </w:num>
  <w:num w:numId="15">
    <w:abstractNumId w:val="24"/>
  </w:num>
  <w:num w:numId="16">
    <w:abstractNumId w:val="4"/>
  </w:num>
  <w:num w:numId="17">
    <w:abstractNumId w:val="10"/>
  </w:num>
  <w:num w:numId="18">
    <w:abstractNumId w:val="20"/>
  </w:num>
  <w:num w:numId="19">
    <w:abstractNumId w:val="18"/>
  </w:num>
  <w:num w:numId="20">
    <w:abstractNumId w:val="9"/>
  </w:num>
  <w:num w:numId="21">
    <w:abstractNumId w:val="17"/>
  </w:num>
  <w:num w:numId="22">
    <w:abstractNumId w:val="13"/>
  </w:num>
  <w:num w:numId="23">
    <w:abstractNumId w:val="25"/>
  </w:num>
  <w:num w:numId="24">
    <w:abstractNumId w:val="16"/>
  </w:num>
  <w:num w:numId="25">
    <w:abstractNumId w:val="1"/>
  </w:num>
  <w:num w:numId="26">
    <w:abstractNumId w:val="1"/>
    <w:lvlOverride w:ilvl="0">
      <w:startOverride w:val="1"/>
    </w:lvlOverride>
  </w:num>
  <w:num w:numId="27">
    <w:abstractNumId w:val="1"/>
    <w:lvlOverride w:ilvl="0">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F6"/>
    <w:rsid w:val="00011B7D"/>
    <w:rsid w:val="0001760D"/>
    <w:rsid w:val="0003571D"/>
    <w:rsid w:val="000432F5"/>
    <w:rsid w:val="000559C5"/>
    <w:rsid w:val="00075432"/>
    <w:rsid w:val="0009458A"/>
    <w:rsid w:val="00095B51"/>
    <w:rsid w:val="000B2FBE"/>
    <w:rsid w:val="000E16DD"/>
    <w:rsid w:val="000E46FF"/>
    <w:rsid w:val="000F038C"/>
    <w:rsid w:val="000F5E56"/>
    <w:rsid w:val="001362EE"/>
    <w:rsid w:val="00144BED"/>
    <w:rsid w:val="001832A6"/>
    <w:rsid w:val="00193C0E"/>
    <w:rsid w:val="00195C6E"/>
    <w:rsid w:val="001B266A"/>
    <w:rsid w:val="001B48A8"/>
    <w:rsid w:val="001C08FD"/>
    <w:rsid w:val="001C2746"/>
    <w:rsid w:val="001D3D56"/>
    <w:rsid w:val="00234673"/>
    <w:rsid w:val="00240654"/>
    <w:rsid w:val="00242CE0"/>
    <w:rsid w:val="002524B8"/>
    <w:rsid w:val="002634C4"/>
    <w:rsid w:val="002657FC"/>
    <w:rsid w:val="00297EC3"/>
    <w:rsid w:val="002A1AF5"/>
    <w:rsid w:val="002D5152"/>
    <w:rsid w:val="002E4D1A"/>
    <w:rsid w:val="002E7823"/>
    <w:rsid w:val="002F16BC"/>
    <w:rsid w:val="002F4E68"/>
    <w:rsid w:val="002F6252"/>
    <w:rsid w:val="00322C0B"/>
    <w:rsid w:val="00330EAB"/>
    <w:rsid w:val="003355AC"/>
    <w:rsid w:val="00370098"/>
    <w:rsid w:val="00383EC0"/>
    <w:rsid w:val="003845C1"/>
    <w:rsid w:val="003A25F1"/>
    <w:rsid w:val="003A67A3"/>
    <w:rsid w:val="003B0728"/>
    <w:rsid w:val="003D37BF"/>
    <w:rsid w:val="003D438A"/>
    <w:rsid w:val="003F0EBC"/>
    <w:rsid w:val="004008A2"/>
    <w:rsid w:val="004025DF"/>
    <w:rsid w:val="004052EB"/>
    <w:rsid w:val="00421A8D"/>
    <w:rsid w:val="00423E3E"/>
    <w:rsid w:val="00427AF4"/>
    <w:rsid w:val="00451DEF"/>
    <w:rsid w:val="004647DA"/>
    <w:rsid w:val="00477D6B"/>
    <w:rsid w:val="004C18E6"/>
    <w:rsid w:val="004D6471"/>
    <w:rsid w:val="00502EE7"/>
    <w:rsid w:val="00513138"/>
    <w:rsid w:val="0051455D"/>
    <w:rsid w:val="00525B63"/>
    <w:rsid w:val="00537F1B"/>
    <w:rsid w:val="00541348"/>
    <w:rsid w:val="005421DD"/>
    <w:rsid w:val="00546B53"/>
    <w:rsid w:val="00554FA5"/>
    <w:rsid w:val="00567A4C"/>
    <w:rsid w:val="00574036"/>
    <w:rsid w:val="00594BBC"/>
    <w:rsid w:val="00595B6A"/>
    <w:rsid w:val="00595F07"/>
    <w:rsid w:val="005B3A25"/>
    <w:rsid w:val="005C0BD9"/>
    <w:rsid w:val="005C1410"/>
    <w:rsid w:val="005C26E2"/>
    <w:rsid w:val="005D687F"/>
    <w:rsid w:val="005E6516"/>
    <w:rsid w:val="006030C9"/>
    <w:rsid w:val="00605827"/>
    <w:rsid w:val="00616671"/>
    <w:rsid w:val="006202BE"/>
    <w:rsid w:val="006211A6"/>
    <w:rsid w:val="00626B5E"/>
    <w:rsid w:val="00651DAF"/>
    <w:rsid w:val="006676A1"/>
    <w:rsid w:val="00691F77"/>
    <w:rsid w:val="006B0DB5"/>
    <w:rsid w:val="006B1E04"/>
    <w:rsid w:val="006F2548"/>
    <w:rsid w:val="00705C94"/>
    <w:rsid w:val="00735C40"/>
    <w:rsid w:val="007461F1"/>
    <w:rsid w:val="00755B20"/>
    <w:rsid w:val="007B513E"/>
    <w:rsid w:val="007D6961"/>
    <w:rsid w:val="007F07CB"/>
    <w:rsid w:val="00810CEF"/>
    <w:rsid w:val="0081208D"/>
    <w:rsid w:val="0084325A"/>
    <w:rsid w:val="00852928"/>
    <w:rsid w:val="008B2CC1"/>
    <w:rsid w:val="008D2CAF"/>
    <w:rsid w:val="008E236C"/>
    <w:rsid w:val="008E7930"/>
    <w:rsid w:val="00900FCF"/>
    <w:rsid w:val="0090731E"/>
    <w:rsid w:val="00953B52"/>
    <w:rsid w:val="00956E31"/>
    <w:rsid w:val="00966A22"/>
    <w:rsid w:val="00971CEE"/>
    <w:rsid w:val="00974CD6"/>
    <w:rsid w:val="0099269F"/>
    <w:rsid w:val="009937BF"/>
    <w:rsid w:val="009B3BE6"/>
    <w:rsid w:val="009D30E6"/>
    <w:rsid w:val="009E3F6F"/>
    <w:rsid w:val="009F1D8C"/>
    <w:rsid w:val="009F499F"/>
    <w:rsid w:val="00A0792D"/>
    <w:rsid w:val="00A11D74"/>
    <w:rsid w:val="00A22B41"/>
    <w:rsid w:val="00A57E42"/>
    <w:rsid w:val="00A9246E"/>
    <w:rsid w:val="00AA54D1"/>
    <w:rsid w:val="00AB4490"/>
    <w:rsid w:val="00AC0AE4"/>
    <w:rsid w:val="00AD61DB"/>
    <w:rsid w:val="00B35AF5"/>
    <w:rsid w:val="00B52151"/>
    <w:rsid w:val="00B540A8"/>
    <w:rsid w:val="00B70105"/>
    <w:rsid w:val="00BA4B65"/>
    <w:rsid w:val="00BC4014"/>
    <w:rsid w:val="00BE0BE0"/>
    <w:rsid w:val="00C05B71"/>
    <w:rsid w:val="00C3086A"/>
    <w:rsid w:val="00C664C8"/>
    <w:rsid w:val="00C7757D"/>
    <w:rsid w:val="00C820D3"/>
    <w:rsid w:val="00C904F7"/>
    <w:rsid w:val="00CC5DF6"/>
    <w:rsid w:val="00CF0460"/>
    <w:rsid w:val="00D12DA8"/>
    <w:rsid w:val="00D43E0F"/>
    <w:rsid w:val="00D44BD2"/>
    <w:rsid w:val="00D45252"/>
    <w:rsid w:val="00D700C1"/>
    <w:rsid w:val="00D71B4D"/>
    <w:rsid w:val="00D75C1E"/>
    <w:rsid w:val="00D85854"/>
    <w:rsid w:val="00D93D55"/>
    <w:rsid w:val="00DB1C48"/>
    <w:rsid w:val="00DB6D1E"/>
    <w:rsid w:val="00DC3635"/>
    <w:rsid w:val="00DD6A16"/>
    <w:rsid w:val="00DF4261"/>
    <w:rsid w:val="00E0091A"/>
    <w:rsid w:val="00E00A87"/>
    <w:rsid w:val="00E203AA"/>
    <w:rsid w:val="00E42802"/>
    <w:rsid w:val="00E42C2C"/>
    <w:rsid w:val="00E430AD"/>
    <w:rsid w:val="00E527A5"/>
    <w:rsid w:val="00E72767"/>
    <w:rsid w:val="00E74831"/>
    <w:rsid w:val="00E76456"/>
    <w:rsid w:val="00E84189"/>
    <w:rsid w:val="00EA5C2B"/>
    <w:rsid w:val="00EA77F7"/>
    <w:rsid w:val="00EC396E"/>
    <w:rsid w:val="00EE2BAC"/>
    <w:rsid w:val="00EE71CB"/>
    <w:rsid w:val="00F16975"/>
    <w:rsid w:val="00F27224"/>
    <w:rsid w:val="00F66152"/>
    <w:rsid w:val="00F856F1"/>
    <w:rsid w:val="00FE6586"/>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C059B87"/>
  <w15:docId w15:val="{E33953FF-91E8-4C43-B90F-16AC18FB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qFormat/>
    <w:rsid w:val="00234673"/>
    <w:pPr>
      <w:keepNext/>
      <w:spacing w:before="240" w:after="60"/>
      <w:ind w:left="567" w:hanging="567"/>
      <w:outlineLvl w:val="1"/>
    </w:pPr>
    <w:rPr>
      <w:b/>
      <w:bCs/>
      <w:iCs/>
      <w:szCs w:val="28"/>
      <w:lang w:val="fr-FR"/>
    </w:rPr>
  </w:style>
  <w:style w:type="paragraph" w:styleId="Heading3">
    <w:name w:val="heading 3"/>
    <w:basedOn w:val="Heading1"/>
    <w:next w:val="Normal"/>
    <w:qFormat/>
    <w:rsid w:val="005C0BD9"/>
    <w:pPr>
      <w:keepLines/>
      <w:spacing w:after="160"/>
      <w:outlineLvl w:val="2"/>
    </w:pPr>
    <w:rPr>
      <w:caps w:val="0"/>
      <w:szCs w:val="22"/>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CC5DF6"/>
    <w:rPr>
      <w:rFonts w:ascii="Arial" w:eastAsia="SimSun" w:hAnsi="Arial" w:cs="Arial"/>
      <w:sz w:val="22"/>
      <w:lang w:eastAsia="zh-CN"/>
    </w:rPr>
  </w:style>
  <w:style w:type="paragraph" w:styleId="ListParagraph">
    <w:name w:val="List Paragraph"/>
    <w:basedOn w:val="Normal"/>
    <w:uiPriority w:val="34"/>
    <w:qFormat/>
    <w:rsid w:val="00CC5DF6"/>
    <w:pPr>
      <w:spacing w:after="160" w:line="276" w:lineRule="auto"/>
      <w:ind w:left="720"/>
      <w:contextualSpacing/>
    </w:pPr>
    <w:rPr>
      <w:rFonts w:asciiTheme="minorHAnsi" w:eastAsiaTheme="minorEastAsia" w:hAnsiTheme="minorHAnsi" w:cstheme="minorBidi"/>
      <w:sz w:val="21"/>
      <w:szCs w:val="21"/>
      <w:lang w:val="en-US" w:eastAsia="en-US"/>
    </w:rPr>
  </w:style>
  <w:style w:type="paragraph" w:customStyle="1" w:styleId="Text">
    <w:name w:val="Text"/>
    <w:rsid w:val="00CC5DF6"/>
    <w:rPr>
      <w:rFonts w:ascii="Helvetica Neue" w:eastAsia="Arial Unicode MS" w:hAnsi="Helvetica Neue" w:cs="Arial Unicode MS"/>
      <w:color w:val="000000"/>
      <w:sz w:val="21"/>
      <w:szCs w:val="21"/>
      <w:lang w:val="de-DE" w:eastAsia="de-CH"/>
    </w:rPr>
  </w:style>
  <w:style w:type="character" w:styleId="Hyperlink">
    <w:name w:val="Hyperlink"/>
    <w:basedOn w:val="DefaultParagraphFont"/>
    <w:uiPriority w:val="99"/>
    <w:unhideWhenUsed/>
    <w:rsid w:val="00CC5DF6"/>
    <w:rPr>
      <w:color w:val="0000FF"/>
      <w:u w:val="single"/>
    </w:rPr>
  </w:style>
  <w:style w:type="character" w:customStyle="1" w:styleId="FootnoteTextChar">
    <w:name w:val="Footnote Text Char"/>
    <w:basedOn w:val="DefaultParagraphFont"/>
    <w:link w:val="FootnoteText"/>
    <w:uiPriority w:val="99"/>
    <w:rsid w:val="00CC5DF6"/>
    <w:rPr>
      <w:rFonts w:ascii="Arial" w:eastAsia="SimSun" w:hAnsi="Arial" w:cs="Arial"/>
      <w:sz w:val="18"/>
      <w:lang w:eastAsia="zh-CN"/>
    </w:rPr>
  </w:style>
  <w:style w:type="character" w:styleId="FootnoteReference">
    <w:name w:val="footnote reference"/>
    <w:basedOn w:val="DefaultParagraphFont"/>
    <w:uiPriority w:val="99"/>
    <w:semiHidden/>
    <w:unhideWhenUsed/>
    <w:rsid w:val="00CC5DF6"/>
    <w:rPr>
      <w:vertAlign w:val="superscript"/>
    </w:rPr>
  </w:style>
  <w:style w:type="paragraph" w:customStyle="1" w:styleId="Default">
    <w:name w:val="Default"/>
    <w:rsid w:val="00CC5DF6"/>
    <w:pPr>
      <w:autoSpaceDE w:val="0"/>
      <w:autoSpaceDN w:val="0"/>
      <w:adjustRightInd w:val="0"/>
    </w:pPr>
    <w:rPr>
      <w:rFonts w:eastAsiaTheme="minorEastAsia"/>
      <w:color w:val="000000"/>
      <w:sz w:val="24"/>
      <w:szCs w:val="24"/>
      <w:lang w:val="de-CH" w:eastAsia="en-US"/>
    </w:rPr>
  </w:style>
  <w:style w:type="character" w:customStyle="1" w:styleId="Heading1Char">
    <w:name w:val="Heading 1 Char"/>
    <w:basedOn w:val="DefaultParagraphFont"/>
    <w:link w:val="Heading1"/>
    <w:uiPriority w:val="9"/>
    <w:rsid w:val="00CC5DF6"/>
    <w:rPr>
      <w:rFonts w:ascii="Arial" w:eastAsia="SimSun" w:hAnsi="Arial" w:cs="Arial"/>
      <w:b/>
      <w:bCs/>
      <w:caps/>
      <w:kern w:val="32"/>
      <w:sz w:val="22"/>
      <w:szCs w:val="32"/>
      <w:lang w:eastAsia="zh-CN"/>
    </w:rPr>
  </w:style>
  <w:style w:type="paragraph" w:styleId="TOCHeading">
    <w:name w:val="TOC Heading"/>
    <w:basedOn w:val="Heading1"/>
    <w:next w:val="Normal"/>
    <w:uiPriority w:val="39"/>
    <w:unhideWhenUsed/>
    <w:qFormat/>
    <w:rsid w:val="00CC5DF6"/>
    <w:pPr>
      <w:keepLines/>
      <w:pBdr>
        <w:bottom w:val="single" w:sz="4" w:space="2" w:color="C0504D" w:themeColor="accent2"/>
      </w:pBdr>
      <w:spacing w:before="360" w:after="120"/>
      <w:outlineLvl w:val="9"/>
    </w:pPr>
    <w:rPr>
      <w:rFonts w:asciiTheme="majorHAnsi" w:eastAsiaTheme="majorEastAsia" w:hAnsiTheme="majorHAnsi" w:cstheme="majorBidi"/>
      <w:b w:val="0"/>
      <w:bCs w:val="0"/>
      <w:caps w:val="0"/>
      <w:color w:val="262626" w:themeColor="text1" w:themeTint="D9"/>
      <w:kern w:val="0"/>
      <w:sz w:val="40"/>
      <w:szCs w:val="40"/>
      <w:lang w:val="en-US" w:eastAsia="en-US"/>
    </w:rPr>
  </w:style>
  <w:style w:type="paragraph" w:styleId="TOC1">
    <w:name w:val="toc 1"/>
    <w:basedOn w:val="Normal"/>
    <w:next w:val="Normal"/>
    <w:autoRedefine/>
    <w:uiPriority w:val="39"/>
    <w:unhideWhenUsed/>
    <w:rsid w:val="00234673"/>
    <w:pPr>
      <w:tabs>
        <w:tab w:val="left" w:pos="567"/>
        <w:tab w:val="right" w:leader="dot" w:pos="9396"/>
      </w:tabs>
      <w:spacing w:after="100"/>
    </w:pPr>
    <w:rPr>
      <w:rFonts w:eastAsiaTheme="minorEastAsia" w:cstheme="minorBidi"/>
      <w:szCs w:val="21"/>
      <w:lang w:val="en-US" w:eastAsia="en-US"/>
    </w:rPr>
  </w:style>
  <w:style w:type="character" w:styleId="FollowedHyperlink">
    <w:name w:val="FollowedHyperlink"/>
    <w:basedOn w:val="DefaultParagraphFont"/>
    <w:semiHidden/>
    <w:unhideWhenUsed/>
    <w:rsid w:val="003D438A"/>
    <w:rPr>
      <w:color w:val="800080" w:themeColor="followedHyperlink"/>
      <w:u w:val="single"/>
    </w:rPr>
  </w:style>
  <w:style w:type="paragraph" w:styleId="TOC2">
    <w:name w:val="toc 2"/>
    <w:basedOn w:val="Normal"/>
    <w:next w:val="Normal"/>
    <w:autoRedefine/>
    <w:uiPriority w:val="39"/>
    <w:unhideWhenUsed/>
    <w:rsid w:val="00234673"/>
    <w:pPr>
      <w:tabs>
        <w:tab w:val="left" w:pos="1134"/>
        <w:tab w:val="right" w:leader="dot" w:pos="9345"/>
      </w:tabs>
      <w:spacing w:after="100"/>
      <w:ind w:left="1134" w:hanging="567"/>
    </w:pPr>
  </w:style>
  <w:style w:type="paragraph" w:styleId="TOC3">
    <w:name w:val="toc 3"/>
    <w:basedOn w:val="Normal"/>
    <w:next w:val="Normal"/>
    <w:autoRedefine/>
    <w:uiPriority w:val="39"/>
    <w:unhideWhenUsed/>
    <w:rsid w:val="00234673"/>
    <w:pPr>
      <w:tabs>
        <w:tab w:val="left" w:pos="1701"/>
        <w:tab w:val="right" w:leader="dot" w:pos="9345"/>
      </w:tabs>
      <w:spacing w:after="100"/>
      <w:ind w:left="1701" w:hanging="567"/>
    </w:pPr>
  </w:style>
  <w:style w:type="paragraph" w:styleId="Title">
    <w:name w:val="Title"/>
    <w:basedOn w:val="Heading1"/>
    <w:next w:val="Normal"/>
    <w:link w:val="TitleChar"/>
    <w:qFormat/>
    <w:rsid w:val="00EC396E"/>
    <w:pPr>
      <w:spacing w:before="0" w:after="480"/>
    </w:pPr>
    <w:rPr>
      <w:caps w:val="0"/>
      <w:sz w:val="28"/>
      <w:szCs w:val="28"/>
      <w:lang w:val="fr-FR"/>
    </w:rPr>
  </w:style>
  <w:style w:type="character" w:customStyle="1" w:styleId="TitleChar">
    <w:name w:val="Title Char"/>
    <w:basedOn w:val="DefaultParagraphFont"/>
    <w:link w:val="Title"/>
    <w:rsid w:val="00EC396E"/>
    <w:rPr>
      <w:rFonts w:ascii="Arial" w:eastAsia="SimSun" w:hAnsi="Arial" w:cs="Arial"/>
      <w:b/>
      <w:bCs/>
      <w:kern w:val="3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71165">
      <w:bodyDiv w:val="1"/>
      <w:marLeft w:val="0"/>
      <w:marRight w:val="0"/>
      <w:marTop w:val="0"/>
      <w:marBottom w:val="0"/>
      <w:divBdr>
        <w:top w:val="none" w:sz="0" w:space="0" w:color="auto"/>
        <w:left w:val="none" w:sz="0" w:space="0" w:color="auto"/>
        <w:bottom w:val="none" w:sz="0" w:space="0" w:color="auto"/>
        <w:right w:val="none" w:sz="0" w:space="0" w:color="auto"/>
      </w:divBdr>
    </w:div>
    <w:div w:id="19918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en/documents/pdf/igc-mandate-2022-2023.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meetings/fr/doc_details.jsp?doc_id=558733" TargetMode="External"/><Relationship Id="rId17" Type="http://schemas.openxmlformats.org/officeDocument/2006/relationships/hyperlink" Target="https://www.wipo.int/edocs/pubdocs/fr/wipo_pub_944_2019.pdf" TargetMode="External"/><Relationship Id="rId2" Type="http://schemas.openxmlformats.org/officeDocument/2006/relationships/numbering" Target="numbering.xml"/><Relationship Id="rId16" Type="http://schemas.openxmlformats.org/officeDocument/2006/relationships/hyperlink" Target="https://www.wipo.int/edocs/mdocs/tk/fr/wipo_grtkf_ic_31/wipo_grtkf_ic_31_8.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5587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publications/fr/details.jsp?id=4042&amp;plang=EN"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publications/fr/details.jsp?id=3394&amp;plang=EN" TargetMode="Externa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genbank/statistics/" TargetMode="External"/><Relationship Id="rId13" Type="http://schemas.openxmlformats.org/officeDocument/2006/relationships/hyperlink" Target="https://www.ncbi.nlm.nih.gov/pmc/articles/PMC6282082/" TargetMode="External"/><Relationship Id="rId18" Type="http://schemas.openxmlformats.org/officeDocument/2006/relationships/hyperlink" Target="https://www.wipo.int/edocs/mdocs/tk/fr/wipo_grtkf_iwg_3/wipo_grtkf_iwg_3_4.pdf" TargetMode="External"/><Relationship Id="rId3" Type="http://schemas.openxmlformats.org/officeDocument/2006/relationships/hyperlink" Target="https://www.boe.es/diario_boe/txt.php?id=BOE-A-2015-8328" TargetMode="External"/><Relationship Id="rId7" Type="http://schemas.openxmlformats.org/officeDocument/2006/relationships/hyperlink" Target="https://www.wipo.int/meetings/fr/doc_details.jsp?doc_id=437106" TargetMode="External"/><Relationship Id="rId12" Type="http://schemas.openxmlformats.org/officeDocument/2006/relationships/hyperlink" Target="https://www.bafu.admin.ch/bafu/de/home/themen/biodiversitaet/fachinformationen/zustand-der-biodiversitaet-in-der-schweiz/zustand-der-artenvielfalt-in-der-schweiz.html" TargetMode="External"/><Relationship Id="rId17" Type="http://schemas.openxmlformats.org/officeDocument/2006/relationships/hyperlink" Target="https://www.wipo.int/edocs/mdocs/tk/fr/wipo_grtkf_ic_31/wipo_grtkf_ic_31_8.pdf" TargetMode="External"/><Relationship Id="rId2" Type="http://schemas.openxmlformats.org/officeDocument/2006/relationships/hyperlink" Target="https://www.wipo.int/edocs/mdocs/tk/fr/wipo_grtkf_ic_31/wipo_grtkf_ic_31_8.pdf" TargetMode="External"/><Relationship Id="rId16" Type="http://schemas.openxmlformats.org/officeDocument/2006/relationships/hyperlink" Target="https://www.future-science.com/doi/10.4155/ppa-2019-0017" TargetMode="External"/><Relationship Id="rId20" Type="http://schemas.openxmlformats.org/officeDocument/2006/relationships/hyperlink" Target="http://docsonline.wto.org/imrd/directdoc.asp?DDFDocuments/t/IP/C/W400R1.doc" TargetMode="External"/><Relationship Id="rId1" Type="http://schemas.openxmlformats.org/officeDocument/2006/relationships/hyperlink" Target="https://www.wipo.int/edocs/pubdocs/fr/wipo_pub_1047_19.pdf" TargetMode="External"/><Relationship Id="rId6" Type="http://schemas.openxmlformats.org/officeDocument/2006/relationships/hyperlink" Target="https://www.ifpma.org/wp-content/uploads/2018/06/Economic-impact-DRs-for-GRs-final-report_June2018.pdf" TargetMode="External"/><Relationship Id="rId11" Type="http://schemas.openxmlformats.org/officeDocument/2006/relationships/hyperlink" Target="https://www.wipo.int/edocs/mdocs/tk/en/wipo_grtkf_ic_31/wipo_grtkf_ic_31_8.pdf" TargetMode="External"/><Relationship Id="rId5" Type="http://schemas.openxmlformats.org/officeDocument/2006/relationships/hyperlink" Target="https://absch.cbd.int/" TargetMode="External"/><Relationship Id="rId15" Type="http://schemas.openxmlformats.org/officeDocument/2006/relationships/hyperlink" Target="https://www.wipo.int/publications/fr/details.jsp?id=4398&amp;plang=EN" TargetMode="External"/><Relationship Id="rId10" Type="http://schemas.openxmlformats.org/officeDocument/2006/relationships/hyperlink" Target="https://doi.org/10.1093/database/baw163" TargetMode="External"/><Relationship Id="rId19" Type="http://schemas.openxmlformats.org/officeDocument/2006/relationships/hyperlink" Target="https://www.wipo.int/edocs/mdocs/tk/en/wipo_grtkf_ic_40/wipo_grtkf_ic_40_16.pdf" TargetMode="External"/><Relationship Id="rId4" Type="http://schemas.openxmlformats.org/officeDocument/2006/relationships/hyperlink" Target="https://www.boe.es/buscar/doc.php?id=BOE-A-2017-3550" TargetMode="External"/><Relationship Id="rId9" Type="http://schemas.openxmlformats.org/officeDocument/2006/relationships/hyperlink" Target="https://www.cbd.int/meetings/DSI-AHTEG-2020-01" TargetMode="External"/><Relationship Id="rId14" Type="http://schemas.openxmlformats.org/officeDocument/2006/relationships/hyperlink" Target="https://www.wipo.int/edocs/pubdocs/fr/wipo_pub_944_201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380E-55D0-4C38-8E24-EC2FAB7C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(F).dotm</Template>
  <TotalTime>658</TotalTime>
  <Pages>16</Pages>
  <Words>6373</Words>
  <Characters>37215</Characters>
  <Application>Microsoft Office Word</Application>
  <DocSecurity>0</DocSecurity>
  <Lines>585</Lines>
  <Paragraphs>140</Paragraphs>
  <ScaleCrop>false</ScaleCrop>
  <HeadingPairs>
    <vt:vector size="2" baseType="variant">
      <vt:variant>
        <vt:lpstr>Title</vt:lpstr>
      </vt:variant>
      <vt:variant>
        <vt:i4>1</vt:i4>
      </vt:variant>
    </vt:vector>
  </HeadingPairs>
  <TitlesOfParts>
    <vt:vector size="1" baseType="lpstr">
      <vt:lpstr>WIPO/GRTKF/IC/41/</vt:lpstr>
    </vt:vector>
  </TitlesOfParts>
  <Company>WIPO</Company>
  <LinksUpToDate>false</LinksUpToDate>
  <CharactersWithSpaces>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dc:title>
  <dc:subject/>
  <dc:creator>OLIVIÉ Karen</dc:creator>
  <cp:keywords>FOR OFFICIAL USE ONLY</cp:keywords>
  <dc:description/>
  <cp:lastModifiedBy>BERNARD Nadège</cp:lastModifiedBy>
  <cp:revision>35</cp:revision>
  <cp:lastPrinted>2011-05-19T12:37:00Z</cp:lastPrinted>
  <dcterms:created xsi:type="dcterms:W3CDTF">2020-09-16T07:34:00Z</dcterms:created>
  <dcterms:modified xsi:type="dcterms:W3CDTF">2022-02-11T08:24:00Z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3d689018-4a9a-4a2f-bf62-fdde580c802b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