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40540C" w:rsidRDefault="0040540C" w:rsidP="001F2578">
      <w:pPr>
        <w:pBdr>
          <w:bottom w:val="single" w:sz="4" w:space="11" w:color="auto"/>
        </w:pBd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0C" w:rsidRDefault="001F2578" w:rsidP="0040540C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WIPO/GRTKF/IC/46/</w:t>
      </w:r>
      <w:bookmarkStart w:id="0" w:name="Code"/>
      <w:bookmarkEnd w:id="0"/>
      <w:r w:rsidR="00E03514">
        <w:rPr>
          <w:rFonts w:ascii="Arial Black" w:hAnsi="Arial Black"/>
          <w:caps/>
          <w:sz w:val="15"/>
        </w:rPr>
        <w:t>11</w:t>
      </w:r>
    </w:p>
    <w:p w:rsidR="008B2CC1" w:rsidRPr="0040540C" w:rsidRDefault="00B1090C" w:rsidP="0040540C">
      <w:pPr>
        <w:jc w:val="right"/>
      </w:pPr>
      <w:r w:rsidRPr="0090731E">
        <w:rPr>
          <w:rFonts w:ascii="Arial Black" w:hAnsi="Arial Black"/>
          <w:caps/>
          <w:sz w:val="15"/>
        </w:rPr>
        <w:t>ORIGINAL</w:t>
      </w:r>
      <w:r w:rsidR="006E0DC1">
        <w:rPr>
          <w:rFonts w:ascii="Arial Black" w:hAnsi="Arial Black"/>
          <w:caps/>
          <w:sz w:val="15"/>
        </w:rPr>
        <w:t> 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1" w:name="Original"/>
      <w:r w:rsidR="00E03514">
        <w:rPr>
          <w:rFonts w:ascii="Arial Black" w:hAnsi="Arial Black"/>
          <w:caps/>
          <w:sz w:val="15"/>
        </w:rPr>
        <w:t>anglais</w:t>
      </w:r>
    </w:p>
    <w:bookmarkEnd w:id="1"/>
    <w:p w:rsidR="008B2CC1" w:rsidRPr="0040540C" w:rsidRDefault="00B1090C" w:rsidP="00B1090C">
      <w:pPr>
        <w:spacing w:after="1200"/>
        <w:jc w:val="right"/>
      </w:pPr>
      <w:r w:rsidRPr="0090731E">
        <w:rPr>
          <w:rFonts w:ascii="Arial Black" w:hAnsi="Arial Black"/>
          <w:caps/>
          <w:sz w:val="15"/>
        </w:rPr>
        <w:t>DATE</w:t>
      </w:r>
      <w:r w:rsidR="006E0DC1">
        <w:rPr>
          <w:rFonts w:ascii="Arial Black" w:hAnsi="Arial Black"/>
          <w:caps/>
          <w:sz w:val="15"/>
        </w:rPr>
        <w:t> 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2" w:name="Date"/>
      <w:r w:rsidR="00E03514">
        <w:rPr>
          <w:rFonts w:ascii="Arial Black" w:hAnsi="Arial Black"/>
          <w:caps/>
          <w:sz w:val="15"/>
        </w:rPr>
        <w:t>27 janvier 2023</w:t>
      </w:r>
    </w:p>
    <w:bookmarkEnd w:id="2"/>
    <w:p w:rsidR="003845C1" w:rsidRPr="00E03514" w:rsidRDefault="001F2578" w:rsidP="00E03514">
      <w:pPr>
        <w:pStyle w:val="Title"/>
      </w:pPr>
      <w:r w:rsidRPr="00E03514">
        <w:t>Comité intergouvernemental de la propri</w:t>
      </w:r>
      <w:r w:rsidR="00825F2A" w:rsidRPr="00E03514">
        <w:t>été intellectuelle relative aux</w:t>
      </w:r>
      <w:r w:rsidR="00825F2A" w:rsidRPr="00E03514">
        <w:t> </w:t>
      </w:r>
      <w:r w:rsidRPr="00E03514">
        <w:t>ressources génétiques, aux savoirs traditionnels et au folklore</w:t>
      </w:r>
    </w:p>
    <w:p w:rsidR="00FE19E9" w:rsidRDefault="001F2578" w:rsidP="00FE19E9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Quarante</w:t>
      </w:r>
      <w:r w:rsidR="00B64ED5">
        <w:rPr>
          <w:b/>
          <w:sz w:val="24"/>
          <w:szCs w:val="24"/>
        </w:rPr>
        <w:noBreakHyphen/>
      </w:r>
      <w:r>
        <w:rPr>
          <w:b/>
          <w:sz w:val="24"/>
          <w:szCs w:val="24"/>
        </w:rPr>
        <w:t>six</w:t>
      </w:r>
      <w:r w:rsidR="006E0DC1">
        <w:rPr>
          <w:b/>
          <w:sz w:val="24"/>
          <w:szCs w:val="24"/>
        </w:rPr>
        <w:t>ième session</w:t>
      </w:r>
    </w:p>
    <w:p w:rsidR="008B2CC1" w:rsidRPr="003845C1" w:rsidRDefault="001F2578" w:rsidP="00825F2A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Genève, 2</w:t>
      </w:r>
      <w:r w:rsidR="006E0DC1">
        <w:rPr>
          <w:b/>
          <w:sz w:val="24"/>
          <w:szCs w:val="24"/>
        </w:rPr>
        <w:t>7 février</w:t>
      </w:r>
      <w:r>
        <w:rPr>
          <w:b/>
          <w:sz w:val="24"/>
          <w:szCs w:val="24"/>
        </w:rPr>
        <w:t xml:space="preserve"> – </w:t>
      </w:r>
      <w:r w:rsidR="006E0DC1">
        <w:rPr>
          <w:b/>
          <w:sz w:val="24"/>
          <w:szCs w:val="24"/>
        </w:rPr>
        <w:t>3 mars 20</w:t>
      </w:r>
      <w:r>
        <w:rPr>
          <w:b/>
          <w:sz w:val="24"/>
          <w:szCs w:val="24"/>
        </w:rPr>
        <w:t>23</w:t>
      </w:r>
    </w:p>
    <w:p w:rsidR="008B2CC1" w:rsidRPr="003845C1" w:rsidRDefault="00E03514" w:rsidP="00B1090C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Recommandation commune concernant les ressources génétiques et les savoirs traditionnels qui y sont associés</w:t>
      </w:r>
    </w:p>
    <w:p w:rsidR="008B2CC1" w:rsidRPr="008B2CC1" w:rsidRDefault="00E03514" w:rsidP="00B1090C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Document présenté par les délégations des États</w:t>
      </w:r>
      <w:r w:rsidR="00B64ED5">
        <w:rPr>
          <w:i/>
        </w:rPr>
        <w:noBreakHyphen/>
      </w:r>
      <w:r>
        <w:rPr>
          <w:i/>
        </w:rPr>
        <w:t>Unis d</w:t>
      </w:r>
      <w:r w:rsidR="006E0DC1">
        <w:rPr>
          <w:i/>
        </w:rPr>
        <w:t>’</w:t>
      </w:r>
      <w:r>
        <w:rPr>
          <w:i/>
        </w:rPr>
        <w:t>Amérique, du Japon et de la République de Corée</w:t>
      </w:r>
    </w:p>
    <w:p w:rsidR="00F355F9" w:rsidRDefault="00E03514" w:rsidP="00F355F9">
      <w:pPr>
        <w:pStyle w:val="ONUMFS"/>
      </w:pPr>
      <w:r>
        <w:t>Le 2</w:t>
      </w:r>
      <w:r w:rsidR="006E0DC1">
        <w:t>7 janvier 20</w:t>
      </w:r>
      <w:r>
        <w:t>23, le Bureau international de l</w:t>
      </w:r>
      <w:r w:rsidR="006E0DC1">
        <w:t>’</w:t>
      </w:r>
      <w:r>
        <w:t>Organisation Mondiale de la Propriété Intellectuelle (OMPI) a reçu de la Mission permanente des États</w:t>
      </w:r>
      <w:r w:rsidR="00B64ED5">
        <w:noBreakHyphen/>
      </w:r>
      <w:r>
        <w:t>Unis d</w:t>
      </w:r>
      <w:r w:rsidR="006E0DC1">
        <w:t>’</w:t>
      </w:r>
      <w:r>
        <w:t>Amérique auprès des organisations internationales à Genève une communication présentée au nom des délégations des États</w:t>
      </w:r>
      <w:r w:rsidR="00B64ED5">
        <w:noBreakHyphen/>
      </w:r>
      <w:r>
        <w:t>Unis d</w:t>
      </w:r>
      <w:r w:rsidR="006E0DC1">
        <w:t>’</w:t>
      </w:r>
      <w:r>
        <w:t>Amérique, du Japon et de la République de Corée visant à soumettre de nouveau la “Recommandation commune concernant les ressources génétiques et les savoirs traditionnels qui y sont associés” figurant dans le document WIPO/GRTKF/IC/45/10, pour examen à la quarante</w:t>
      </w:r>
      <w:r w:rsidR="00B64ED5">
        <w:noBreakHyphen/>
      </w:r>
      <w:r>
        <w:t>six</w:t>
      </w:r>
      <w:r w:rsidR="006E0DC1">
        <w:t>ième session</w:t>
      </w:r>
      <w:r>
        <w:t xml:space="preserve"> du Comité intergouvernemental de la propriété intellectuelle relative aux ressources génétiques, aux savoirs traditionnels et au folklore</w:t>
      </w:r>
      <w:r w:rsidR="00B64ED5">
        <w:t> </w:t>
      </w:r>
      <w:r>
        <w:t>(IGC).</w:t>
      </w:r>
    </w:p>
    <w:p w:rsidR="00F355F9" w:rsidRDefault="00E03514" w:rsidP="00F355F9">
      <w:pPr>
        <w:pStyle w:val="ONUMFS"/>
      </w:pPr>
      <w:r>
        <w:t>Conformément à cette demande, l</w:t>
      </w:r>
      <w:r w:rsidR="006E0DC1">
        <w:t>’</w:t>
      </w:r>
      <w:r>
        <w:t>annexe du présent document contient la proposition susmentionnée.</w:t>
      </w:r>
    </w:p>
    <w:p w:rsidR="00E03514" w:rsidRPr="00F355F9" w:rsidRDefault="00E03514" w:rsidP="00F355F9">
      <w:pPr>
        <w:pStyle w:val="ONUMFS"/>
        <w:ind w:left="5533"/>
        <w:rPr>
          <w:i/>
        </w:rPr>
      </w:pPr>
      <w:r w:rsidRPr="00F355F9">
        <w:rPr>
          <w:i/>
        </w:rPr>
        <w:t>Le comité est invité à prendre note de la proposition contenue dans l</w:t>
      </w:r>
      <w:r w:rsidR="006E0DC1" w:rsidRPr="00F355F9">
        <w:rPr>
          <w:i/>
        </w:rPr>
        <w:t>’</w:t>
      </w:r>
      <w:r w:rsidRPr="00F355F9">
        <w:rPr>
          <w:i/>
        </w:rPr>
        <w:t>annexe du présent document et à l</w:t>
      </w:r>
      <w:r w:rsidR="006E0DC1" w:rsidRPr="00F355F9">
        <w:rPr>
          <w:i/>
        </w:rPr>
        <w:t>’</w:t>
      </w:r>
      <w:r w:rsidRPr="00F355F9">
        <w:rPr>
          <w:i/>
        </w:rPr>
        <w:t>examiner.</w:t>
      </w:r>
    </w:p>
    <w:p w:rsidR="00E03514" w:rsidRDefault="00E03514" w:rsidP="00F355F9">
      <w:pPr>
        <w:pStyle w:val="Endofdocument-Annex"/>
        <w:sectPr w:rsidR="00E03514" w:rsidSect="000F2AD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[L</w:t>
      </w:r>
      <w:r w:rsidR="006E0DC1">
        <w:t>’</w:t>
      </w:r>
      <w:r>
        <w:t>annexe suit]</w:t>
      </w:r>
    </w:p>
    <w:p w:rsidR="00B64ED5" w:rsidRDefault="00B64ED5" w:rsidP="00B64ED5">
      <w:pPr>
        <w:tabs>
          <w:tab w:val="left" w:pos="1365"/>
        </w:tabs>
        <w:spacing w:after="220"/>
      </w:pPr>
      <w:r>
        <w:lastRenderedPageBreak/>
        <w:t>RECOMMANDATION COMMUNE CONCERNANT LES RESSOURCES GÉNÉTIQUES ET LES SAVOIRS TRADITIONNELS QUI Y SONT ASSOCIÉS</w:t>
      </w:r>
    </w:p>
    <w:p w:rsidR="00B64ED5" w:rsidRDefault="00E03514" w:rsidP="00B64ED5">
      <w:pPr>
        <w:spacing w:after="220"/>
      </w:pPr>
      <w:r>
        <w:t>Le Comité intergouvernemental de la propriété intellectuelle relative aux ressources génétiques, aux savoirs traditionnels et au folklore et l</w:t>
      </w:r>
      <w:r w:rsidR="006E0DC1">
        <w:t>’</w:t>
      </w:r>
      <w:r>
        <w:t>Assemblée générale de l</w:t>
      </w:r>
      <w:r w:rsidR="006E0DC1">
        <w:t>’</w:t>
      </w:r>
      <w:r>
        <w:t>Organisation Mondiale de la Propriété Intellectuelle,</w:t>
      </w:r>
    </w:p>
    <w:p w:rsidR="00B64ED5" w:rsidRDefault="00E03514" w:rsidP="00B64ED5">
      <w:pPr>
        <w:spacing w:after="220"/>
        <w:rPr>
          <w:i/>
        </w:rPr>
      </w:pPr>
      <w:r>
        <w:rPr>
          <w:i/>
        </w:rPr>
        <w:t>Prenant note</w:t>
      </w:r>
      <w:r>
        <w:t xml:space="preserve"> de la décision prise par l</w:t>
      </w:r>
      <w:r w:rsidR="006E0DC1">
        <w:t>’</w:t>
      </w:r>
      <w:r>
        <w:t>Assemblée générale de l</w:t>
      </w:r>
      <w:r w:rsidR="006E0DC1">
        <w:t>’</w:t>
      </w:r>
      <w:r>
        <w:t>OMPI de convoquer une conférence diplomatique en vue de la conclusion d</w:t>
      </w:r>
      <w:r w:rsidR="006E0DC1">
        <w:t>’</w:t>
      </w:r>
      <w:r>
        <w:t>un instrument juridique international concernant la propriété intellectuelle, les ressources génétiques et les savoirs traditionnels associés aux ressources génétiques, sur la base du document WIPO/GRTKF/IC/43/5 et de toute autre contribution des États membres</w:t>
      </w:r>
      <w:r w:rsidRPr="003E2FA5">
        <w:t>;</w:t>
      </w:r>
    </w:p>
    <w:p w:rsidR="00B64ED5" w:rsidRDefault="00E03514" w:rsidP="00B64ED5">
      <w:pPr>
        <w:spacing w:after="220"/>
      </w:pPr>
      <w:r>
        <w:rPr>
          <w:i/>
        </w:rPr>
        <w:t>Réaffirmant</w:t>
      </w:r>
      <w:r>
        <w:t xml:space="preserve"> leur conviction que les ressources génétiques et les savoirs traditionnels associés aux ressources génétiques ont une valeur économique, scientifique et commerciale importante pour un grand nombre de parties prenantes,</w:t>
      </w:r>
    </w:p>
    <w:p w:rsidR="00B64ED5" w:rsidRDefault="00E03514" w:rsidP="00B64ED5">
      <w:pPr>
        <w:spacing w:after="220"/>
      </w:pPr>
      <w:r>
        <w:rPr>
          <w:i/>
        </w:rPr>
        <w:t>Reconnaissant</w:t>
      </w:r>
      <w:r>
        <w:t xml:space="preserve"> le rôle du système de la propriété intellectuelle dans la promotion de l</w:t>
      </w:r>
      <w:r w:rsidR="006E0DC1">
        <w:t>’</w:t>
      </w:r>
      <w:r>
        <w:t>innovation, du transfert et de la diffusion de la technologie, dans l</w:t>
      </w:r>
      <w:r w:rsidR="006E0DC1">
        <w:t>’</w:t>
      </w:r>
      <w:r>
        <w:t>intérêt mutuel des détenteurs et des utilisateurs des ressources génétiques et des savoirs traditionnels qui y sont associés d</w:t>
      </w:r>
      <w:r w:rsidR="006E0DC1">
        <w:t>’</w:t>
      </w:r>
      <w:r>
        <w:t>une manière favorable au progrès socioéconomique,</w:t>
      </w:r>
    </w:p>
    <w:p w:rsidR="00B64ED5" w:rsidRDefault="00E03514" w:rsidP="00B64ED5">
      <w:pPr>
        <w:spacing w:after="220"/>
      </w:pPr>
      <w:r>
        <w:rPr>
          <w:i/>
        </w:rPr>
        <w:t>Soulignant</w:t>
      </w:r>
      <w:r>
        <w:t xml:space="preserve"> qu</w:t>
      </w:r>
      <w:r w:rsidR="006E0DC1">
        <w:t>’</w:t>
      </w:r>
      <w:r>
        <w:t>il est indispensable d</w:t>
      </w:r>
      <w:r w:rsidR="006E0DC1">
        <w:t>’</w:t>
      </w:r>
      <w:r>
        <w:t>éviter que des brevets ne soient délivrés par erreur pour des inventions ou des créations qui ne sont pas nouvelles ou n</w:t>
      </w:r>
      <w:r w:rsidR="006E0DC1">
        <w:t>’</w:t>
      </w:r>
      <w:r>
        <w:t>impliquent pas d</w:t>
      </w:r>
      <w:r w:rsidR="006E0DC1">
        <w:t>’</w:t>
      </w:r>
      <w:r>
        <w:t>activité inventive eu égard aux ressources génétiques et aux savoirs traditionnels qui y sont associés, et reconnaissant la capacité existante et inhérente du système des brevets d</w:t>
      </w:r>
      <w:r w:rsidR="006E0DC1">
        <w:t>’</w:t>
      </w:r>
      <w:r>
        <w:t>atteindre cet objectif,</w:t>
      </w:r>
    </w:p>
    <w:p w:rsidR="00B64ED5" w:rsidRDefault="00E03514" w:rsidP="00B64ED5">
      <w:pPr>
        <w:spacing w:after="220"/>
      </w:pPr>
      <w:r>
        <w:rPr>
          <w:i/>
        </w:rPr>
        <w:t>Soulignant en outre</w:t>
      </w:r>
      <w:r>
        <w:t xml:space="preserve"> qu</w:t>
      </w:r>
      <w:r w:rsidR="006E0DC1">
        <w:t>’</w:t>
      </w:r>
      <w:r>
        <w:t>il est essentiel que les offices de brevets aient à leur disposition et examinent les informations pertinentes sur l</w:t>
      </w:r>
      <w:r w:rsidR="006E0DC1">
        <w:t>’</w:t>
      </w:r>
      <w:r>
        <w:t>état de la technique concernant les ressources génétiques et les savoirs traditionnels qui y sont associés afin de prendre des décisions appropriées en connaissance de cause aux fins de la délivrance de brevets, et soulignant également l</w:t>
      </w:r>
      <w:r w:rsidR="006E0DC1">
        <w:t>’</w:t>
      </w:r>
      <w:r>
        <w:t>importance de la transparence dans le processus de délivrance des brevets,</w:t>
      </w:r>
    </w:p>
    <w:p w:rsidR="00B64ED5" w:rsidRDefault="00E03514" w:rsidP="00B64ED5">
      <w:pPr>
        <w:spacing w:after="220"/>
      </w:pPr>
      <w:r>
        <w:rPr>
          <w:i/>
        </w:rPr>
        <w:t>Recommandent</w:t>
      </w:r>
      <w:r>
        <w:t xml:space="preserve"> que chaque État membre puisse envisager d</w:t>
      </w:r>
      <w:r w:rsidR="006E0DC1">
        <w:t>’</w:t>
      </w:r>
      <w:r>
        <w:t>utiliser comme lignes directrices pour la protection des ressources génétiques et des savoirs traditionnels qui y sont associés la présente recommandation adoptée par le Comité intergouvernemental de la propriété intellectuelle relative aux ressources génétiques, aux savoirs traditionnels et au folklore.</w:t>
      </w:r>
    </w:p>
    <w:p w:rsidR="00B64ED5" w:rsidRDefault="00E03514" w:rsidP="00B64ED5">
      <w:pPr>
        <w:spacing w:after="220"/>
      </w:pPr>
      <w:r>
        <w:t>Les recommandations suivent.</w:t>
      </w:r>
    </w:p>
    <w:p w:rsidR="00B64ED5" w:rsidRDefault="00E03514" w:rsidP="00B64ED5">
      <w:pPr>
        <w:spacing w:after="220"/>
      </w:pPr>
      <w:r>
        <w:t>1.</w:t>
      </w:r>
      <w:r>
        <w:tab/>
        <w:t>DÉFINITIONS</w:t>
      </w:r>
    </w:p>
    <w:p w:rsidR="00B64ED5" w:rsidRDefault="00E03514" w:rsidP="00B64ED5">
      <w:pPr>
        <w:spacing w:after="220"/>
      </w:pPr>
      <w:r>
        <w:t>Aux fins des présentes recommandations, on entend par</w:t>
      </w:r>
    </w:p>
    <w:p w:rsidR="00B64ED5" w:rsidRDefault="00E03514" w:rsidP="00B64ED5">
      <w:pPr>
        <w:spacing w:after="220"/>
      </w:pPr>
      <w:r>
        <w:t>“matériel génétique”, le matériel d</w:t>
      </w:r>
      <w:r w:rsidR="006E0DC1">
        <w:t>’</w:t>
      </w:r>
      <w:r>
        <w:t>origine végétale, animale, microbienne ou autre, contenant des unités fonctionnelles de l</w:t>
      </w:r>
      <w:r w:rsidR="006E0DC1">
        <w:t>’</w:t>
      </w:r>
      <w:r>
        <w:t>hérédité;</w:t>
      </w:r>
    </w:p>
    <w:p w:rsidR="00B64ED5" w:rsidRDefault="00E03514" w:rsidP="00B64ED5">
      <w:pPr>
        <w:spacing w:after="220"/>
      </w:pPr>
      <w:r>
        <w:t>“ressource génétique”, le matériel génétique ayant une valeur effective ou potentielle;</w:t>
      </w:r>
    </w:p>
    <w:p w:rsidR="00B64ED5" w:rsidRDefault="00E03514" w:rsidP="00B64ED5">
      <w:pPr>
        <w:spacing w:after="220"/>
      </w:pPr>
      <w:r>
        <w:t>“État membre”, un État membre de l</w:t>
      </w:r>
      <w:r w:rsidR="006E0DC1">
        <w:t>’</w:t>
      </w:r>
      <w:r>
        <w:t>Organisation Mondiale de la Propriété Intellectuelle;</w:t>
      </w:r>
    </w:p>
    <w:p w:rsidR="00B64ED5" w:rsidRDefault="00E03514" w:rsidP="00B64ED5">
      <w:pPr>
        <w:spacing w:after="220"/>
      </w:pPr>
      <w:r>
        <w:t>“office des brevets”, l</w:t>
      </w:r>
      <w:r w:rsidR="006E0DC1">
        <w:t>’</w:t>
      </w:r>
      <w:r>
        <w:t>administration d</w:t>
      </w:r>
      <w:r w:rsidR="006E0DC1">
        <w:t>’</w:t>
      </w:r>
      <w:r>
        <w:t>un État membre chargée de délivrer des brevets;</w:t>
      </w:r>
    </w:p>
    <w:p w:rsidR="00B64ED5" w:rsidRDefault="00E03514" w:rsidP="00B64ED5">
      <w:pPr>
        <w:spacing w:after="220"/>
      </w:pPr>
      <w:r>
        <w:t>“savoirs traditionnels associés à des ressources génétiques”, des connaissances de fond des propriétés et des utilisations des ressources génétiques détenues par les peuples autochtones et les communautés locales dont découle directement l</w:t>
      </w:r>
      <w:r w:rsidR="006E0DC1">
        <w:t>’</w:t>
      </w:r>
      <w:r>
        <w:t>invention revendiquée.</w:t>
      </w:r>
    </w:p>
    <w:p w:rsidR="00B64ED5" w:rsidRDefault="00E03514" w:rsidP="00B64ED5">
      <w:pPr>
        <w:spacing w:after="220"/>
      </w:pPr>
      <w:r>
        <w:t>2.</w:t>
      </w:r>
      <w:r>
        <w:tab/>
        <w:t>OBJECTIFS ET PRINCIPES</w:t>
      </w:r>
    </w:p>
    <w:p w:rsidR="00B64ED5" w:rsidRDefault="00E03514" w:rsidP="00B64ED5">
      <w:pPr>
        <w:spacing w:after="220"/>
      </w:pPr>
      <w:r>
        <w:t>Les États membres, pour protéger les ressources génétiques et les savoirs traditionnels qui y sont associés, devraient</w:t>
      </w:r>
      <w:r w:rsidR="006E0DC1">
        <w:t> :</w:t>
      </w:r>
    </w:p>
    <w:p w:rsidR="00B64ED5" w:rsidRDefault="00E03514" w:rsidP="00B64ED5">
      <w:pPr>
        <w:spacing w:after="220"/>
        <w:ind w:left="550" w:hanging="550"/>
      </w:pPr>
      <w:r>
        <w:t>a)</w:t>
      </w:r>
      <w:r>
        <w:tab/>
        <w:t>prévenir la délivrance de brevets indus pour des inventions qui ne sont pas nouvelles ou n</w:t>
      </w:r>
      <w:r w:rsidR="006E0DC1">
        <w:t>’</w:t>
      </w:r>
      <w:r>
        <w:t>impliquent pas d</w:t>
      </w:r>
      <w:r w:rsidR="006E0DC1">
        <w:t>’</w:t>
      </w:r>
      <w:r>
        <w:t>activité inventive eu égard aux ressources génétiques et aux savoirs traditionnels qui y sont associés;</w:t>
      </w:r>
    </w:p>
    <w:p w:rsidR="00B64ED5" w:rsidRDefault="00E03514" w:rsidP="00B64ED5">
      <w:pPr>
        <w:spacing w:after="220"/>
        <w:ind w:left="550" w:hanging="550"/>
      </w:pPr>
      <w:r>
        <w:t>b)</w:t>
      </w:r>
      <w:r>
        <w:tab/>
        <w:t>protéger les peuples autochtones et les communautés locales des limitations relatives à l</w:t>
      </w:r>
      <w:r w:rsidR="006E0DC1">
        <w:t>’</w:t>
      </w:r>
      <w:r>
        <w:t>utilisation traditionnelle des ressources génétiques et des savoirs traditionnels associés à celles</w:t>
      </w:r>
      <w:r w:rsidR="00B64ED5">
        <w:noBreakHyphen/>
      </w:r>
      <w:r>
        <w:t>ci, qui peuvent résulter des brevets délivrés par erreur;</w:t>
      </w:r>
    </w:p>
    <w:p w:rsidR="00B64ED5" w:rsidRDefault="00E03514" w:rsidP="00B64ED5">
      <w:pPr>
        <w:spacing w:after="220"/>
        <w:ind w:left="550" w:hanging="550"/>
      </w:pPr>
      <w:r>
        <w:t>c)</w:t>
      </w:r>
      <w:r>
        <w:tab/>
        <w:t>s</w:t>
      </w:r>
      <w:r w:rsidR="006E0DC1">
        <w:t>’</w:t>
      </w:r>
      <w:r>
        <w:t>assurer que les offices de brevets disposent de l</w:t>
      </w:r>
      <w:r w:rsidR="006E0DC1">
        <w:t>’</w:t>
      </w:r>
      <w:r>
        <w:t>information appropriée sur les ressources génétiques et les savoirs traditionnels qui y sont associés pour prendre des décisions en connaissance de cause;</w:t>
      </w:r>
    </w:p>
    <w:p w:rsidR="00B64ED5" w:rsidRDefault="00E03514" w:rsidP="00B64ED5">
      <w:pPr>
        <w:spacing w:after="220"/>
        <w:ind w:left="550" w:hanging="550"/>
      </w:pPr>
      <w:r>
        <w:t>d)</w:t>
      </w:r>
      <w:r>
        <w:tab/>
        <w:t>préserver les incitations à l</w:t>
      </w:r>
      <w:r w:rsidR="006E0DC1">
        <w:t>’</w:t>
      </w:r>
      <w:r>
        <w:t>innovation résultant du système des brevets.</w:t>
      </w:r>
    </w:p>
    <w:p w:rsidR="00B64ED5" w:rsidRDefault="00E03514" w:rsidP="00B64ED5">
      <w:pPr>
        <w:spacing w:after="220"/>
      </w:pPr>
      <w:r>
        <w:t>3.</w:t>
      </w:r>
      <w:r>
        <w:tab/>
        <w:t>PRÉVENTION DE LA DÉLIVRANCE DE BREVETS INDUS</w:t>
      </w:r>
    </w:p>
    <w:p w:rsidR="00B64ED5" w:rsidRDefault="00E03514" w:rsidP="00B64ED5">
      <w:pPr>
        <w:spacing w:after="220"/>
      </w:pPr>
      <w:r>
        <w:t xml:space="preserve">Les États membres devraient prévoir des mesures juridiques, de politique générale ou administratives, en tant que de besoin et conformément à la législation nationale, pour éviter que des brevets ne soient délivrés de manière indue </w:t>
      </w:r>
      <w:r w:rsidR="006E0DC1">
        <w:t>à l’égard</w:t>
      </w:r>
      <w:r>
        <w:t xml:space="preserve"> d</w:t>
      </w:r>
      <w:r w:rsidR="006E0DC1">
        <w:t>’</w:t>
      </w:r>
      <w:r>
        <w:t>inventions revendiquées qui font appel à des ressources génétiques et à des savoirs traditionnels qui y sont associés lorsque, en vertu de la législation nationale, ces ressources génétiques et savoirs traditionnels</w:t>
      </w:r>
      <w:r w:rsidR="006E0DC1">
        <w:t> :</w:t>
      </w:r>
    </w:p>
    <w:p w:rsidR="00B64ED5" w:rsidRDefault="00E03514" w:rsidP="00B64ED5">
      <w:pPr>
        <w:spacing w:after="220"/>
        <w:ind w:left="550" w:hanging="550"/>
      </w:pPr>
      <w:r>
        <w:t>a)</w:t>
      </w:r>
      <w:r>
        <w:tab/>
        <w:t>constituent une antériorité par rapport à l</w:t>
      </w:r>
      <w:r w:rsidR="006E0DC1">
        <w:t>’</w:t>
      </w:r>
      <w:r>
        <w:t>invention revendiquée (absence de nouveauté</w:t>
      </w:r>
      <w:proofErr w:type="gramStart"/>
      <w:r>
        <w:t xml:space="preserve">); </w:t>
      </w:r>
      <w:r w:rsidR="007A1B06">
        <w:t xml:space="preserve"> </w:t>
      </w:r>
      <w:r>
        <w:t>ou</w:t>
      </w:r>
      <w:proofErr w:type="gramEnd"/>
    </w:p>
    <w:p w:rsidR="00B64ED5" w:rsidRDefault="00E03514" w:rsidP="00B64ED5">
      <w:pPr>
        <w:spacing w:after="220"/>
        <w:ind w:left="550" w:hanging="550"/>
      </w:pPr>
      <w:r>
        <w:t>b)</w:t>
      </w:r>
      <w:r>
        <w:tab/>
        <w:t>rendent caduque une invention revendiquée (évidence ou absence d</w:t>
      </w:r>
      <w:r w:rsidR="006E0DC1">
        <w:t>’</w:t>
      </w:r>
      <w:r>
        <w:t>activité inventive).</w:t>
      </w:r>
    </w:p>
    <w:p w:rsidR="00B64ED5" w:rsidRDefault="00E03514" w:rsidP="00B64ED5">
      <w:pPr>
        <w:spacing w:after="220"/>
      </w:pPr>
      <w:r>
        <w:t>4.</w:t>
      </w:r>
      <w:r>
        <w:tab/>
        <w:t>MESURES D</w:t>
      </w:r>
      <w:r w:rsidR="006E0DC1">
        <w:t>’</w:t>
      </w:r>
      <w:r>
        <w:t>OPPOSITION</w:t>
      </w:r>
    </w:p>
    <w:p w:rsidR="00B64ED5" w:rsidRDefault="00E03514" w:rsidP="00B64ED5">
      <w:pPr>
        <w:spacing w:after="220"/>
      </w:pPr>
      <w:r>
        <w:t>Les États membres devraient prévoir des mesures juridiques, de politique générale ou administratives, en tant que de besoin et conformément à la législation nationale, permettant à des tiers de contester la validité d</w:t>
      </w:r>
      <w:r w:rsidR="006E0DC1">
        <w:t>’</w:t>
      </w:r>
      <w:r>
        <w:t>un brevet, en communiquant des informations sur l</w:t>
      </w:r>
      <w:r w:rsidR="006E0DC1">
        <w:t>’</w:t>
      </w:r>
      <w:r>
        <w:t>état de la technique en ce qui concerne des inventions faisant appel à des ressources génétiques et des savoirs traditionnels associés.</w:t>
      </w:r>
    </w:p>
    <w:p w:rsidR="00B64ED5" w:rsidRDefault="00E03514" w:rsidP="00B64ED5">
      <w:pPr>
        <w:spacing w:after="220"/>
      </w:pPr>
      <w:r>
        <w:t>5.</w:t>
      </w:r>
      <w:r>
        <w:tab/>
        <w:t>MESURES D</w:t>
      </w:r>
      <w:r w:rsidR="006E0DC1">
        <w:t>’</w:t>
      </w:r>
      <w:r>
        <w:t>APPUI</w:t>
      </w:r>
    </w:p>
    <w:p w:rsidR="00B64ED5" w:rsidRDefault="00E03514" w:rsidP="00B64ED5">
      <w:pPr>
        <w:spacing w:after="220"/>
        <w:ind w:left="550" w:hanging="550"/>
      </w:pPr>
      <w:r>
        <w:t>1.</w:t>
      </w:r>
      <w:r>
        <w:tab/>
        <w:t>Les États membres devraient encourager, en tant que de besoin, l</w:t>
      </w:r>
      <w:r w:rsidR="006E0DC1">
        <w:t>’</w:t>
      </w:r>
      <w:r>
        <w:t>élaboration et l</w:t>
      </w:r>
      <w:r w:rsidR="006E0DC1">
        <w:t>’</w:t>
      </w:r>
      <w:r>
        <w:t>utilisation de codes de conduite et de lignes directrices relatifs à la protection de l</w:t>
      </w:r>
      <w:r w:rsidR="006E0DC1">
        <w:t>’</w:t>
      </w:r>
      <w:r>
        <w:t>utilisation des ressources génétiques et des savoirs traditionnels qui y sont associés.</w:t>
      </w:r>
    </w:p>
    <w:p w:rsidR="00B64ED5" w:rsidRDefault="00E03514" w:rsidP="00B64ED5">
      <w:pPr>
        <w:spacing w:after="220"/>
        <w:ind w:left="550" w:hanging="550"/>
      </w:pPr>
      <w:r>
        <w:t>2.</w:t>
      </w:r>
      <w:r>
        <w:tab/>
        <w:t>Les États membres devraient faciliter, en tant que de besoin, la création, l</w:t>
      </w:r>
      <w:r w:rsidR="006E0DC1">
        <w:t>’</w:t>
      </w:r>
      <w:r>
        <w:t>échange et la diffusion de bases de données relatives aux ressources génétiques et aux savoirs traditionnels qui y sont associés, ainsi que l</w:t>
      </w:r>
      <w:r w:rsidR="006E0DC1">
        <w:t>’</w:t>
      </w:r>
      <w:r>
        <w:t>accès à ces bases de données, afin d</w:t>
      </w:r>
      <w:r w:rsidR="006E0DC1">
        <w:t>’</w:t>
      </w:r>
      <w:r>
        <w:t xml:space="preserve">appuyer les mesures indiquées aux </w:t>
      </w:r>
      <w:r w:rsidR="006E0DC1">
        <w:t>paragraphes 3</w:t>
      </w:r>
      <w:r w:rsidR="003E2FA5">
        <w:t xml:space="preserve"> et </w:t>
      </w:r>
      <w:bookmarkStart w:id="5" w:name="_GoBack"/>
      <w:bookmarkEnd w:id="5"/>
      <w:r>
        <w:t>4.</w:t>
      </w:r>
    </w:p>
    <w:p w:rsidR="00B64ED5" w:rsidRDefault="00E03514" w:rsidP="00B64ED5">
      <w:pPr>
        <w:spacing w:after="220"/>
        <w:ind w:left="550" w:hanging="550"/>
      </w:pPr>
      <w:r>
        <w:t>3.</w:t>
      </w:r>
      <w:r>
        <w:tab/>
        <w:t>Les informations contenues dans les bases de données indiquées à l</w:t>
      </w:r>
      <w:r w:rsidR="006E0DC1">
        <w:t>’alinéa 2</w:t>
      </w:r>
      <w:r>
        <w:t xml:space="preserve"> devraient être utilisées par les États membres pour déterminer la nouveauté et la non</w:t>
      </w:r>
      <w:r w:rsidR="00B64ED5">
        <w:noBreakHyphen/>
      </w:r>
      <w:r>
        <w:t>évidence en ce qui concerne des demandes de brevet faisant appel à des ressources génétiques et des savoirs traditionnels qui y sont associés.</w:t>
      </w:r>
    </w:p>
    <w:p w:rsidR="00B64ED5" w:rsidRDefault="00E03514" w:rsidP="00B64ED5">
      <w:pPr>
        <w:keepNext/>
        <w:spacing w:after="220"/>
      </w:pPr>
      <w:r>
        <w:t>6.</w:t>
      </w:r>
      <w:r>
        <w:tab/>
        <w:t>APPLICATION</w:t>
      </w:r>
    </w:p>
    <w:p w:rsidR="00E03514" w:rsidRPr="00F55FB2" w:rsidRDefault="00E03514" w:rsidP="00B64ED5">
      <w:pPr>
        <w:spacing w:after="220"/>
      </w:pPr>
      <w:r>
        <w:t>Les États membres devraient prévoir des mesures juridiques, de politique générale ou administratives adéquates et efficaces, en tant que de besoin et conformément à la législation nationale, pour faciliter l</w:t>
      </w:r>
      <w:r w:rsidR="006E0DC1">
        <w:t>’</w:t>
      </w:r>
      <w:r>
        <w:t>application des présentes recommandations.</w:t>
      </w:r>
    </w:p>
    <w:p w:rsidR="000F5E56" w:rsidRPr="00E03514" w:rsidRDefault="00E03514" w:rsidP="00E03514">
      <w:pPr>
        <w:pStyle w:val="Endofdocument-Annex"/>
      </w:pPr>
      <w:r w:rsidRPr="00E03514">
        <w:t>[Fin de l</w:t>
      </w:r>
      <w:r w:rsidR="006E0DC1">
        <w:t>’</w:t>
      </w:r>
      <w:r w:rsidRPr="00E03514">
        <w:t>annexe et du document]</w:t>
      </w:r>
    </w:p>
    <w:sectPr w:rsidR="000F5E56" w:rsidRPr="00E03514" w:rsidSect="00485F38">
      <w:headerReference w:type="default" r:id="rId15"/>
      <w:head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514" w:rsidRDefault="00E03514">
      <w:r>
        <w:separator/>
      </w:r>
    </w:p>
  </w:endnote>
  <w:endnote w:type="continuationSeparator" w:id="0">
    <w:p w:rsidR="00E03514" w:rsidRPr="009D30E6" w:rsidRDefault="00E03514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E03514" w:rsidRPr="009D30E6" w:rsidRDefault="00E03514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E03514" w:rsidRPr="009D30E6" w:rsidRDefault="00E03514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5F9" w:rsidRDefault="00F355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5F9" w:rsidRDefault="00F355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5F9" w:rsidRDefault="00F35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514" w:rsidRDefault="00E03514">
      <w:r>
        <w:separator/>
      </w:r>
    </w:p>
  </w:footnote>
  <w:footnote w:type="continuationSeparator" w:id="0">
    <w:p w:rsidR="00E03514" w:rsidRDefault="00E03514" w:rsidP="007461F1">
      <w:r>
        <w:separator/>
      </w:r>
    </w:p>
    <w:p w:rsidR="00E03514" w:rsidRPr="009D30E6" w:rsidRDefault="00E03514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E03514" w:rsidRPr="009D30E6" w:rsidRDefault="00E03514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514" w:rsidRDefault="00E03514" w:rsidP="00C32904">
    <w:pPr>
      <w:jc w:val="right"/>
    </w:pPr>
    <w:r>
      <w:t>WIPO/GRTKF/IC/41/9</w:t>
    </w:r>
  </w:p>
  <w:p w:rsidR="00E03514" w:rsidRDefault="00E03514" w:rsidP="00C32904">
    <w:pPr>
      <w:jc w:val="right"/>
    </w:pPr>
    <w:r>
      <w:t>Annexe, page 3</w:t>
    </w:r>
  </w:p>
  <w:p w:rsidR="00E03514" w:rsidRDefault="00E03514" w:rsidP="000F2AD2">
    <w:pPr>
      <w:jc w:val="right"/>
    </w:pPr>
  </w:p>
  <w:p w:rsidR="00E03514" w:rsidRDefault="00E03514" w:rsidP="000F2AD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514" w:rsidRDefault="00E03514" w:rsidP="00C32904">
    <w:pPr>
      <w:jc w:val="right"/>
    </w:pPr>
    <w:r>
      <w:t>WIPO/GRTKF/IC/41/9</w:t>
    </w:r>
  </w:p>
  <w:p w:rsidR="00E03514" w:rsidRDefault="00E03514" w:rsidP="00C32904">
    <w:pPr>
      <w:jc w:val="right"/>
    </w:pPr>
    <w:r>
      <w:t>Annexe, page</w:t>
    </w:r>
    <w:r w:rsidR="006D4348">
      <w:t> </w:t>
    </w:r>
    <w:r>
      <w:t>2</w:t>
    </w:r>
  </w:p>
  <w:p w:rsidR="00E03514" w:rsidRDefault="00E03514" w:rsidP="00477D6B">
    <w:pPr>
      <w:jc w:val="right"/>
    </w:pPr>
  </w:p>
  <w:p w:rsidR="00E03514" w:rsidRDefault="00E03514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5F9" w:rsidRDefault="00F355F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E03514" w:rsidP="00477D6B">
    <w:pPr>
      <w:jc w:val="right"/>
      <w:rPr>
        <w:caps/>
      </w:rPr>
    </w:pPr>
    <w:bookmarkStart w:id="6" w:name="Code2"/>
    <w:bookmarkEnd w:id="6"/>
    <w:r>
      <w:rPr>
        <w:caps/>
      </w:rPr>
      <w:t>WIPO/GRTKF/IC/46/11</w:t>
    </w:r>
  </w:p>
  <w:p w:rsidR="00574036" w:rsidRDefault="00677792" w:rsidP="00677792">
    <w:pPr>
      <w:spacing w:after="480"/>
      <w:jc w:val="right"/>
    </w:pPr>
    <w:r>
      <w:t>Annexe, p</w:t>
    </w:r>
    <w:r w:rsidR="00F16975">
      <w:t>age</w:t>
    </w:r>
    <w:r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3E2FA5">
      <w:rPr>
        <w:noProof/>
      </w:rPr>
      <w:t>3</w:t>
    </w:r>
    <w:r w:rsidR="00F16975"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792" w:rsidRPr="00B45C15" w:rsidRDefault="00677792" w:rsidP="00677792">
    <w:pPr>
      <w:jc w:val="right"/>
      <w:rPr>
        <w:caps/>
      </w:rPr>
    </w:pPr>
    <w:r>
      <w:rPr>
        <w:caps/>
      </w:rPr>
      <w:t>WIPO/GRTKF/IC/46/11</w:t>
    </w:r>
  </w:p>
  <w:p w:rsidR="00677792" w:rsidRDefault="00677792" w:rsidP="00677792">
    <w:pPr>
      <w:spacing w:after="480"/>
      <w:jc w:val="right"/>
    </w:pPr>
    <w: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8F1833"/>
    <w:multiLevelType w:val="hybridMultilevel"/>
    <w:tmpl w:val="03AAE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514"/>
    <w:rsid w:val="00011B7D"/>
    <w:rsid w:val="00075432"/>
    <w:rsid w:val="0009458A"/>
    <w:rsid w:val="000F5E56"/>
    <w:rsid w:val="001362EE"/>
    <w:rsid w:val="001832A6"/>
    <w:rsid w:val="00195C6E"/>
    <w:rsid w:val="001B266A"/>
    <w:rsid w:val="001B488E"/>
    <w:rsid w:val="001C6508"/>
    <w:rsid w:val="001D3D56"/>
    <w:rsid w:val="001F2578"/>
    <w:rsid w:val="00240654"/>
    <w:rsid w:val="002634C4"/>
    <w:rsid w:val="002956DE"/>
    <w:rsid w:val="002E4D1A"/>
    <w:rsid w:val="002F16BC"/>
    <w:rsid w:val="002F4E68"/>
    <w:rsid w:val="00322C0B"/>
    <w:rsid w:val="00381798"/>
    <w:rsid w:val="003845C1"/>
    <w:rsid w:val="003A67A3"/>
    <w:rsid w:val="003E2FA5"/>
    <w:rsid w:val="004008A2"/>
    <w:rsid w:val="004025DF"/>
    <w:rsid w:val="0040540C"/>
    <w:rsid w:val="00423E3E"/>
    <w:rsid w:val="00427AF4"/>
    <w:rsid w:val="004647DA"/>
    <w:rsid w:val="00477D6B"/>
    <w:rsid w:val="00485F38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E6516"/>
    <w:rsid w:val="00605827"/>
    <w:rsid w:val="00616671"/>
    <w:rsid w:val="00677792"/>
    <w:rsid w:val="006B0DB5"/>
    <w:rsid w:val="006D4348"/>
    <w:rsid w:val="006E0DC1"/>
    <w:rsid w:val="007461F1"/>
    <w:rsid w:val="007A1B06"/>
    <w:rsid w:val="007D6961"/>
    <w:rsid w:val="007F07CB"/>
    <w:rsid w:val="00810CEF"/>
    <w:rsid w:val="0081208D"/>
    <w:rsid w:val="00825F2A"/>
    <w:rsid w:val="008B2CC1"/>
    <w:rsid w:val="008E7930"/>
    <w:rsid w:val="0090731E"/>
    <w:rsid w:val="00966A22"/>
    <w:rsid w:val="00974CD6"/>
    <w:rsid w:val="009D30E6"/>
    <w:rsid w:val="009E3F6F"/>
    <w:rsid w:val="009F499F"/>
    <w:rsid w:val="00A11D74"/>
    <w:rsid w:val="00AC0AE4"/>
    <w:rsid w:val="00AD61DB"/>
    <w:rsid w:val="00B1090C"/>
    <w:rsid w:val="00B35AF5"/>
    <w:rsid w:val="00B45C15"/>
    <w:rsid w:val="00B47389"/>
    <w:rsid w:val="00B64ED5"/>
    <w:rsid w:val="00BE0BE0"/>
    <w:rsid w:val="00C664C8"/>
    <w:rsid w:val="00CF0460"/>
    <w:rsid w:val="00D02548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03514"/>
    <w:rsid w:val="00E203AA"/>
    <w:rsid w:val="00E5217A"/>
    <w:rsid w:val="00E527A5"/>
    <w:rsid w:val="00E76456"/>
    <w:rsid w:val="00EE71CB"/>
    <w:rsid w:val="00F16975"/>
    <w:rsid w:val="00F355F9"/>
    <w:rsid w:val="00F66152"/>
    <w:rsid w:val="00F70DDB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DBFA5D7"/>
  <w15:docId w15:val="{BD1D54CC-9C99-4556-B318-54AD9011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link w:val="FooterChar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E03514"/>
    <w:pPr>
      <w:spacing w:before="720"/>
      <w:ind w:left="5534"/>
    </w:pPr>
    <w:rPr>
      <w:lang w:val="fr-FR"/>
    </w:rPr>
  </w:style>
  <w:style w:type="paragraph" w:styleId="Header">
    <w:name w:val="header"/>
    <w:basedOn w:val="Normal"/>
    <w:link w:val="HeaderChar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Title">
    <w:name w:val="Title"/>
    <w:basedOn w:val="Heading1"/>
    <w:next w:val="Normal"/>
    <w:link w:val="TitleChar"/>
    <w:qFormat/>
    <w:rsid w:val="00E03514"/>
    <w:pPr>
      <w:spacing w:before="0" w:after="480"/>
    </w:pPr>
    <w:rPr>
      <w:caps w:val="0"/>
      <w:sz w:val="28"/>
    </w:rPr>
  </w:style>
  <w:style w:type="character" w:customStyle="1" w:styleId="TitleChar">
    <w:name w:val="Title Char"/>
    <w:basedOn w:val="DefaultParagraphFont"/>
    <w:link w:val="Title"/>
    <w:rsid w:val="00E03514"/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E03514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semiHidden/>
    <w:rsid w:val="00E03514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E03514"/>
    <w:pPr>
      <w:ind w:left="720"/>
      <w:contextualSpacing/>
    </w:pPr>
    <w:rPr>
      <w:lang w:val="fr-FR"/>
    </w:rPr>
  </w:style>
  <w:style w:type="character" w:styleId="Hyperlink">
    <w:name w:val="Hyperlink"/>
    <w:basedOn w:val="DefaultParagraphFont"/>
    <w:semiHidden/>
    <w:unhideWhenUsed/>
    <w:rsid w:val="00F355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6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C0794-194B-40F9-8BF0-1E55002C9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WIPO_GRTKF_IC_46 (F).dotm</Template>
  <TotalTime>131</TotalTime>
  <Pages>4</Pages>
  <Words>1114</Words>
  <Characters>6774</Characters>
  <Application>Microsoft Office Word</Application>
  <DocSecurity>0</DocSecurity>
  <Lines>115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WIPO/GRTKF/IC/46/</vt:lpstr>
    </vt:vector>
  </TitlesOfParts>
  <Company>WIPO</Company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WIPO/GRTKF/IC/46/11</dc:title>
  <dc:creator>OLIVIÉ Karen</dc:creator>
  <cp:keywords>FOR OFFICIAL USE ONLY</cp:keywords>
  <cp:lastModifiedBy>OLIVIÉ Karen</cp:lastModifiedBy>
  <cp:revision>10</cp:revision>
  <cp:lastPrinted>2011-05-19T12:37:00Z</cp:lastPrinted>
  <dcterms:created xsi:type="dcterms:W3CDTF">2023-02-14T11:41:00Z</dcterms:created>
  <dcterms:modified xsi:type="dcterms:W3CDTF">2023-02-14T13:57:00Z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