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51E29" w:rsidP="00916EE2">
            <w:r>
              <w:rPr>
                <w:rFonts w:ascii="Arial Black" w:hAnsi="Arial Black"/>
                <w:caps/>
                <w:noProof/>
                <w:sz w:val="15"/>
                <w:lang w:val="en-US" w:eastAsia="en-US"/>
              </w:rPr>
              <w:drawing>
                <wp:inline distT="0" distB="0" distL="0" distR="0" wp14:anchorId="42C09AA5" wp14:editId="71F98B9F">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Pr>
                <w:rFonts w:ascii="Arial Black" w:hAnsi="Arial Black"/>
                <w:caps/>
                <w:sz w:val="15"/>
              </w:rPr>
              <w:t xml:space="preserve">WIPO/GRTKF/IC/47/INF/8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 xml:space="preserve">ДАТА: 21 марта 2023 года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седьмая сессия</w:t>
      </w:r>
    </w:p>
    <w:p w:rsidR="008B2CC1" w:rsidRPr="003845C1" w:rsidRDefault="000D1DD6" w:rsidP="008B2CC1">
      <w:pPr>
        <w:rPr>
          <w:b/>
          <w:sz w:val="24"/>
          <w:szCs w:val="24"/>
        </w:rPr>
      </w:pPr>
      <w:r>
        <w:rPr>
          <w:b/>
          <w:sz w:val="24"/>
        </w:rPr>
        <w:t>Женева, 5–9 июня 2023 г.</w:t>
      </w:r>
    </w:p>
    <w:p w:rsidR="008B2CC1" w:rsidRPr="008B2CC1" w:rsidRDefault="008B2CC1" w:rsidP="008B2CC1"/>
    <w:p w:rsidR="008B2CC1" w:rsidRPr="008B2CC1" w:rsidRDefault="008B2CC1" w:rsidP="008B2CC1"/>
    <w:p w:rsidR="008B2CC1" w:rsidRPr="008B2CC1" w:rsidRDefault="008B2CC1" w:rsidP="008B2CC1"/>
    <w:p w:rsidR="00063FCA" w:rsidRPr="004F28B8" w:rsidRDefault="00063FCA" w:rsidP="00063FCA">
      <w:pPr>
        <w:spacing w:after="720"/>
      </w:pPr>
      <w:bookmarkStart w:id="3" w:name="TitleOfDoc"/>
      <w:bookmarkEnd w:id="3"/>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063FCA" w:rsidRPr="008B2CC1" w:rsidRDefault="00063FCA" w:rsidP="00063FCA">
      <w:pPr>
        <w:spacing w:after="960"/>
        <w:rPr>
          <w:i/>
        </w:rPr>
      </w:pPr>
      <w:bookmarkStart w:id="4" w:name="Prepared"/>
      <w:bookmarkEnd w:id="4"/>
      <w:r>
        <w:rPr>
          <w:i/>
        </w:rPr>
        <w:t>Документ подготовлен Секретариатом</w:t>
      </w:r>
    </w:p>
    <w:p w:rsidR="00063FCA" w:rsidRDefault="00063FCA" w:rsidP="00063FCA">
      <w:pPr>
        <w:pStyle w:val="ONUME"/>
      </w:pPr>
      <w:r>
        <w:t>Признав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Анаей,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 г., Комитет на своей 40-й сессии просил Секретариат дать поручение, в рамках имеющихся ресурсов, о подготовке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2020-2021 гг.</w:t>
      </w:r>
      <w:r>
        <w:rPr>
          <w:rStyle w:val="FootnoteReference"/>
        </w:rPr>
        <w:footnoteReference w:id="2"/>
      </w:r>
    </w:p>
    <w:p w:rsidR="00063FCA" w:rsidRDefault="00063FCA" w:rsidP="00063FCA">
      <w:pPr>
        <w:pStyle w:val="ONUME"/>
      </w:pPr>
      <w:r>
        <w:lastRenderedPageBreak/>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Обновленный отчет о технической экспертизе, который затем прошел слепое рецензирование двумя экспертами из числа представителей коренных народов.  Обновленный отчет о технической экспертизе подготовленный привлеченными экспертами из числа представителей коренных народов, содержится в приложении к настоящему документу. </w:t>
      </w:r>
    </w:p>
    <w:p w:rsidR="00063FCA" w:rsidRPr="00975206" w:rsidRDefault="00063FCA" w:rsidP="00063FCA">
      <w:pPr>
        <w:pStyle w:val="ONUME"/>
        <w:ind w:left="5533"/>
        <w:rPr>
          <w:i/>
        </w:rPr>
      </w:pPr>
      <w:r>
        <w:rPr>
          <w:i/>
        </w:rPr>
        <w:t>Комитету предлагается принять к сведению приложение к настоящему документу.</w:t>
      </w:r>
    </w:p>
    <w:p w:rsidR="00063FCA" w:rsidRDefault="00063FCA" w:rsidP="00063FCA">
      <w:pPr>
        <w:spacing w:before="240"/>
        <w:ind w:left="5530"/>
      </w:pPr>
      <w:r>
        <w:t>[Приложение следует]</w:t>
      </w:r>
    </w:p>
    <w:p w:rsidR="00063FCA" w:rsidRDefault="00063FCA" w:rsidP="00063FCA">
      <w:pPr>
        <w:ind w:left="5533"/>
        <w:sectPr w:rsidR="00063FCA"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063FCA" w:rsidRDefault="00063FCA" w:rsidP="00063FCA">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063FCA" w:rsidRPr="008B5CD1" w:rsidRDefault="00063FCA" w:rsidP="00063FCA">
      <w:pPr>
        <w:spacing w:before="480"/>
        <w:jc w:val="center"/>
      </w:pPr>
      <w:r>
        <w:t>Г-н Элифураха Лалтаика и г-жа Нева Коллингс</w:t>
      </w:r>
    </w:p>
    <w:p w:rsidR="00063FCA" w:rsidRDefault="00063FCA" w:rsidP="00063FCA">
      <w:pPr>
        <w:keepNext/>
        <w:spacing w:before="480" w:after="180"/>
        <w:rPr>
          <w:b/>
        </w:rPr>
      </w:pPr>
      <w:r>
        <w:rPr>
          <w:b/>
        </w:rPr>
        <w:t>ИСТОРИЯ ВОПРОСА И ВВЕДЕНИЕ</w:t>
      </w:r>
    </w:p>
    <w:p w:rsidR="00063FCA" w:rsidRPr="00A876D6" w:rsidRDefault="00063FCA" w:rsidP="00063FCA">
      <w:pPr>
        <w:pStyle w:val="ONUME"/>
        <w:numPr>
          <w:ilvl w:val="0"/>
          <w:numId w:val="7"/>
        </w:numPr>
      </w:pPr>
      <w: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Анаей</w:t>
      </w:r>
      <w:r w:rsidRPr="008B5CD1">
        <w:rPr>
          <w:vertAlign w:val="superscript"/>
          <w:lang w:val="en-GB"/>
        </w:rPr>
        <w:footnoteReference w:id="4"/>
      </w:r>
      <w:r>
        <w:t>.</w:t>
      </w:r>
    </w:p>
    <w:p w:rsidR="00063FCA" w:rsidRDefault="00063FCA" w:rsidP="00063FCA">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rsidR="00063FCA" w:rsidRDefault="00063FCA" w:rsidP="00063FCA">
      <w:pPr>
        <w:pStyle w:val="ONUME"/>
      </w:pPr>
      <w:r>
        <w:t>Отчет о технической экспертизе, подготовленный профессором Анаей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t xml:space="preserve">. </w:t>
      </w:r>
    </w:p>
    <w:p w:rsidR="00063FCA" w:rsidRDefault="00063FCA" w:rsidP="00063FCA">
      <w:pPr>
        <w:pStyle w:val="ONUME"/>
      </w:pPr>
      <w:r>
        <w:t>Таким образом, данный Обновленный отчет о технической экспертизе основан на работе профессора Аная,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Анаей.</w:t>
      </w:r>
    </w:p>
    <w:p w:rsidR="00063FCA" w:rsidRDefault="00063FCA" w:rsidP="00063FCA">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rsidR="00063FCA" w:rsidRDefault="00063FCA" w:rsidP="00063FCA">
      <w:pPr>
        <w:pStyle w:val="ONUME"/>
      </w:pPr>
      <w:r>
        <w:t xml:space="preserve">Всю ответственность за содержание данного Обновленного отчета о технической экспертизе несут его авторы.  Он ни в коей мере не отражает мнения Секретариата ВОИС, государств-членов ВОИС или наблюдателей. </w:t>
      </w:r>
    </w:p>
    <w:p w:rsidR="00063FCA" w:rsidRDefault="00063FCA" w:rsidP="00063FCA">
      <w:pPr>
        <w:keepNext/>
        <w:spacing w:before="240" w:after="220"/>
        <w:rPr>
          <w:b/>
        </w:rPr>
      </w:pPr>
      <w:r>
        <w:rPr>
          <w:b/>
        </w:rPr>
        <w:t xml:space="preserve">ЧАСТЬ 1:  ПРОЕКТЫ ТЕКСТОВ МКГР ПО ТЗ И ТВК </w:t>
      </w:r>
    </w:p>
    <w:p w:rsidR="00063FCA" w:rsidRPr="00A876D6" w:rsidRDefault="00063FCA" w:rsidP="00063FCA">
      <w:pPr>
        <w:keepNext/>
        <w:spacing w:after="180"/>
        <w:rPr>
          <w:b/>
          <w:bCs/>
          <w:iCs/>
        </w:rPr>
      </w:pPr>
      <w:r>
        <w:rPr>
          <w:b/>
        </w:rPr>
        <w:t xml:space="preserve">Обеспечение баланса </w:t>
      </w:r>
    </w:p>
    <w:p w:rsidR="00063FCA" w:rsidRDefault="00063FCA" w:rsidP="00063FCA">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Pr="008B5CD1">
        <w:rPr>
          <w:vertAlign w:val="superscript"/>
          <w:lang w:val="en-GB"/>
        </w:rPr>
        <w:footnoteReference w:id="10"/>
      </w:r>
      <w:r>
        <w:t xml:space="preserve">.  </w:t>
      </w:r>
    </w:p>
    <w:p w:rsidR="00063FCA" w:rsidRDefault="00063FCA" w:rsidP="00063FCA">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w:t>
      </w:r>
      <w:r>
        <w:lastRenderedPageBreak/>
        <w:t xml:space="preserve">обычного права, протоколы, церемонии, особенности уклада жизни и мировоззрения, которые не предполагают коммерциализации. </w:t>
      </w:r>
    </w:p>
    <w:p w:rsidR="00063FCA" w:rsidRDefault="00063FCA" w:rsidP="00063FCA">
      <w:pPr>
        <w:pStyle w:val="ONUME"/>
      </w:pPr>
      <w:r>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rsidR="00063FCA" w:rsidRDefault="00063FCA" w:rsidP="00063FCA">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rsidR="00063FCA" w:rsidRDefault="00063FCA" w:rsidP="00063FCA">
      <w:pPr>
        <w:pStyle w:val="ONUME"/>
      </w:pPr>
      <w:r>
        <w:t>Возможным частичным решением этой головоломной задачи является создание системы охраны ТЗ и ТВК sui generis</w:t>
      </w:r>
      <w:r w:rsidRPr="008B5CD1">
        <w:rPr>
          <w:vertAlign w:val="superscript"/>
          <w:lang w:val="en-GB"/>
        </w:rPr>
        <w:footnoteReference w:id="13"/>
      </w:r>
      <w:r>
        <w:t>,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sui generis должна уважать права коренных народов на контроль и охрану их ТЗ и ТВК.</w:t>
      </w:r>
    </w:p>
    <w:p w:rsidR="00063FCA" w:rsidRDefault="00063FCA" w:rsidP="00063FCA">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rsidR="00063FCA" w:rsidRDefault="00063FCA" w:rsidP="00063FCA">
      <w:pPr>
        <w:pStyle w:val="ONUME"/>
      </w:pPr>
      <w:r>
        <w:t xml:space="preserve">Ключевыми элементами режимов sui generis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w:t>
      </w:r>
      <w:r>
        <w:lastRenderedPageBreak/>
        <w:t>третьими сторонами</w:t>
      </w:r>
      <w:r w:rsidRPr="008B5CD1">
        <w:rPr>
          <w:vertAlign w:val="superscript"/>
          <w:lang w:val="en-GB"/>
        </w:rPr>
        <w:footnoteReference w:id="16"/>
      </w:r>
      <w:r>
        <w:t>.  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rsidR="00063FCA" w:rsidRPr="00A876D6" w:rsidRDefault="00063FCA" w:rsidP="00063FCA">
      <w:pPr>
        <w:keepNext/>
        <w:spacing w:after="220"/>
        <w:rPr>
          <w:b/>
          <w:bCs/>
          <w:iCs/>
        </w:rPr>
      </w:pPr>
      <w:r>
        <w:rPr>
          <w:b/>
        </w:rPr>
        <w:t>Возмещение ущерба</w:t>
      </w:r>
    </w:p>
    <w:p w:rsidR="00063FCA" w:rsidRDefault="00063FCA" w:rsidP="00063FCA">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rsidR="00063FCA" w:rsidRDefault="00063FCA" w:rsidP="00063FCA">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rsidR="00063FCA" w:rsidRDefault="00063FCA" w:rsidP="00063FCA">
      <w:pPr>
        <w:pStyle w:val="ONUME"/>
      </w:pPr>
      <w:r>
        <w:t>Определенные положения, касающиеся реституции, содержатся в «Добровольном руководстве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rsidR="00063FCA" w:rsidRDefault="00063FCA" w:rsidP="00063FCA">
      <w:pPr>
        <w:pStyle w:val="ONUME"/>
      </w:pPr>
      <w:r>
        <w:t xml:space="preserve">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w:t>
      </w:r>
      <w:r>
        <w:lastRenderedPageBreak/>
        <w:t>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rsidR="00063FCA" w:rsidRPr="00A876D6" w:rsidRDefault="00063FCA" w:rsidP="00063FCA">
      <w:pPr>
        <w:keepNext/>
        <w:spacing w:after="220"/>
        <w:rPr>
          <w:b/>
          <w:bCs/>
          <w:iCs/>
        </w:rPr>
      </w:pPr>
      <w:r>
        <w:rPr>
          <w:b/>
        </w:rPr>
        <w:t xml:space="preserve">Общественное достояние </w:t>
      </w:r>
    </w:p>
    <w:p w:rsidR="00063FCA" w:rsidRDefault="00063FCA" w:rsidP="00063FCA">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rsidR="00063FCA" w:rsidRDefault="00063FCA" w:rsidP="00063FCA">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rsidR="00063FCA" w:rsidRDefault="00063FCA" w:rsidP="00063FCA">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rsidR="00063FCA" w:rsidRDefault="00063FCA" w:rsidP="00063FCA">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rsidR="00063FCA" w:rsidRDefault="00063FCA" w:rsidP="00063FCA">
      <w:pPr>
        <w:pStyle w:val="ONUME"/>
      </w:pPr>
      <w:r>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w:t>
      </w:r>
      <w:r>
        <w:lastRenderedPageBreak/>
        <w:t xml:space="preserve">противоречит неограниченному и межпоколенческому характеру прав на ТЗ и ТВК, как они понимаются коренными народами.  </w:t>
      </w:r>
    </w:p>
    <w:p w:rsidR="00063FCA" w:rsidRDefault="00063FCA" w:rsidP="00063FCA">
      <w:pPr>
        <w:pStyle w:val="ONUME"/>
        <w:keepLines/>
      </w:pPr>
      <w: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rsidR="00063FCA" w:rsidRDefault="00063FCA" w:rsidP="00063FCA">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rsidR="00063FCA" w:rsidRPr="00A876D6" w:rsidRDefault="00063FCA" w:rsidP="00063FCA">
      <w:pPr>
        <w:keepNext/>
        <w:spacing w:after="220"/>
        <w:rPr>
          <w:b/>
          <w:bCs/>
          <w:iCs/>
        </w:rPr>
      </w:pPr>
      <w:r>
        <w:rPr>
          <w:b/>
        </w:rPr>
        <w:t xml:space="preserve">Исключения и ограничения </w:t>
      </w:r>
    </w:p>
    <w:p w:rsidR="00063FCA" w:rsidRDefault="00063FCA" w:rsidP="00063FCA">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rsidR="00063FCA" w:rsidRDefault="00063FCA" w:rsidP="00063FCA">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rsidR="00063FCA" w:rsidRDefault="00063FCA" w:rsidP="00063FCA">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rsidR="00063FCA" w:rsidRDefault="00063FCA" w:rsidP="00063FCA">
      <w:pPr>
        <w:pStyle w:val="ONUME"/>
      </w:pPr>
      <w:r>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установления исключений и ограничений, касающихся ТЗ и ТВК коренных народов, на это должно быть получено их СПОС.</w:t>
      </w:r>
    </w:p>
    <w:p w:rsidR="00063FCA" w:rsidRDefault="00063FCA" w:rsidP="00063FCA">
      <w:pPr>
        <w:pStyle w:val="ONUME"/>
      </w:pPr>
      <w:r>
        <w:t xml:space="preserve">Кроме того, должно предусматриваться общее исключение, позволяющее коренным народам сохранять свое коллективное право иметь и воссоздавать различные </w:t>
      </w:r>
      <w:r>
        <w:lastRenderedPageBreak/>
        <w:t>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rsidR="00063FCA" w:rsidRPr="00A876D6" w:rsidRDefault="00063FCA" w:rsidP="00063FCA">
      <w:pPr>
        <w:keepNext/>
        <w:spacing w:after="220"/>
        <w:rPr>
          <w:b/>
          <w:bCs/>
          <w:iCs/>
        </w:rPr>
      </w:pPr>
      <w:r>
        <w:rPr>
          <w:b/>
        </w:rPr>
        <w:t xml:space="preserve">Объем охраны: многоуровневый подход </w:t>
      </w:r>
    </w:p>
    <w:p w:rsidR="00063FCA" w:rsidRDefault="00063FCA" w:rsidP="00063FCA">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063FCA" w:rsidRDefault="00063FCA" w:rsidP="00063FCA">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rsidR="00063FCA" w:rsidRDefault="00063FCA" w:rsidP="00063FCA">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rsidR="00063FCA" w:rsidRDefault="00063FCA" w:rsidP="00063FCA">
      <w:pPr>
        <w:pStyle w:val="ONUME"/>
      </w:pPr>
      <w:r>
        <w:t>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rsidR="00063FCA" w:rsidRPr="00A876D6" w:rsidRDefault="00063FCA" w:rsidP="00063FCA">
      <w:pPr>
        <w:keepNext/>
        <w:spacing w:after="220"/>
        <w:rPr>
          <w:b/>
          <w:bCs/>
          <w:iCs/>
        </w:rPr>
      </w:pPr>
      <w:r>
        <w:rPr>
          <w:b/>
        </w:rPr>
        <w:t xml:space="preserve">Базы данных и реестры знаний </w:t>
      </w:r>
    </w:p>
    <w:p w:rsidR="00063FCA" w:rsidRDefault="00063FCA" w:rsidP="00063FCA">
      <w:pPr>
        <w:pStyle w:val="ONUME"/>
      </w:pPr>
      <w:r>
        <w:t xml:space="preserve">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w:t>
      </w:r>
      <w:r>
        <w:lastRenderedPageBreak/>
        <w:t>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rsidR="00063FCA" w:rsidRDefault="00063FCA" w:rsidP="00063FCA">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rsidR="00063FCA" w:rsidRDefault="00063FCA" w:rsidP="00063FCA">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rsidR="00063FCA" w:rsidRDefault="00063FCA" w:rsidP="00063FCA">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rsidR="00063FCA" w:rsidRDefault="00063FCA" w:rsidP="00063FCA">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rsidR="00063FCA" w:rsidRDefault="00063FCA" w:rsidP="00063FCA">
      <w:pPr>
        <w:keepNext/>
        <w:spacing w:before="240" w:after="220"/>
        <w:rPr>
          <w:b/>
        </w:rPr>
      </w:pPr>
      <w:r>
        <w:rPr>
          <w:b/>
        </w:rPr>
        <w:t xml:space="preserve">ЧАСТЬ 2: ПРОЕКТЫ ТЕКСТОВ, КАСАЮЩИХСЯ ГЕНЕТИЧЕСКИХ РЕСУРСОВ (ГР) </w:t>
      </w:r>
    </w:p>
    <w:p w:rsidR="00063FCA" w:rsidRPr="00A876D6" w:rsidRDefault="00063FCA" w:rsidP="00063FCA">
      <w:pPr>
        <w:keepNext/>
        <w:spacing w:after="220"/>
        <w:rPr>
          <w:b/>
          <w:bCs/>
          <w:iCs/>
        </w:rPr>
      </w:pPr>
      <w:r>
        <w:rPr>
          <w:b/>
        </w:rPr>
        <w:t>Права коренных народов на генетические ресурсы</w:t>
      </w:r>
    </w:p>
    <w:p w:rsidR="00063FCA" w:rsidRDefault="00063FCA" w:rsidP="00063FCA">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rsidR="00063FCA" w:rsidRDefault="00063FCA" w:rsidP="00063FCA">
      <w:pPr>
        <w:pStyle w:val="ONUME"/>
      </w:pPr>
      <w:r>
        <w:t>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xml:space="preserve">.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w:t>
      </w:r>
      <w:r>
        <w:lastRenderedPageBreak/>
        <w:t>настаивают на таком взаимодополняющем подходе, который способствовал бы непротиворечивому толкованию и защите их прав.</w:t>
      </w:r>
    </w:p>
    <w:p w:rsidR="00063FCA" w:rsidRDefault="00063FCA" w:rsidP="00063FCA">
      <w:pPr>
        <w:pStyle w:val="ONUME"/>
      </w:pPr>
      <w:r>
        <w:t>Согласно тексту Отчета о технической экспертизе, подготовленного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Pr="008B5CD1">
        <w:rPr>
          <w:vertAlign w:val="superscript"/>
          <w:lang w:val="en-GB"/>
        </w:rPr>
        <w:footnoteReference w:id="39"/>
      </w:r>
      <w:r>
        <w:t>.</w:t>
      </w:r>
      <w:r>
        <w:rPr>
          <w:i/>
        </w:rPr>
        <w:t xml:space="preserve">  </w:t>
      </w:r>
      <w:r>
        <w:t xml:space="preserve">Права коренных народов давать разрешение на доступ к ГР также подтверждаются промежуточными </w:t>
      </w:r>
      <w:r>
        <w:rPr>
          <w:i/>
        </w:rPr>
        <w:t>национальными докладами об осуществлении Нагойского протокола</w:t>
      </w:r>
      <w:r w:rsidRPr="008B5CD1">
        <w:rPr>
          <w:vertAlign w:val="superscript"/>
          <w:lang w:val="en-GB"/>
        </w:rPr>
        <w:footnoteReference w:id="40"/>
      </w:r>
      <w:r>
        <w:t>.</w:t>
      </w:r>
    </w:p>
    <w:p w:rsidR="00063FCA" w:rsidRDefault="00063FCA" w:rsidP="00063FCA">
      <w:pPr>
        <w:pStyle w:val="ONUME"/>
        <w:keepLines/>
      </w:pPr>
      <w:r>
        <w:t>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секвенирование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 </w:t>
      </w:r>
    </w:p>
    <w:p w:rsidR="00063FCA" w:rsidRDefault="00063FCA" w:rsidP="00063FCA">
      <w:pPr>
        <w:pStyle w:val="ONUME"/>
      </w:pPr>
      <w:r>
        <w:t xml:space="preserve">Последствия распространения новых технологий с точки зрения внедрения национальных мер, обеспечивающих использование ГР и связанных с ними ТЗ, а также 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w:t>
      </w:r>
      <w:r>
        <w:lastRenderedPageBreak/>
        <w:t>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rsidR="00063FCA" w:rsidRDefault="00063FCA" w:rsidP="00063FCA">
      <w:pPr>
        <w:keepNext/>
        <w:spacing w:after="220"/>
        <w:rPr>
          <w:b/>
          <w:bCs/>
          <w:iCs/>
        </w:rPr>
      </w:pPr>
      <w:r>
        <w:rPr>
          <w:b/>
        </w:rPr>
        <w:t>Обязательное раскрытие</w:t>
      </w:r>
    </w:p>
    <w:p w:rsidR="00063FCA" w:rsidRDefault="00063FCA" w:rsidP="00063FCA">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rsidR="00063FCA" w:rsidRDefault="00063FCA" w:rsidP="00063FCA">
      <w:pPr>
        <w:pStyle w:val="ONUME"/>
      </w:pPr>
      <w:r>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rsidR="00063FCA" w:rsidRDefault="00063FCA" w:rsidP="00063FCA">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rsidR="00063FCA" w:rsidRDefault="00063FCA" w:rsidP="00063FCA">
      <w:pPr>
        <w:pStyle w:val="ONUME"/>
        <w:keepLines/>
      </w:pPr>
      <w:r>
        <w:lastRenderedPageBreak/>
        <w:t>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секвенирования.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секвенирования, и связанным с ними ТЗ.  Проблема прослеживаемости связей между правами коренных народов и информацией о ГР, получаемой путем цифрового секвенирования, и соответствующими ТЗ, связана с беспрецедентными сложностями</w:t>
      </w:r>
      <w:r w:rsidRPr="008B5CD1">
        <w:rPr>
          <w:vertAlign w:val="superscript"/>
          <w:lang w:val="en-GB"/>
        </w:rPr>
        <w:footnoteReference w:id="49"/>
      </w:r>
      <w:r>
        <w:t xml:space="preserve">. </w:t>
      </w:r>
    </w:p>
    <w:p w:rsidR="00063FCA" w:rsidRDefault="00063FCA" w:rsidP="00063FCA">
      <w:pPr>
        <w:keepNext/>
        <w:spacing w:after="220"/>
        <w:rPr>
          <w:b/>
          <w:bCs/>
          <w:iCs/>
        </w:rPr>
      </w:pPr>
      <w:r>
        <w:rPr>
          <w:b/>
        </w:rPr>
        <w:t>Разрешение споров</w:t>
      </w:r>
    </w:p>
    <w:p w:rsidR="00063FCA" w:rsidRDefault="00063FCA" w:rsidP="00063FCA">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rsidR="00063FCA" w:rsidRDefault="00063FCA" w:rsidP="00063FCA">
      <w:pPr>
        <w:pStyle w:val="ONUME"/>
      </w:pPr>
      <w:r>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rsidR="00063FCA" w:rsidRPr="00A876D6" w:rsidRDefault="00063FCA" w:rsidP="00063FCA">
      <w:pPr>
        <w:keepNext/>
        <w:spacing w:after="220"/>
        <w:rPr>
          <w:b/>
          <w:bCs/>
          <w:iCs/>
        </w:rPr>
      </w:pPr>
      <w:r>
        <w:rPr>
          <w:b/>
        </w:rPr>
        <w:t>Прослеживаемость</w:t>
      </w:r>
    </w:p>
    <w:p w:rsidR="00063FCA" w:rsidRDefault="00063FCA" w:rsidP="00063FCA">
      <w:pPr>
        <w:pStyle w:val="ONUME"/>
      </w:pPr>
      <w:r>
        <w:t>В условиях, когда информация о ГР может быть получена путем цифрового секвенирования,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блокчейн</w:t>
      </w:r>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rsidR="00063FCA" w:rsidRDefault="00063FCA" w:rsidP="00063FCA">
      <w:pPr>
        <w:rPr>
          <w:b/>
          <w:bCs/>
        </w:rPr>
      </w:pPr>
      <w:r>
        <w:br w:type="page"/>
      </w:r>
    </w:p>
    <w:p w:rsidR="00063FCA" w:rsidRDefault="00A51E29" w:rsidP="00063FCA">
      <w:pPr>
        <w:keepNext/>
        <w:spacing w:before="440" w:after="220"/>
        <w:rPr>
          <w:b/>
        </w:rPr>
      </w:pPr>
      <w:r>
        <w:rPr>
          <w:b/>
        </w:rPr>
        <w:lastRenderedPageBreak/>
        <w:t xml:space="preserve">ЧАСТЬ 3: </w:t>
      </w:r>
      <w:r w:rsidR="00063FCA">
        <w:rPr>
          <w:b/>
        </w:rPr>
        <w:t xml:space="preserve">ЗАКЛЮЧИТЕЛЬНЫЕ СООБРАЖЕНИЯ </w:t>
      </w:r>
    </w:p>
    <w:p w:rsidR="00063FCA" w:rsidRDefault="00063FCA" w:rsidP="00063FCA">
      <w:pPr>
        <w:pStyle w:val="ONUME"/>
      </w:pPr>
      <w:r>
        <w:t xml:space="preserve">Международно-правовые документы в отношении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rsidR="00063FCA" w:rsidRDefault="00063FCA" w:rsidP="00063FCA">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rsidR="00063FCA" w:rsidRDefault="00063FCA" w:rsidP="00063FCA">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rsidR="002928D3" w:rsidRDefault="00063FCA" w:rsidP="00A0509A">
      <w:pPr>
        <w:spacing w:before="600"/>
        <w:ind w:left="5530"/>
      </w:pPr>
      <w:r>
        <w:t>[Конец приложения и документа]</w:t>
      </w:r>
    </w:p>
    <w:sectPr w:rsidR="002928D3" w:rsidSect="00A0509A">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A51E29" w:rsidRDefault="00BC7DD2" w:rsidP="003B38C1">
      <w:pPr>
        <w:spacing w:after="60"/>
        <w:rPr>
          <w:sz w:val="17"/>
          <w:lang w:val="en-US"/>
        </w:rPr>
      </w:pPr>
      <w:r w:rsidRPr="00A51E29">
        <w:rPr>
          <w:sz w:val="17"/>
          <w:lang w:val="en-US"/>
        </w:rPr>
        <w:t>[Endnote continued from previous page]</w:t>
      </w:r>
    </w:p>
  </w:endnote>
  <w:endnote w:type="continuationNotice" w:id="1">
    <w:p w:rsidR="00BC7DD2" w:rsidRPr="00A51E29" w:rsidRDefault="00BC7DD2" w:rsidP="003B38C1">
      <w:pPr>
        <w:spacing w:before="60"/>
        <w:jc w:val="right"/>
        <w:rPr>
          <w:sz w:val="17"/>
          <w:szCs w:val="17"/>
          <w:lang w:val="en-US"/>
        </w:rPr>
      </w:pPr>
      <w:r w:rsidRPr="00A51E2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EE9" w:rsidRDefault="00746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EE9" w:rsidRDefault="00746E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A51E29" w:rsidRDefault="00BC7DD2" w:rsidP="008B60B2">
      <w:pPr>
        <w:spacing w:after="60"/>
        <w:rPr>
          <w:sz w:val="17"/>
          <w:szCs w:val="17"/>
          <w:lang w:val="en-US"/>
        </w:rPr>
      </w:pPr>
      <w:r w:rsidRPr="00A51E29">
        <w:rPr>
          <w:sz w:val="17"/>
          <w:szCs w:val="17"/>
          <w:lang w:val="en-US"/>
        </w:rPr>
        <w:t>[Footnote continued from previous page]</w:t>
      </w:r>
    </w:p>
  </w:footnote>
  <w:footnote w:type="continuationNotice" w:id="1">
    <w:p w:rsidR="00BC7DD2" w:rsidRPr="00A51E29" w:rsidRDefault="00BC7DD2" w:rsidP="008B60B2">
      <w:pPr>
        <w:spacing w:before="60"/>
        <w:jc w:val="right"/>
        <w:rPr>
          <w:sz w:val="17"/>
          <w:szCs w:val="17"/>
          <w:lang w:val="en-US"/>
        </w:rPr>
      </w:pPr>
      <w:r w:rsidRPr="00A51E29">
        <w:rPr>
          <w:sz w:val="17"/>
          <w:szCs w:val="17"/>
          <w:lang w:val="en-US"/>
        </w:rPr>
        <w:t>[Footnote continued on next page]</w:t>
      </w:r>
    </w:p>
  </w:footnote>
  <w:footnote w:id="2">
    <w:p w:rsidR="00063FCA" w:rsidRPr="008B5CD1" w:rsidRDefault="00063FCA" w:rsidP="00063FCA">
      <w:pPr>
        <w:pStyle w:val="FootnoteText"/>
        <w:rPr>
          <w:szCs w:val="18"/>
        </w:rPr>
      </w:pPr>
      <w:r>
        <w:rPr>
          <w:rStyle w:val="FootnoteReference"/>
          <w:szCs w:val="18"/>
        </w:rPr>
        <w:footnoteRef/>
      </w:r>
      <w:r>
        <w:t xml:space="preserve"> </w:t>
      </w:r>
      <w:r>
        <w:tab/>
        <w:t>См. Решения 40-й сессии Комитета, стр. 3.</w:t>
      </w:r>
    </w:p>
  </w:footnote>
  <w:footnote w:id="3">
    <w:p w:rsidR="00063FCA" w:rsidRPr="002A671B" w:rsidRDefault="00063FCA" w:rsidP="00063FCA">
      <w:pPr>
        <w:pStyle w:val="FootnoteText"/>
        <w:rPr>
          <w:szCs w:val="18"/>
        </w:rPr>
      </w:pPr>
      <w:r>
        <w:rPr>
          <w:rStyle w:val="FootnoteReference"/>
          <w:szCs w:val="18"/>
        </w:rPr>
        <w:footnoteRef/>
      </w:r>
      <w:r>
        <w:tab/>
        <w:t xml:space="preserve">Постоянный форум Организации Объединенных Наций по вопросам коренных народов, отчет о 18-й сессии, E/2019/43 43-E/C. 19/2019/10.  См. пункт 10 документа, размещенного по адресу: </w:t>
      </w:r>
      <w:hyperlink r:id="rId1" w:history="1">
        <w:r>
          <w:rPr>
            <w:rStyle w:val="Hyperlink"/>
            <w:color w:val="0033CC"/>
          </w:rPr>
          <w:t>https://www.un.org/development/desa/indigenouspeoples/news/2019/06/18-session-report/</w:t>
        </w:r>
      </w:hyperlink>
      <w:r>
        <w:t>.</w:t>
      </w:r>
      <w:r>
        <w:rPr>
          <w:rStyle w:val="Hyperlink"/>
          <w:color w:val="auto"/>
          <w:u w:val="none"/>
        </w:rPr>
        <w:t xml:space="preserve"> </w:t>
      </w:r>
      <w:r>
        <w:t xml:space="preserve"> </w:t>
      </w:r>
    </w:p>
  </w:footnote>
  <w:footnote w:id="4">
    <w:p w:rsidR="00063FCA" w:rsidRPr="008B5CD1"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2" w:history="1">
        <w:r>
          <w:rPr>
            <w:rStyle w:val="Hyperlink"/>
            <w:color w:val="0033CC"/>
          </w:rPr>
          <w:t>https://www.wipo.int/edocs/mdocs/tk/ru/wipo_grtkf_ic_29/wipo_grtkf_ic_29_inf_10.pdf</w:t>
        </w:r>
      </w:hyperlink>
      <w:r>
        <w:rPr>
          <w:rStyle w:val="Hyperlink"/>
          <w:color w:val="auto"/>
          <w:u w:val="none"/>
        </w:rPr>
        <w:t xml:space="preserve">. </w:t>
      </w:r>
    </w:p>
  </w:footnote>
  <w:footnote w:id="5">
    <w:p w:rsidR="00063FCA" w:rsidRPr="008B5CD1" w:rsidRDefault="00063FCA" w:rsidP="00063FCA">
      <w:pPr>
        <w:pStyle w:val="FootnoteText"/>
        <w:rPr>
          <w:szCs w:val="18"/>
        </w:rPr>
      </w:pPr>
      <w:r>
        <w:rPr>
          <w:rStyle w:val="FootnoteReference"/>
          <w:szCs w:val="18"/>
        </w:rPr>
        <w:footnoteRef/>
      </w:r>
      <w:r>
        <w:t xml:space="preserve"> </w:t>
      </w:r>
      <w:r>
        <w:tab/>
        <w:t>Документ E/2019/43- E/C.19/10, пункт 10.</w:t>
      </w:r>
    </w:p>
  </w:footnote>
  <w:footnote w:id="6">
    <w:p w:rsidR="00063FCA" w:rsidRPr="008B5CD1" w:rsidRDefault="00063FCA" w:rsidP="00063FCA">
      <w:pPr>
        <w:pStyle w:val="FootnoteText"/>
        <w:rPr>
          <w:szCs w:val="18"/>
        </w:rPr>
      </w:pPr>
      <w:r>
        <w:rPr>
          <w:rStyle w:val="FootnoteReference"/>
          <w:szCs w:val="18"/>
        </w:rPr>
        <w:footnoteRef/>
      </w:r>
      <w:r>
        <w:t xml:space="preserve"> </w:t>
      </w:r>
      <w:bookmarkStart w:id="5" w:name="_Hlk49439221"/>
      <w:r>
        <w:tab/>
        <w:t>Документ WIPO/GRTKF/IC/29/INF/10, пункт 11</w:t>
      </w:r>
      <w:bookmarkEnd w:id="5"/>
      <w:r>
        <w:t>.</w:t>
      </w:r>
    </w:p>
  </w:footnote>
  <w:footnote w:id="7">
    <w:p w:rsidR="00063FCA" w:rsidRPr="002A671B"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 (19 июня 2019 г.), см. по адресу: </w:t>
      </w:r>
      <w:hyperlink r:id="rId3" w:history="1">
        <w:r>
          <w:rPr>
            <w:rStyle w:val="Hyperlink"/>
            <w:color w:val="0033CC"/>
          </w:rPr>
          <w:t>https://www.wipo.int/meetings/ru/doc_details.jsp?doc_id=443934</w:t>
        </w:r>
      </w:hyperlink>
      <w:r>
        <w:t xml:space="preserve">. </w:t>
      </w:r>
    </w:p>
  </w:footnote>
  <w:footnote w:id="8">
    <w:p w:rsidR="00063FCA" w:rsidRPr="008B5CD1"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Rev. (19 июня 2019 г.), см. по адресу: </w:t>
      </w:r>
      <w:hyperlink r:id="rId4" w:history="1">
        <w:r>
          <w:rPr>
            <w:rStyle w:val="Hyperlink"/>
            <w:color w:val="0033CC"/>
          </w:rPr>
          <w:t>https://www.wipo.int/meetings/ru/doc_details.jsp?doc_id=443934</w:t>
        </w:r>
      </w:hyperlink>
      <w:r>
        <w:t xml:space="preserve">. </w:t>
      </w:r>
    </w:p>
  </w:footnote>
  <w:footnote w:id="9">
    <w:p w:rsidR="00063FCA" w:rsidRPr="008B5CD1"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Rev. 2 (23 марта 2018 г.), см. по адресу: </w:t>
      </w:r>
      <w:hyperlink r:id="rId5" w:history="1">
        <w:r>
          <w:rPr>
            <w:rStyle w:val="Hyperlink"/>
            <w:color w:val="0033CC"/>
          </w:rPr>
          <w:t>https://www.wipo.int/meetings/ru/doc_details.jsp?doc_id=443934</w:t>
        </w:r>
      </w:hyperlink>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Иеном Госсом, см. по адресу: </w:t>
      </w:r>
      <w:hyperlink r:id="rId6" w:history="1">
        <w:r>
          <w:rPr>
            <w:rStyle w:val="Hyperlink"/>
            <w:color w:val="0033CC"/>
          </w:rPr>
          <w:t>https://www.wipo.int/meetings/ru/doc_details.jsp?doc_id=443934</w:t>
        </w:r>
      </w:hyperlink>
      <w:r>
        <w:t>.</w:t>
      </w:r>
      <w:r>
        <w:rPr>
          <w:rStyle w:val="Hyperlink"/>
          <w:color w:val="auto"/>
          <w:u w:val="none"/>
        </w:rPr>
        <w:t xml:space="preserve"> </w:t>
      </w:r>
    </w:p>
  </w:footnote>
  <w:footnote w:id="10">
    <w:p w:rsidR="00063FCA" w:rsidRPr="008B5CD1" w:rsidRDefault="00063FCA" w:rsidP="00063FCA">
      <w:pPr>
        <w:rPr>
          <w:sz w:val="18"/>
          <w:szCs w:val="18"/>
        </w:rPr>
      </w:pPr>
      <w:r>
        <w:rPr>
          <w:rStyle w:val="FootnoteReference"/>
          <w:sz w:val="18"/>
          <w:szCs w:val="18"/>
        </w:rPr>
        <w:footnoteRef/>
      </w:r>
      <w:r>
        <w:t xml:space="preserve"> </w:t>
      </w:r>
      <w:r>
        <w:tab/>
        <w:t xml:space="preserve">См. приложение C1 по адресу: </w:t>
      </w:r>
      <w:hyperlink r:id="rId7" w:history="1">
        <w:r>
          <w:rPr>
            <w:rStyle w:val="Hyperlink"/>
            <w:color w:val="0033CC"/>
            <w:sz w:val="18"/>
          </w:rPr>
          <w:t>https://www.wto.org/english/docs_e/legal_e/27-trips.pdf</w:t>
        </w:r>
      </w:hyperlink>
      <w:r>
        <w:t>.</w:t>
      </w:r>
      <w:r>
        <w:rPr>
          <w:rStyle w:val="Hyperlink"/>
          <w:color w:val="auto"/>
          <w:sz w:val="18"/>
          <w:u w:val="none"/>
        </w:rPr>
        <w:t xml:space="preserve"> </w:t>
      </w:r>
    </w:p>
  </w:footnote>
  <w:footnote w:id="11">
    <w:p w:rsidR="00063FCA" w:rsidRPr="008B5CD1" w:rsidRDefault="00063FCA" w:rsidP="00063FCA">
      <w:pPr>
        <w:pStyle w:val="FootnoteText"/>
        <w:rPr>
          <w:szCs w:val="18"/>
        </w:rPr>
      </w:pPr>
      <w:r>
        <w:rPr>
          <w:rStyle w:val="FootnoteReference"/>
          <w:szCs w:val="18"/>
        </w:rPr>
        <w:footnoteRef/>
      </w:r>
      <w:r>
        <w:t xml:space="preserve"> </w:t>
      </w:r>
      <w:r>
        <w:tab/>
        <w:t xml:space="preserve">Декларация Организации Объединенных Наций о правах коренных народов (ДПКНООН), статья 4, </w:t>
      </w:r>
      <w:hyperlink r:id="rId8" w:history="1">
        <w:r>
          <w:rPr>
            <w:rStyle w:val="Hyperlink"/>
            <w:color w:val="0033CC"/>
          </w:rPr>
          <w:t>см. по адресу: https://undocs.org/A/RES/61/295</w:t>
        </w:r>
      </w:hyperlink>
      <w:r>
        <w:t xml:space="preserve">. </w:t>
      </w:r>
    </w:p>
  </w:footnote>
  <w:footnote w:id="12">
    <w:p w:rsidR="00063FCA" w:rsidRPr="008B5CD1" w:rsidRDefault="00063FCA" w:rsidP="00063FCA">
      <w:pPr>
        <w:pStyle w:val="FootnoteText"/>
        <w:rPr>
          <w:szCs w:val="18"/>
        </w:rPr>
      </w:pPr>
      <w:r>
        <w:rPr>
          <w:rStyle w:val="FootnoteReference"/>
          <w:szCs w:val="18"/>
        </w:rPr>
        <w:footnoteRef/>
      </w:r>
      <w:r>
        <w:t xml:space="preserve"> </w:t>
      </w:r>
      <w:r>
        <w:tab/>
        <w:t xml:space="preserve">ДПКНООН, статья 19. </w:t>
      </w:r>
    </w:p>
  </w:footnote>
  <w:footnote w:id="13">
    <w:p w:rsidR="00063FCA" w:rsidRPr="008B5CD1" w:rsidRDefault="00063FCA" w:rsidP="00063FCA">
      <w:pPr>
        <w:pStyle w:val="FootnoteText"/>
        <w:rPr>
          <w:szCs w:val="18"/>
        </w:rPr>
      </w:pPr>
      <w:r>
        <w:rPr>
          <w:rStyle w:val="FootnoteReference"/>
          <w:szCs w:val="18"/>
        </w:rPr>
        <w:footnoteRef/>
      </w:r>
      <w:r>
        <w:t xml:space="preserve"> </w:t>
      </w:r>
      <w:r>
        <w:tab/>
        <w:t xml:space="preserve">В Юридическом словаре Блэка понятие «sui generis» определяется как «своего рода или класса, уникальный или своеобразный». </w:t>
      </w:r>
    </w:p>
  </w:footnote>
  <w:footnote w:id="14">
    <w:p w:rsidR="00063FCA" w:rsidRPr="00A51E29" w:rsidRDefault="00063FCA" w:rsidP="00063FCA">
      <w:pPr>
        <w:rPr>
          <w:rFonts w:eastAsia="Times New Roman"/>
          <w:sz w:val="18"/>
          <w:szCs w:val="18"/>
          <w:lang w:val="en-US"/>
        </w:rPr>
      </w:pPr>
      <w:r>
        <w:rPr>
          <w:rStyle w:val="FootnoteReference"/>
          <w:sz w:val="18"/>
          <w:szCs w:val="18"/>
        </w:rPr>
        <w:footnoteRef/>
      </w:r>
      <w:r w:rsidRPr="00A51E29">
        <w:rPr>
          <w:i/>
          <w:sz w:val="18"/>
          <w:lang w:val="en-US"/>
        </w:rPr>
        <w:t xml:space="preserve"> </w:t>
      </w:r>
      <w:r w:rsidRPr="00A51E29">
        <w:rPr>
          <w:i/>
          <w:sz w:val="18"/>
          <w:lang w:val="en-US"/>
        </w:rPr>
        <w:tab/>
      </w:r>
      <w:r>
        <w:rPr>
          <w:sz w:val="18"/>
        </w:rPr>
        <w:t>ДПКНООН</w:t>
      </w:r>
      <w:r w:rsidRPr="00A51E29">
        <w:rPr>
          <w:sz w:val="18"/>
          <w:lang w:val="en-US"/>
        </w:rPr>
        <w:t xml:space="preserve">, </w:t>
      </w:r>
      <w:r>
        <w:rPr>
          <w:sz w:val="18"/>
        </w:rPr>
        <w:t>ст</w:t>
      </w:r>
      <w:r w:rsidRPr="00A51E29">
        <w:rPr>
          <w:sz w:val="18"/>
          <w:lang w:val="en-US"/>
        </w:rPr>
        <w:t xml:space="preserve">. 28(1); Natalie P Stoianoff and Alpana Roy, </w:t>
      </w:r>
      <w:r w:rsidRPr="00A51E29">
        <w:rPr>
          <w:i/>
          <w:sz w:val="18"/>
          <w:lang w:val="en-US"/>
        </w:rPr>
        <w:t>Indigenous Knowledge and Culture in Australia — The Case for Sui Generis Legislation</w:t>
      </w:r>
      <w:r w:rsidRPr="00A51E29">
        <w:rPr>
          <w:sz w:val="18"/>
          <w:lang w:val="en-US"/>
        </w:rPr>
        <w:t xml:space="preserve"> (SSRN Scholarly Paper No ID 2765827, Social Science Research Network, 31 December 2015), 748. </w:t>
      </w:r>
      <w:r w:rsidRPr="00A51E29">
        <w:rPr>
          <w:lang w:val="en-US"/>
        </w:rPr>
        <w:t xml:space="preserve"> &lt;</w:t>
      </w:r>
      <w:hyperlink r:id="rId9" w:history="1">
        <w:r w:rsidRPr="00A51E29">
          <w:rPr>
            <w:rStyle w:val="Hyperlink"/>
            <w:color w:val="0033CC"/>
            <w:sz w:val="18"/>
            <w:lang w:val="en-US"/>
          </w:rPr>
          <w:t>https://papers.ssrn.com/abstract=2765827</w:t>
        </w:r>
      </w:hyperlink>
      <w:r w:rsidRPr="00A51E29">
        <w:rPr>
          <w:lang w:val="en-US"/>
        </w:rPr>
        <w:t>&gt;; Graham Dutfield, ‘Legal and Economic Aspects of Traditional Knowledge’ in Keith E Maskus and Jerome H Reichman (eds), International Public Goods and Transfer of Technology Under a Globalized Intellectual Property Regime (Cambridge University Press, 1st ed, 2005), 506.</w:t>
      </w:r>
      <w:r w:rsidRPr="00A51E29">
        <w:rPr>
          <w:sz w:val="18"/>
          <w:lang w:val="en-US"/>
        </w:rPr>
        <w:t xml:space="preserve"> </w:t>
      </w:r>
    </w:p>
  </w:footnote>
  <w:footnote w:id="15">
    <w:p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Pr>
          <w:sz w:val="18"/>
        </w:rPr>
        <w:t>ДПКНООН</w:t>
      </w:r>
      <w:r w:rsidRPr="00A51E29">
        <w:rPr>
          <w:sz w:val="18"/>
          <w:lang w:val="en-US"/>
        </w:rPr>
        <w:t xml:space="preserve">, </w:t>
      </w:r>
      <w:r>
        <w:rPr>
          <w:sz w:val="18"/>
        </w:rPr>
        <w:t>статья</w:t>
      </w:r>
      <w:r w:rsidRPr="00A51E29">
        <w:rPr>
          <w:sz w:val="18"/>
          <w:lang w:val="en-US"/>
        </w:rPr>
        <w:t xml:space="preserve"> 28(12).</w:t>
      </w:r>
    </w:p>
  </w:footnote>
  <w:footnote w:id="16">
    <w:p w:rsidR="00063FCA" w:rsidRPr="008B5CD1" w:rsidRDefault="00063FCA" w:rsidP="00A51E29">
      <w:pPr>
        <w:rPr>
          <w:rFonts w:eastAsia="Times New Roman"/>
          <w:sz w:val="18"/>
          <w:szCs w:val="18"/>
        </w:rPr>
      </w:pPr>
      <w:r>
        <w:rPr>
          <w:rStyle w:val="FootnoteReference"/>
          <w:sz w:val="18"/>
          <w:szCs w:val="18"/>
        </w:rPr>
        <w:footnoteRef/>
      </w:r>
      <w:r w:rsidRPr="00A51E29">
        <w:rPr>
          <w:lang w:val="en-US"/>
        </w:rPr>
        <w:t xml:space="preserve"> </w:t>
      </w:r>
      <w:r w:rsidRPr="00A51E29">
        <w:rPr>
          <w:lang w:val="en-US"/>
        </w:rPr>
        <w:tab/>
      </w:r>
      <w:r w:rsidRPr="00232C8C">
        <w:rPr>
          <w:sz w:val="18"/>
          <w:lang w:val="en-US"/>
        </w:rPr>
        <w:t>Natalie P Stoianoff and Alpana Roy, Indigenous Knowledge and Culture in Australia — The Case for Sui Generis Legislation (SSRN Scholarly Paper No ID 2765827, Social Science Research Network, 31 December 2015), 748</w:t>
      </w:r>
      <w:r w:rsidRPr="00A51E29">
        <w:rPr>
          <w:lang w:val="en-US"/>
        </w:rPr>
        <w:t>.</w:t>
      </w:r>
      <w:r w:rsidRPr="00A51E29">
        <w:rPr>
          <w:sz w:val="18"/>
          <w:lang w:val="en-US"/>
        </w:rPr>
        <w:t xml:space="preserve"> </w:t>
      </w:r>
      <w:r>
        <w:rPr>
          <w:sz w:val="18"/>
        </w:rPr>
        <w:t>&lt;</w:t>
      </w:r>
      <w:hyperlink r:id="rId10" w:history="1">
        <w:r>
          <w:rPr>
            <w:rStyle w:val="Hyperlink"/>
            <w:color w:val="0033CC"/>
            <w:sz w:val="18"/>
          </w:rPr>
          <w:t>https://papers.ssrn.com/abstract=2765827</w:t>
        </w:r>
      </w:hyperlink>
      <w:r>
        <w:rPr>
          <w:sz w:val="18"/>
        </w:rPr>
        <w:t xml:space="preserve">&gt;. </w:t>
      </w:r>
    </w:p>
  </w:footnote>
  <w:footnote w:id="17">
    <w:p w:rsidR="00063FCA" w:rsidRPr="008B5CD1" w:rsidRDefault="00063FCA" w:rsidP="00063FCA">
      <w:pPr>
        <w:rPr>
          <w:sz w:val="18"/>
          <w:szCs w:val="18"/>
        </w:rPr>
      </w:pPr>
      <w:r>
        <w:rPr>
          <w:rStyle w:val="FootnoteReference"/>
          <w:sz w:val="18"/>
          <w:szCs w:val="18"/>
        </w:rPr>
        <w:footnoteRef/>
      </w:r>
      <w:r>
        <w:t xml:space="preserve"> </w:t>
      </w:r>
      <w:r>
        <w:tab/>
      </w:r>
      <w:r>
        <w:rPr>
          <w:sz w:val="18"/>
        </w:rPr>
        <w:t>ДПКНООН, статья 32(2), статья 18, статья 34; Доклад о реестрах традиционных знаний и связанных с ними базах данных традиционных знаний (документ UNEP/CBD/ WG8J/4/INF/9).</w:t>
      </w:r>
    </w:p>
  </w:footnote>
  <w:footnote w:id="18">
    <w:p w:rsidR="00063FCA" w:rsidRPr="008B5CD1" w:rsidRDefault="00063FCA" w:rsidP="00063FCA">
      <w:pPr>
        <w:pStyle w:val="FootnoteText"/>
        <w:rPr>
          <w:szCs w:val="18"/>
        </w:rPr>
      </w:pPr>
      <w:r>
        <w:rPr>
          <w:rStyle w:val="FootnoteReference"/>
          <w:szCs w:val="18"/>
        </w:rPr>
        <w:footnoteRef/>
      </w:r>
      <w:r>
        <w:t xml:space="preserve"> </w:t>
      </w:r>
      <w:r>
        <w:tab/>
        <w:t>ДПКНООН, ст. 11(2), ст. 28; Международная конвенция о ликвидации всех форм расовой дискриминации (</w:t>
      </w:r>
      <w:r>
        <w:rPr>
          <w:i/>
        </w:rPr>
        <w:t>МКЛРД)</w:t>
      </w:r>
      <w:r>
        <w:t>, ст. 2(2).</w:t>
      </w:r>
    </w:p>
  </w:footnote>
  <w:footnote w:id="19">
    <w:p w:rsidR="00063FCA" w:rsidRPr="008B5CD1" w:rsidRDefault="00063FCA" w:rsidP="00063FCA">
      <w:pPr>
        <w:pStyle w:val="FootnoteText"/>
        <w:rPr>
          <w:szCs w:val="18"/>
        </w:rPr>
      </w:pPr>
      <w:r>
        <w:rPr>
          <w:rStyle w:val="FootnoteReference"/>
          <w:szCs w:val="18"/>
        </w:rPr>
        <w:footnoteRef/>
      </w:r>
      <w:r>
        <w:t xml:space="preserve"> </w:t>
      </w:r>
      <w:r>
        <w:tab/>
        <w:t>ДПКНООН, статья 11(2).</w:t>
      </w:r>
    </w:p>
  </w:footnote>
  <w:footnote w:id="20">
    <w:p w:rsidR="00063FCA" w:rsidRPr="008B5CD1" w:rsidRDefault="00063FCA" w:rsidP="00063FCA">
      <w:pPr>
        <w:pStyle w:val="FootnoteText"/>
        <w:rPr>
          <w:szCs w:val="18"/>
        </w:rPr>
      </w:pPr>
      <w:r>
        <w:rPr>
          <w:rStyle w:val="FootnoteReference"/>
          <w:szCs w:val="18"/>
        </w:rPr>
        <w:footnoteRef/>
      </w:r>
      <w:r>
        <w:t xml:space="preserve"> </w:t>
      </w:r>
      <w:bookmarkStart w:id="6" w:name="_Hlk49439119"/>
      <w:r>
        <w:tab/>
        <w:t>Отчет о 35-й сессии МКГР, 12-23 марта 2018 г., Заявление фонда Тебтебба от имени Форума коренных народов, пункт 23, документ WIPO/GRTKF/IC/35/10.</w:t>
      </w:r>
      <w:bookmarkEnd w:id="6"/>
    </w:p>
  </w:footnote>
  <w:footnote w:id="21">
    <w:p w:rsidR="00063FCA" w:rsidRPr="009E308A" w:rsidRDefault="00063FCA" w:rsidP="00063FCA">
      <w:pPr>
        <w:pStyle w:val="FootnoteText"/>
        <w:rPr>
          <w:szCs w:val="18"/>
        </w:rPr>
      </w:pPr>
      <w:r>
        <w:rPr>
          <w:rStyle w:val="FootnoteReference"/>
          <w:szCs w:val="18"/>
        </w:rPr>
        <w:footnoteRef/>
      </w:r>
      <w:r>
        <w:t xml:space="preserve"> </w:t>
      </w:r>
      <w:r>
        <w:tab/>
        <w:t xml:space="preserve">См. </w:t>
      </w:r>
      <w:hyperlink r:id="rId11" w:history="1">
        <w:r>
          <w:rPr>
            <w:rStyle w:val="Hyperlink"/>
            <w:color w:val="0033CC"/>
          </w:rPr>
          <w:t>https://www.cbd.int/doc/guidelines/cbd-RutzolijirisaxikGuidelines-en.pdf</w:t>
        </w:r>
      </w:hyperlink>
      <w:r>
        <w:t xml:space="preserve">. </w:t>
      </w:r>
    </w:p>
  </w:footnote>
  <w:footnote w:id="22">
    <w:p w:rsidR="00063FCA" w:rsidRPr="009E308A" w:rsidRDefault="00063FCA" w:rsidP="00063FCA">
      <w:pPr>
        <w:pStyle w:val="FootnoteText"/>
        <w:rPr>
          <w:szCs w:val="18"/>
        </w:rPr>
      </w:pPr>
      <w:r>
        <w:rPr>
          <w:rStyle w:val="FootnoteReference"/>
          <w:szCs w:val="18"/>
        </w:rPr>
        <w:footnoteRef/>
      </w:r>
      <w:r>
        <w:t xml:space="preserve"> </w:t>
      </w:r>
      <w:r>
        <w:tab/>
        <w:t>Добровольное руководство Руцолихирисашик, пункт 11(k).</w:t>
      </w:r>
    </w:p>
  </w:footnote>
  <w:footnote w:id="23">
    <w:p w:rsidR="00063FCA" w:rsidRPr="00A51E29" w:rsidRDefault="00063FCA" w:rsidP="00063FCA">
      <w:pPr>
        <w:pStyle w:val="FootnoteText"/>
        <w:rPr>
          <w:szCs w:val="18"/>
          <w:lang w:val="en-US"/>
        </w:rPr>
      </w:pPr>
      <w:r>
        <w:rPr>
          <w:rStyle w:val="FootnoteReference"/>
          <w:szCs w:val="18"/>
        </w:rPr>
        <w:footnoteRef/>
      </w:r>
      <w:r w:rsidRPr="00A51E29">
        <w:rPr>
          <w:lang w:val="en-US"/>
        </w:rPr>
        <w:tab/>
      </w:r>
      <w:r>
        <w:t>См</w:t>
      </w:r>
      <w:r w:rsidRPr="00A51E29">
        <w:rPr>
          <w:lang w:val="en-US"/>
        </w:rPr>
        <w:t xml:space="preserve">. </w:t>
      </w:r>
      <w:r>
        <w:t>анализ</w:t>
      </w:r>
      <w:r w:rsidRPr="00A51E29">
        <w:rPr>
          <w:lang w:val="en-US"/>
        </w:rPr>
        <w:t xml:space="preserve"> </w:t>
      </w:r>
      <w:r>
        <w:t>этих</w:t>
      </w:r>
      <w:r w:rsidRPr="00A51E29">
        <w:rPr>
          <w:lang w:val="en-US"/>
        </w:rPr>
        <w:t xml:space="preserve"> </w:t>
      </w:r>
      <w:r>
        <w:t>вопросов</w:t>
      </w:r>
      <w:r w:rsidRPr="00A51E29">
        <w:rPr>
          <w:lang w:val="en-US"/>
        </w:rPr>
        <w:t xml:space="preserve"> </w:t>
      </w:r>
      <w:r>
        <w:t>в</w:t>
      </w:r>
      <w:r w:rsidRPr="00A51E29">
        <w:rPr>
          <w:lang w:val="en-US"/>
        </w:rPr>
        <w:t xml:space="preserve"> </w:t>
      </w:r>
      <w:r>
        <w:t>статье</w:t>
      </w:r>
      <w:r w:rsidRPr="00A51E29">
        <w:rPr>
          <w:lang w:val="en-US"/>
        </w:rPr>
        <w:t>: Patricia L. Judd, The Difficulties in Harmonizing Legal Protections for Traditional Knowledge and Intellectual Property. The Washburn Law Journal.</w:t>
      </w:r>
      <w:r w:rsidRPr="00A51E29">
        <w:rPr>
          <w:i/>
          <w:lang w:val="en-US"/>
        </w:rPr>
        <w:t xml:space="preserve"> </w:t>
      </w:r>
      <w:r w:rsidRPr="00A51E29">
        <w:rPr>
          <w:lang w:val="en-US"/>
        </w:rPr>
        <w:t xml:space="preserve">Vol. 58, 2019. p. 249-270. </w:t>
      </w:r>
    </w:p>
  </w:footnote>
  <w:footnote w:id="24">
    <w:p w:rsidR="00063FCA" w:rsidRPr="00A51E29" w:rsidRDefault="00063FCA" w:rsidP="00063FCA">
      <w:pPr>
        <w:rPr>
          <w:sz w:val="18"/>
          <w:szCs w:val="18"/>
          <w:lang w:val="en-US"/>
        </w:rPr>
      </w:pPr>
      <w:r>
        <w:rPr>
          <w:rStyle w:val="FootnoteReference"/>
          <w:sz w:val="18"/>
          <w:szCs w:val="18"/>
        </w:rPr>
        <w:footnoteRef/>
      </w:r>
      <w:r w:rsidRPr="00A51E29">
        <w:rPr>
          <w:lang w:val="en-US"/>
        </w:rPr>
        <w:tab/>
      </w:r>
      <w:r w:rsidRPr="00232C8C">
        <w:rPr>
          <w:sz w:val="18"/>
          <w:lang w:val="en-US"/>
        </w:rPr>
        <w:t xml:space="preserve">Ruth L. Okediji, Traditional Knowledge and the Public Domain.  CIGI Paper No. 176 June 2018 at p. 8, </w:t>
      </w:r>
      <w:r w:rsidRPr="00A51E29">
        <w:rPr>
          <w:sz w:val="18"/>
        </w:rPr>
        <w:t>см</w:t>
      </w:r>
      <w:r w:rsidRPr="00232C8C">
        <w:rPr>
          <w:sz w:val="18"/>
          <w:lang w:val="en-US"/>
        </w:rPr>
        <w:t xml:space="preserve">. </w:t>
      </w:r>
      <w:r w:rsidRPr="00A51E29">
        <w:rPr>
          <w:sz w:val="18"/>
        </w:rPr>
        <w:t>по</w:t>
      </w:r>
      <w:r w:rsidRPr="00232C8C">
        <w:rPr>
          <w:sz w:val="18"/>
          <w:lang w:val="en-US"/>
        </w:rPr>
        <w:t xml:space="preserve"> </w:t>
      </w:r>
      <w:r w:rsidRPr="00A51E29">
        <w:rPr>
          <w:sz w:val="18"/>
        </w:rPr>
        <w:t>адресу</w:t>
      </w:r>
      <w:r w:rsidRPr="00232C8C">
        <w:rPr>
          <w:sz w:val="18"/>
          <w:lang w:val="en-US"/>
        </w:rPr>
        <w:t>:</w:t>
      </w:r>
      <w:r w:rsidRPr="00A51E29">
        <w:rPr>
          <w:lang w:val="en-US"/>
        </w:rPr>
        <w:t xml:space="preserve"> </w:t>
      </w:r>
      <w:hyperlink r:id="rId12" w:history="1">
        <w:r w:rsidRPr="00A51E29">
          <w:rPr>
            <w:rStyle w:val="Hyperlink"/>
            <w:color w:val="0033CC"/>
            <w:sz w:val="18"/>
            <w:lang w:val="en-US"/>
          </w:rPr>
          <w:t>https://www.cigionline.org/sites/default/files/documents/Paper%20no.176web.pdf</w:t>
        </w:r>
      </w:hyperlink>
      <w:r w:rsidRPr="00A51E29">
        <w:rPr>
          <w:lang w:val="en-US"/>
        </w:rPr>
        <w:t>.</w:t>
      </w:r>
      <w:r w:rsidRPr="00A51E29">
        <w:rPr>
          <w:rStyle w:val="Hyperlink"/>
          <w:color w:val="auto"/>
          <w:sz w:val="18"/>
          <w:u w:val="none"/>
          <w:lang w:val="en-US"/>
        </w:rPr>
        <w:t xml:space="preserve"> </w:t>
      </w:r>
    </w:p>
  </w:footnote>
  <w:footnote w:id="25">
    <w:p w:rsidR="00063FCA" w:rsidRPr="00D63A1C" w:rsidRDefault="00063FCA" w:rsidP="00063FCA">
      <w:pPr>
        <w:pStyle w:val="FootnoteText"/>
        <w:rPr>
          <w:szCs w:val="18"/>
        </w:rPr>
      </w:pPr>
      <w:r>
        <w:rPr>
          <w:rStyle w:val="FootnoteReference"/>
          <w:szCs w:val="18"/>
        </w:rPr>
        <w:footnoteRef/>
      </w:r>
      <w:r>
        <w:t xml:space="preserve"> </w:t>
      </w:r>
      <w:bookmarkStart w:id="7" w:name="_Hlk49439153"/>
      <w:r>
        <w:tab/>
        <w:t xml:space="preserve">См. пункты 4-6 «Отчета о технической экспертизе», опубликованного по адресу: </w:t>
      </w:r>
      <w:hyperlink r:id="rId13" w:history="1">
        <w:r>
          <w:rPr>
            <w:rStyle w:val="Hyperlink"/>
            <w:color w:val="0033CC"/>
          </w:rPr>
          <w:t>https://www.wipo.int/edocs/mdocs/tk/ru/wipo_grtkf_ic_29/wipo_grtkf_ic_29_inf_10.pdf</w:t>
        </w:r>
      </w:hyperlink>
      <w:r>
        <w:rPr>
          <w:rStyle w:val="Hyperlink"/>
          <w:color w:val="auto"/>
          <w:u w:val="none"/>
        </w:rPr>
        <w:t xml:space="preserve">. </w:t>
      </w:r>
    </w:p>
    <w:bookmarkEnd w:id="7"/>
  </w:footnote>
  <w:footnote w:id="26">
    <w:p w:rsidR="00063FCA" w:rsidRPr="00D63A1C" w:rsidRDefault="00063FCA" w:rsidP="00063FCA">
      <w:pPr>
        <w:pStyle w:val="FootnoteText"/>
        <w:rPr>
          <w:szCs w:val="18"/>
        </w:rPr>
      </w:pPr>
      <w:r>
        <w:rPr>
          <w:rStyle w:val="FootnoteReference"/>
          <w:szCs w:val="18"/>
        </w:rPr>
        <w:footnoteRef/>
      </w:r>
      <w:r>
        <w:t xml:space="preserve"> </w:t>
      </w:r>
      <w:r>
        <w:tab/>
        <w:t xml:space="preserve">Bagley, там же. </w:t>
      </w:r>
    </w:p>
  </w:footnote>
  <w:footnote w:id="27">
    <w:p w:rsidR="00063FCA" w:rsidRPr="008B5CD1" w:rsidRDefault="00063FCA" w:rsidP="00063FCA">
      <w:pPr>
        <w:pStyle w:val="FootnoteText"/>
        <w:rPr>
          <w:szCs w:val="18"/>
        </w:rPr>
      </w:pPr>
      <w:r>
        <w:rPr>
          <w:rStyle w:val="FootnoteReference"/>
          <w:szCs w:val="18"/>
        </w:rPr>
        <w:footnoteRef/>
      </w:r>
      <w:r>
        <w:t xml:space="preserve"> </w:t>
      </w:r>
      <w:r>
        <w:tab/>
        <w:t>ДПКНООН, статья 19.</w:t>
      </w:r>
    </w:p>
  </w:footnote>
  <w:footnote w:id="28">
    <w:p w:rsidR="00063FCA" w:rsidRPr="008B5CD1" w:rsidRDefault="00063FCA" w:rsidP="00063FCA">
      <w:pPr>
        <w:pStyle w:val="FootnoteText"/>
        <w:rPr>
          <w:szCs w:val="18"/>
        </w:rPr>
      </w:pPr>
      <w:r>
        <w:rPr>
          <w:rStyle w:val="FootnoteReference"/>
          <w:szCs w:val="18"/>
        </w:rPr>
        <w:footnoteRef/>
      </w:r>
      <w:r w:rsidRPr="00A51E29">
        <w:rPr>
          <w:lang w:val="en-US"/>
        </w:rPr>
        <w:tab/>
      </w:r>
      <w:r>
        <w:t>См</w:t>
      </w:r>
      <w:r w:rsidRPr="00A51E29">
        <w:rPr>
          <w:lang w:val="en-US"/>
        </w:rPr>
        <w:t xml:space="preserve">. WIPO Study on Limitations and Exceptions of Copyright and Related Rights in the Digital Environment. </w:t>
      </w:r>
      <w:r>
        <w:t xml:space="preserve">Постоянный комитет по авторскому праву и смежным правам. Женева, 23-27 июня 2003 г., размещено по адресу: </w:t>
      </w:r>
      <w:hyperlink r:id="rId14" w:history="1">
        <w:r>
          <w:rPr>
            <w:rStyle w:val="Hyperlink"/>
            <w:color w:val="0033CC"/>
          </w:rPr>
          <w:t>https://www.wipo.int/edocs/mdocs/copyright/en/sccr_9/sccr_9_7.pdf</w:t>
        </w:r>
      </w:hyperlink>
      <w:r>
        <w:t xml:space="preserve">. </w:t>
      </w:r>
    </w:p>
  </w:footnote>
  <w:footnote w:id="29">
    <w:p w:rsidR="00063FCA" w:rsidRPr="008B5CD1" w:rsidRDefault="00063FCA" w:rsidP="00063FCA">
      <w:pPr>
        <w:pStyle w:val="FootnoteText"/>
        <w:rPr>
          <w:szCs w:val="18"/>
        </w:rPr>
      </w:pPr>
      <w:r>
        <w:rPr>
          <w:rStyle w:val="FootnoteReference"/>
          <w:szCs w:val="18"/>
        </w:rPr>
        <w:footnoteRef/>
      </w:r>
      <w:r>
        <w:t xml:space="preserve"> </w:t>
      </w:r>
      <w:bookmarkStart w:id="8" w:name="_Hlk49439170"/>
      <w:r>
        <w:tab/>
        <w:t>См. документ WO/GA/51/12, стр. 21 приложения I: «Исключения и ограничения».</w:t>
      </w:r>
      <w:bookmarkEnd w:id="8"/>
    </w:p>
  </w:footnote>
  <w:footnote w:id="30">
    <w:p w:rsidR="00063FCA" w:rsidRPr="008B5CD1" w:rsidRDefault="00063FCA" w:rsidP="00063FCA">
      <w:pPr>
        <w:pStyle w:val="FootnoteText"/>
        <w:rPr>
          <w:szCs w:val="18"/>
        </w:rPr>
      </w:pPr>
      <w:r>
        <w:rPr>
          <w:rStyle w:val="FootnoteReference"/>
          <w:szCs w:val="18"/>
        </w:rPr>
        <w:footnoteRef/>
      </w:r>
      <w:r>
        <w:tab/>
        <w:t xml:space="preserve">Статьи 11(2) и 19 ДПКНООН. </w:t>
      </w:r>
    </w:p>
  </w:footnote>
  <w:footnote w:id="31">
    <w:p w:rsidR="00063FCA" w:rsidRPr="00A51E29" w:rsidRDefault="00063FCA" w:rsidP="00063FCA">
      <w:pPr>
        <w:rPr>
          <w:sz w:val="18"/>
          <w:szCs w:val="18"/>
        </w:rPr>
      </w:pPr>
      <w:r>
        <w:rPr>
          <w:rStyle w:val="FootnoteReference"/>
          <w:sz w:val="18"/>
          <w:szCs w:val="18"/>
        </w:rPr>
        <w:footnoteRef/>
      </w:r>
      <w:r>
        <w:tab/>
      </w:r>
      <w:r w:rsidRPr="00A51E29">
        <w:rPr>
          <w:sz w:val="18"/>
          <w:szCs w:val="18"/>
        </w:rPr>
        <w:t xml:space="preserve">См. статью 32.5 Соглашения по адресу: </w:t>
      </w:r>
      <w:hyperlink r:id="rId15" w:history="1">
        <w:r w:rsidRPr="00A51E29">
          <w:rPr>
            <w:rStyle w:val="Hyperlink"/>
            <w:color w:val="0033CC"/>
            <w:sz w:val="18"/>
            <w:szCs w:val="18"/>
          </w:rPr>
          <w:t>https://ustr.gov/sites/default/files/files/agreements/FTA/USMCA/Text/32_Exceptions_and_General_Provisions.pdf</w:t>
        </w:r>
      </w:hyperlink>
      <w:r w:rsidRPr="00A51E29">
        <w:rPr>
          <w:rStyle w:val="Hyperlink"/>
          <w:color w:val="auto"/>
          <w:sz w:val="18"/>
          <w:szCs w:val="18"/>
          <w:u w:val="none"/>
        </w:rPr>
        <w:t>.</w:t>
      </w:r>
    </w:p>
  </w:footnote>
  <w:footnote w:id="32">
    <w:p w:rsidR="00063FCA" w:rsidRPr="00A51E29" w:rsidRDefault="00063FCA" w:rsidP="00063FCA">
      <w:pPr>
        <w:rPr>
          <w:sz w:val="18"/>
          <w:szCs w:val="18"/>
        </w:rPr>
      </w:pPr>
      <w:r w:rsidRPr="00A51E29">
        <w:rPr>
          <w:rStyle w:val="FootnoteReference"/>
          <w:sz w:val="18"/>
          <w:szCs w:val="18"/>
        </w:rPr>
        <w:footnoteRef/>
      </w:r>
      <w:r w:rsidRPr="00A51E29">
        <w:rPr>
          <w:sz w:val="18"/>
          <w:szCs w:val="18"/>
        </w:rPr>
        <w:tab/>
        <w:t>Отчет о 38-й сессии МКГР, 10-14 декабря 2018 г., заявление Центра междисциплинарных исследований народности аймара (CEM-Aymara) от имени форума коренных народов, пункты 197 и 215 (документ WIPO/GRTKF/IC/38/16).</w:t>
      </w:r>
    </w:p>
  </w:footnote>
  <w:footnote w:id="33">
    <w:p w:rsidR="00063FCA" w:rsidRPr="00A51E29" w:rsidRDefault="00063FCA" w:rsidP="00063FCA">
      <w:pPr>
        <w:pStyle w:val="FootnoteText"/>
        <w:rPr>
          <w:szCs w:val="18"/>
          <w:lang w:val="en-US"/>
        </w:rPr>
      </w:pPr>
      <w:r>
        <w:rPr>
          <w:rStyle w:val="FootnoteReference"/>
          <w:szCs w:val="18"/>
        </w:rPr>
        <w:footnoteRef/>
      </w:r>
      <w:r w:rsidRPr="00A51E29">
        <w:rPr>
          <w:lang w:val="en-US"/>
        </w:rPr>
        <w:tab/>
      </w:r>
      <w:r>
        <w:t>См</w:t>
      </w:r>
      <w:r w:rsidRPr="00A51E29">
        <w:rPr>
          <w:lang w:val="en-US"/>
        </w:rPr>
        <w:t xml:space="preserve">. Anupam Chander and Madhavi Sunder, The Romance of Public Domain, California Law Review [Vol. 92:2004].  </w:t>
      </w:r>
    </w:p>
  </w:footnote>
  <w:footnote w:id="34">
    <w:p w:rsidR="00063FCA" w:rsidRPr="00CB512C" w:rsidRDefault="00063FCA" w:rsidP="00063FCA">
      <w:pPr>
        <w:rPr>
          <w:sz w:val="18"/>
          <w:szCs w:val="18"/>
        </w:rPr>
      </w:pPr>
      <w:r>
        <w:rPr>
          <w:rStyle w:val="FootnoteReference"/>
          <w:sz w:val="18"/>
          <w:szCs w:val="18"/>
        </w:rPr>
        <w:footnoteRef/>
      </w:r>
      <w:r>
        <w:rPr>
          <w:sz w:val="18"/>
        </w:rPr>
        <w:t xml:space="preserve"> </w:t>
      </w:r>
      <w:r w:rsidR="00A51E29">
        <w:rPr>
          <w:sz w:val="18"/>
        </w:rPr>
        <w:tab/>
      </w:r>
      <w:r>
        <w:rPr>
          <w:sz w:val="18"/>
        </w:rPr>
        <w:t>Решение КС КБР № VIII/5 B, пункт 5; Решение КС КБР № IX/13 – документ UNEP/CBD/COP/DEC/IX/13.</w:t>
      </w:r>
    </w:p>
  </w:footnote>
  <w:footnote w:id="35">
    <w:p w:rsidR="00063FCA" w:rsidRPr="00A51E29" w:rsidRDefault="00063FCA" w:rsidP="00063FCA">
      <w:pPr>
        <w:rPr>
          <w:sz w:val="18"/>
          <w:szCs w:val="18"/>
        </w:rPr>
      </w:pPr>
      <w:r>
        <w:rPr>
          <w:rStyle w:val="FootnoteReference"/>
          <w:sz w:val="18"/>
          <w:szCs w:val="18"/>
        </w:rPr>
        <w:footnoteRef/>
      </w:r>
      <w:r w:rsidR="00A51E29">
        <w:rPr>
          <w:sz w:val="18"/>
          <w:szCs w:val="18"/>
        </w:rPr>
        <w:t xml:space="preserve"> </w:t>
      </w:r>
      <w:r w:rsidR="00A51E29">
        <w:rPr>
          <w:sz w:val="18"/>
          <w:szCs w:val="18"/>
        </w:rPr>
        <w:tab/>
      </w:r>
      <w:r w:rsidRPr="00A51E29">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rsidR="00063FCA" w:rsidRPr="00CB512C" w:rsidRDefault="00063FCA" w:rsidP="00063FCA">
      <w:pPr>
        <w:pStyle w:val="FootnoteText"/>
        <w:rPr>
          <w:szCs w:val="18"/>
        </w:rPr>
      </w:pPr>
      <w:r>
        <w:rPr>
          <w:rStyle w:val="FootnoteReference"/>
          <w:szCs w:val="18"/>
        </w:rPr>
        <w:footnoteRef/>
      </w:r>
      <w:r>
        <w:rPr>
          <w:i/>
        </w:rPr>
        <w:t xml:space="preserve"> </w:t>
      </w:r>
      <w:r>
        <w:rPr>
          <w:i/>
        </w:rPr>
        <w:tab/>
      </w:r>
      <w:r>
        <w:t>ДПКНООН, статья 31.</w:t>
      </w:r>
    </w:p>
  </w:footnote>
  <w:footnote w:id="37">
    <w:p w:rsidR="00063FCA" w:rsidRPr="00CB512C" w:rsidRDefault="00063FCA" w:rsidP="00063FCA">
      <w:pPr>
        <w:pStyle w:val="FootnoteText"/>
        <w:rPr>
          <w:szCs w:val="18"/>
        </w:rPr>
      </w:pPr>
      <w:r>
        <w:rPr>
          <w:rStyle w:val="FootnoteReference"/>
          <w:szCs w:val="18"/>
        </w:rPr>
        <w:footnoteRef/>
      </w:r>
      <w:r>
        <w:t xml:space="preserve"> </w:t>
      </w:r>
      <w:r>
        <w:tab/>
        <w:t xml:space="preserve">ДПКНООН, ст. 4, ст. 32; документ WIPO/GRTKF/IC/29/INF/10, размещенный по адресу: </w:t>
      </w:r>
      <w:hyperlink r:id="rId16" w:history="1">
        <w:r>
          <w:rPr>
            <w:rStyle w:val="Hyperlink"/>
            <w:color w:val="0033CC"/>
          </w:rPr>
          <w:t>https://www.wipo.int/edocs/mdocs/tk/en/wipo_grtkf_ic_29/wipo_grtkf_ic_29_inf_10.pdf</w:t>
        </w:r>
      </w:hyperlink>
      <w:r>
        <w:rPr>
          <w:rStyle w:val="Hyperlink"/>
          <w:color w:val="auto"/>
          <w:u w:val="none"/>
        </w:rPr>
        <w:t>.</w:t>
      </w:r>
    </w:p>
  </w:footnote>
  <w:footnote w:id="38">
    <w:p w:rsidR="00063FCA" w:rsidRPr="00CB512C"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17" w:history="1">
        <w:r>
          <w:rPr>
            <w:rStyle w:val="Hyperlink"/>
            <w:color w:val="0033CC"/>
          </w:rPr>
          <w:t>https://www.wipo.int/edocs/mdocs/tk/ru/wipo_grtkf_ic_29/wipo_grtkf_ic_29_inf_10.pdf</w:t>
        </w:r>
      </w:hyperlink>
      <w:r>
        <w:t>.</w:t>
      </w:r>
    </w:p>
  </w:footnote>
  <w:footnote w:id="39">
    <w:p w:rsidR="00063FCA" w:rsidRPr="00CB512C" w:rsidRDefault="00063FCA" w:rsidP="00063FCA">
      <w:pPr>
        <w:pStyle w:val="FootnoteText"/>
        <w:rPr>
          <w:szCs w:val="18"/>
        </w:rPr>
      </w:pPr>
      <w:r>
        <w:rPr>
          <w:rStyle w:val="FootnoteReference"/>
          <w:szCs w:val="18"/>
        </w:rPr>
        <w:footnoteRef/>
      </w:r>
      <w:r>
        <w:tab/>
        <w:t xml:space="preserve">Нагойский протокол, статья 6(3); Промежуточный национальный доклад в рамках Механизма посредничества для регулирования ДГРСИВ об осуществлении Нагойского протокола.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8" w:history="1">
        <w:r>
          <w:rPr>
            <w:rStyle w:val="Hyperlink"/>
            <w:color w:val="0033CC"/>
          </w:rPr>
          <w:t>https://absch.cbd.int/reports/analyzer</w:t>
        </w:r>
      </w:hyperlink>
      <w:r>
        <w:t>, 11 мая 2020 г.</w:t>
      </w:r>
    </w:p>
  </w:footnote>
  <w:footnote w:id="40">
    <w:p w:rsidR="00063FCA" w:rsidRPr="00CB512C" w:rsidRDefault="00063FCA" w:rsidP="00063FCA">
      <w:pPr>
        <w:pStyle w:val="FootnoteText"/>
        <w:rPr>
          <w:szCs w:val="18"/>
        </w:rPr>
      </w:pPr>
      <w:r>
        <w:rPr>
          <w:rStyle w:val="FootnoteReference"/>
          <w:szCs w:val="18"/>
        </w:rPr>
        <w:footnoteRef/>
      </w:r>
      <w:r>
        <w:tab/>
        <w:t xml:space="preserve">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9" w:history="1">
        <w:r>
          <w:rPr>
            <w:rStyle w:val="Hyperlink"/>
            <w:color w:val="0033CC"/>
          </w:rPr>
          <w:t>https://absch.cbd.int/reports/analyzer</w:t>
        </w:r>
      </w:hyperlink>
      <w:r>
        <w:t xml:space="preserve">, 11 мая 2020 г. </w:t>
      </w:r>
    </w:p>
    <w:p w:rsidR="00063FCA" w:rsidRPr="00CB512C" w:rsidRDefault="00063FCA" w:rsidP="00063FCA">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rsidR="00063FCA" w:rsidRPr="008B5CD1" w:rsidRDefault="00063FCA" w:rsidP="00063FCA">
      <w:pPr>
        <w:pStyle w:val="FootnoteText"/>
        <w:rPr>
          <w:szCs w:val="18"/>
        </w:rPr>
      </w:pPr>
      <w:r>
        <w:rPr>
          <w:rStyle w:val="FootnoteReference"/>
          <w:szCs w:val="18"/>
        </w:rPr>
        <w:footnoteRef/>
      </w:r>
      <w:r>
        <w:t xml:space="preserve"> </w:t>
      </w:r>
      <w:r>
        <w:tab/>
        <w:t xml:space="preserve">Специальная группа технических экспертов КБР по цифровой информации о последовательностях в отношении генетических ресурсов (DSI-AHTEG);  Manuel Ruiz Muller, </w:t>
      </w:r>
      <w:r>
        <w:rPr>
          <w:i/>
        </w:rPr>
        <w:t>Access to Genetic Resources and Benefit Sharing 25 Years on: Progress and Challenges</w:t>
      </w:r>
      <w:r>
        <w:t xml:space="preserve"> (International Centre for Trade and Development, Issue Paper No.44, 2018), vii. </w:t>
      </w:r>
      <w:hyperlink r:id="rId20" w:history="1">
        <w:r>
          <w:rPr>
            <w:rStyle w:val="Hyperlink"/>
            <w:color w:val="0033CC"/>
          </w:rPr>
          <w:t>&lt;https://www.voices4biojustice.org/wp-content/uploads/2018/12/Access-to-Genetic-Resources-and-Benefit-Sharing-25-Years-On-Progress-and-Challenges.pdf&gt;</w:t>
        </w:r>
      </w:hyperlink>
      <w:r>
        <w:t xml:space="preserve">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rsidR="00063FCA" w:rsidRPr="008B5CD1" w:rsidRDefault="00063FCA" w:rsidP="00063FCA">
      <w:pPr>
        <w:pStyle w:val="FootnoteText"/>
        <w:rPr>
          <w:szCs w:val="18"/>
        </w:rPr>
      </w:pPr>
      <w:r>
        <w:rPr>
          <w:rStyle w:val="FootnoteReference"/>
          <w:szCs w:val="18"/>
        </w:rPr>
        <w:footnoteRef/>
      </w:r>
      <w:r>
        <w:t xml:space="preserve"> </w:t>
      </w:r>
      <w:r>
        <w:tab/>
        <w:t>ДПКНООН, статья 31, статья 23.</w:t>
      </w:r>
    </w:p>
  </w:footnote>
  <w:footnote w:id="43">
    <w:p w:rsidR="00063FCA" w:rsidRPr="008B5CD1" w:rsidRDefault="00063FCA" w:rsidP="00063FCA">
      <w:pPr>
        <w:pStyle w:val="FootnoteText"/>
        <w:rPr>
          <w:szCs w:val="18"/>
        </w:rPr>
      </w:pPr>
      <w:r>
        <w:rPr>
          <w:rStyle w:val="FootnoteReference"/>
          <w:szCs w:val="18"/>
        </w:rPr>
        <w:footnoteRef/>
      </w:r>
      <w:r>
        <w:t xml:space="preserve"> </w:t>
      </w:r>
      <w:r w:rsidR="00A51E29">
        <w:tab/>
      </w:r>
      <w:r>
        <w:t>CBD/COP/DEC/XIII/16 – Решение Конференции сторон КБР от 16 декабря 2016 года; CBD/NP/MOP/DEC/2/14 – Решение сторон Нагойского протокола от 16 декабря 2016 г.; текст Председателя, статья 9.</w:t>
      </w:r>
    </w:p>
  </w:footnote>
  <w:footnote w:id="44">
    <w:p w:rsidR="00063FCA" w:rsidRPr="00A51E29" w:rsidRDefault="00063FCA" w:rsidP="00063FCA">
      <w:pPr>
        <w:rPr>
          <w:sz w:val="18"/>
          <w:szCs w:val="18"/>
        </w:rPr>
      </w:pPr>
      <w:r>
        <w:rPr>
          <w:rStyle w:val="FootnoteReference"/>
          <w:sz w:val="18"/>
          <w:szCs w:val="18"/>
        </w:rPr>
        <w:footnoteRef/>
      </w:r>
      <w:r>
        <w:t xml:space="preserve"> </w:t>
      </w:r>
      <w:r w:rsidRPr="00A51E29">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w:t>
      </w:r>
      <w:r w:rsidR="00A51E29">
        <w:rPr>
          <w:sz w:val="18"/>
          <w:szCs w:val="18"/>
        </w:rPr>
        <w:t>18 года, CBD/DSI/AHTEG/2018/1/4</w:t>
      </w:r>
      <w:r w:rsidRPr="00A51E29">
        <w:rPr>
          <w:sz w:val="18"/>
          <w:szCs w:val="18"/>
        </w:rPr>
        <w:t>.</w:t>
      </w:r>
    </w:p>
  </w:footnote>
  <w:footnote w:id="45">
    <w:p w:rsidR="00063FCA" w:rsidRPr="008B5CD1" w:rsidRDefault="00063FCA" w:rsidP="00063FCA">
      <w:pPr>
        <w:pStyle w:val="FootnoteText"/>
        <w:rPr>
          <w:szCs w:val="18"/>
        </w:rPr>
      </w:pPr>
      <w:r>
        <w:rPr>
          <w:rStyle w:val="FootnoteReference"/>
          <w:szCs w:val="18"/>
        </w:rPr>
        <w:footnoteRef/>
      </w:r>
      <w:r>
        <w:t xml:space="preserve"> </w:t>
      </w:r>
      <w:r>
        <w:tab/>
        <w:t>Текст Председателя, вступительные замечания; сводный текст, ст.</w:t>
      </w:r>
      <w:r w:rsidR="00232C8C">
        <w:t xml:space="preserve"> </w:t>
      </w:r>
      <w:r>
        <w:t>10.4.</w:t>
      </w:r>
    </w:p>
  </w:footnote>
  <w:footnote w:id="46">
    <w:p w:rsidR="00063FCA" w:rsidRPr="008B5CD1" w:rsidRDefault="00063FCA" w:rsidP="00063FCA">
      <w:pPr>
        <w:pStyle w:val="FootnoteText"/>
        <w:rPr>
          <w:szCs w:val="18"/>
        </w:rPr>
      </w:pPr>
      <w:r>
        <w:rPr>
          <w:rStyle w:val="FootnoteReference"/>
          <w:szCs w:val="18"/>
        </w:rPr>
        <w:footnoteRef/>
      </w:r>
      <w:r>
        <w:t xml:space="preserve"> </w:t>
      </w:r>
      <w:r>
        <w:tab/>
        <w:t xml:space="preserve">Текст </w:t>
      </w:r>
      <w:r w:rsidR="00A51E29">
        <w:t>П</w:t>
      </w:r>
      <w:r>
        <w:t>редседателя, ст. 3.1, ст. 3.2; сводный текст, ст.</w:t>
      </w:r>
      <w:r w:rsidR="00232C8C">
        <w:t xml:space="preserve"> </w:t>
      </w:r>
      <w:bookmarkStart w:id="9" w:name="_GoBack"/>
      <w:bookmarkEnd w:id="9"/>
      <w:r>
        <w:t>10.4.</w:t>
      </w:r>
    </w:p>
  </w:footnote>
  <w:footnote w:id="47">
    <w:p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sidRPr="00A51E29">
        <w:rPr>
          <w:sz w:val="18"/>
          <w:szCs w:val="18"/>
        </w:rPr>
        <w:t>Текст</w:t>
      </w:r>
      <w:r w:rsidRPr="00A51E29">
        <w:rPr>
          <w:sz w:val="18"/>
          <w:szCs w:val="18"/>
          <w:lang w:val="en-US"/>
        </w:rPr>
        <w:t xml:space="preserve"> </w:t>
      </w:r>
      <w:r w:rsidR="00A51E29">
        <w:rPr>
          <w:sz w:val="18"/>
          <w:szCs w:val="18"/>
        </w:rPr>
        <w:t>П</w:t>
      </w:r>
      <w:r w:rsidRPr="00A51E29">
        <w:rPr>
          <w:sz w:val="18"/>
          <w:szCs w:val="18"/>
        </w:rPr>
        <w:t>редседателя</w:t>
      </w:r>
      <w:r w:rsidRPr="00A51E29">
        <w:rPr>
          <w:sz w:val="18"/>
          <w:szCs w:val="18"/>
          <w:lang w:val="en-US"/>
        </w:rPr>
        <w:t xml:space="preserve">, </w:t>
      </w:r>
      <w:r w:rsidRPr="00A51E29">
        <w:rPr>
          <w:sz w:val="18"/>
          <w:szCs w:val="18"/>
        </w:rPr>
        <w:t>ст</w:t>
      </w:r>
      <w:r w:rsidRPr="00A51E29">
        <w:rPr>
          <w:sz w:val="18"/>
          <w:szCs w:val="18"/>
          <w:lang w:val="en-US"/>
        </w:rPr>
        <w:t xml:space="preserve">. 3, </w:t>
      </w:r>
      <w:r w:rsidRPr="00A51E29">
        <w:rPr>
          <w:sz w:val="18"/>
          <w:szCs w:val="18"/>
        </w:rPr>
        <w:t>примечания</w:t>
      </w:r>
      <w:r w:rsidRPr="00A51E29">
        <w:rPr>
          <w:sz w:val="18"/>
          <w:szCs w:val="18"/>
          <w:lang w:val="en-US"/>
        </w:rPr>
        <w:t xml:space="preserve"> </w:t>
      </w:r>
      <w:r w:rsidRPr="00A51E29">
        <w:rPr>
          <w:sz w:val="18"/>
          <w:szCs w:val="18"/>
        </w:rPr>
        <w:t>к</w:t>
      </w:r>
      <w:r w:rsidRPr="00A51E29">
        <w:rPr>
          <w:sz w:val="18"/>
          <w:szCs w:val="18"/>
          <w:lang w:val="en-US"/>
        </w:rPr>
        <w:t xml:space="preserve"> </w:t>
      </w:r>
      <w:r w:rsidRPr="00A51E29">
        <w:rPr>
          <w:sz w:val="18"/>
          <w:szCs w:val="18"/>
        </w:rPr>
        <w:t>ст</w:t>
      </w:r>
      <w:r w:rsidRPr="00A51E29">
        <w:rPr>
          <w:sz w:val="18"/>
          <w:szCs w:val="18"/>
          <w:lang w:val="en-US"/>
        </w:rPr>
        <w:t>.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rsidR="00063FCA" w:rsidRPr="008B5CD1" w:rsidRDefault="00063FCA" w:rsidP="00063FCA">
      <w:pPr>
        <w:pStyle w:val="FootnoteText"/>
        <w:rPr>
          <w:szCs w:val="18"/>
        </w:rPr>
      </w:pPr>
      <w:r>
        <w:rPr>
          <w:rStyle w:val="FootnoteReference"/>
          <w:szCs w:val="18"/>
        </w:rPr>
        <w:footnoteRef/>
      </w:r>
      <w:r>
        <w:t xml:space="preserve"> </w:t>
      </w:r>
      <w:r>
        <w:tab/>
        <w:t>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WIPO/GRTKF/IC/35/10, пункт 23.</w:t>
      </w:r>
    </w:p>
  </w:footnote>
  <w:footnote w:id="49">
    <w:p w:rsidR="00063FCA" w:rsidRPr="00A51E29" w:rsidRDefault="00063FCA" w:rsidP="00063FCA">
      <w:pPr>
        <w:rPr>
          <w:sz w:val="18"/>
          <w:szCs w:val="18"/>
        </w:rPr>
      </w:pPr>
      <w:r>
        <w:rPr>
          <w:rStyle w:val="FootnoteReference"/>
          <w:sz w:val="18"/>
          <w:szCs w:val="18"/>
        </w:rPr>
        <w:footnoteRef/>
      </w:r>
      <w:r>
        <w:t xml:space="preserve"> </w:t>
      </w:r>
      <w:r>
        <w:tab/>
      </w:r>
      <w:r w:rsidRPr="00A51E29">
        <w:rPr>
          <w:sz w:val="18"/>
          <w:szCs w:val="18"/>
        </w:rPr>
        <w:t>CBD AHTEG DSI, 13-16 февраля 2018 года, CBD/DSI/AHTEG/2018/1/4, пункт 29.</w:t>
      </w:r>
    </w:p>
  </w:footnote>
  <w:footnote w:id="50">
    <w:p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Текст Председателя, ст. 6.5.</w:t>
      </w:r>
    </w:p>
  </w:footnote>
  <w:footnote w:id="51">
    <w:p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Сводный текст, статья 6.4</w:t>
      </w:r>
    </w:p>
  </w:footnote>
  <w:footnote w:id="52">
    <w:p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ДПКНООН, ст. 27, ст. 39, ст. 40; Международный пакт о гражданских и политических правах (</w:t>
      </w:r>
      <w:r w:rsidRPr="00A51E29">
        <w:rPr>
          <w:i/>
          <w:szCs w:val="18"/>
        </w:rPr>
        <w:t>МПГПП)</w:t>
      </w:r>
      <w:r w:rsidRPr="00A51E29">
        <w:rPr>
          <w:szCs w:val="18"/>
        </w:rPr>
        <w:t>, Замечание общего порядка № 23.</w:t>
      </w:r>
    </w:p>
  </w:footnote>
  <w:footnote w:id="53">
    <w:p w:rsidR="00063FCA" w:rsidRPr="00A51E29" w:rsidRDefault="00063FCA" w:rsidP="00063FCA">
      <w:pPr>
        <w:rPr>
          <w:sz w:val="18"/>
          <w:szCs w:val="18"/>
          <w:lang w:val="en-US"/>
        </w:rPr>
      </w:pPr>
      <w:r w:rsidRPr="00A51E29">
        <w:rPr>
          <w:rStyle w:val="FootnoteReference"/>
          <w:sz w:val="18"/>
          <w:szCs w:val="18"/>
        </w:rPr>
        <w:footnoteRef/>
      </w:r>
      <w:r w:rsidRPr="00A51E29">
        <w:rPr>
          <w:sz w:val="18"/>
          <w:szCs w:val="18"/>
        </w:rPr>
        <w:t xml:space="preserve"> </w:t>
      </w:r>
      <w:r w:rsidRPr="00A51E29">
        <w:rPr>
          <w:sz w:val="18"/>
          <w:szCs w:val="18"/>
        </w:rPr>
        <w:tab/>
        <w:t xml:space="preserve">CBD AHTEG DSI, 13-16 февраля 2018 года, CBD/DSI/AHTEG/2018/1/4, пункт 29. </w:t>
      </w:r>
      <w:r w:rsidRPr="00A51E29">
        <w:rPr>
          <w:sz w:val="18"/>
          <w:szCs w:val="18"/>
          <w:lang w:val="en-US"/>
        </w:rPr>
        <w:t xml:space="preserve">Frederic Perron-Welch, Blockchain Technology and Access and Benefit Sharing, 7 </w:t>
      </w:r>
      <w:r w:rsidRPr="00A51E29">
        <w:rPr>
          <w:sz w:val="18"/>
          <w:szCs w:val="18"/>
        </w:rPr>
        <w:t>августа</w:t>
      </w:r>
      <w:r w:rsidRPr="00A51E29">
        <w:rPr>
          <w:sz w:val="18"/>
          <w:szCs w:val="18"/>
          <w:lang w:val="en-US"/>
        </w:rPr>
        <w:t xml:space="preserve"> 2018 </w:t>
      </w:r>
      <w:r w:rsidRPr="00A51E29">
        <w:rPr>
          <w:sz w:val="18"/>
          <w:szCs w:val="18"/>
        </w:rPr>
        <w:t>года</w:t>
      </w:r>
      <w:r w:rsidR="00A51E29" w:rsidRPr="00A51E29">
        <w:rPr>
          <w:sz w:val="18"/>
          <w:szCs w:val="18"/>
          <w:lang w:val="en-US"/>
        </w:rPr>
        <w:t>.</w:t>
      </w:r>
      <w:r w:rsidRPr="00A51E29">
        <w:rPr>
          <w:sz w:val="18"/>
          <w:szCs w:val="18"/>
          <w:lang w:val="en-US"/>
        </w:rPr>
        <w:t xml:space="preserve"> </w:t>
      </w:r>
    </w:p>
  </w:footnote>
  <w:footnote w:id="54">
    <w:p w:rsidR="00063FCA" w:rsidRPr="008B5CD1" w:rsidRDefault="00063FCA" w:rsidP="00063FCA">
      <w:pPr>
        <w:pStyle w:val="FootnoteText"/>
        <w:rPr>
          <w:szCs w:val="18"/>
        </w:rPr>
      </w:pPr>
      <w:r>
        <w:rPr>
          <w:rStyle w:val="FootnoteReference"/>
          <w:szCs w:val="18"/>
        </w:rPr>
        <w:footnoteRef/>
      </w:r>
      <w:r>
        <w:t xml:space="preserve"> </w:t>
      </w:r>
      <w:r>
        <w:tab/>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Pr="00A51E29" w:rsidRDefault="00063FCA" w:rsidP="000F2AD2">
    <w:pPr>
      <w:jc w:val="right"/>
      <w:rPr>
        <w:lang w:val="en-US"/>
      </w:rPr>
    </w:pPr>
    <w:r w:rsidRPr="00A51E29">
      <w:rPr>
        <w:lang w:val="en-US"/>
      </w:rPr>
      <w:t>WIPO/GRTKF/IC/47/INF/8</w:t>
    </w:r>
  </w:p>
  <w:p w:rsidR="00063FCA" w:rsidRDefault="00063FCA" w:rsidP="000F2AD2">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rsidR="00232C8C" w:rsidRPr="00232C8C">
      <w:rPr>
        <w:noProof/>
      </w:rPr>
      <w:t>2</w:t>
    </w:r>
    <w:r>
      <w:fldChar w:fldCharType="end"/>
    </w:r>
  </w:p>
  <w:p w:rsidR="00063FCA" w:rsidRDefault="00063FC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Pr="00A51E29" w:rsidRDefault="00063FCA" w:rsidP="00477D6B">
    <w:pPr>
      <w:jc w:val="right"/>
      <w:rPr>
        <w:lang w:val="en-US"/>
      </w:rPr>
    </w:pPr>
    <w:r w:rsidRPr="00A51E29">
      <w:rPr>
        <w:lang w:val="en-US"/>
      </w:rPr>
      <w:t>WIPO/GRTKF/IC/46/INF/8</w:t>
    </w:r>
  </w:p>
  <w:p w:rsidR="00063FCA" w:rsidRDefault="00063FCA" w:rsidP="00477D6B">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t>1</w:t>
    </w:r>
    <w:r>
      <w:fldChar w:fldCharType="end"/>
    </w:r>
  </w:p>
  <w:p w:rsidR="00063FCA" w:rsidRDefault="00063FCA" w:rsidP="00477D6B">
    <w:pPr>
      <w:jc w:val="right"/>
    </w:pPr>
  </w:p>
  <w:p w:rsidR="00063FCA" w:rsidRDefault="00063FC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EE9" w:rsidRDefault="00746E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2E" w:rsidRDefault="00067F2E" w:rsidP="000F2AD2">
    <w:pPr>
      <w:jc w:val="right"/>
    </w:pPr>
    <w:r>
      <w:t>WIPO/GRTKF/IC/47/INF/8</w:t>
    </w:r>
  </w:p>
  <w:p w:rsidR="00067F2E" w:rsidRDefault="00067F2E" w:rsidP="000F2AD2">
    <w:pPr>
      <w:jc w:val="right"/>
    </w:pPr>
    <w:r>
      <w:t xml:space="preserve">Приложение, стр. </w:t>
    </w:r>
    <w:r>
      <w:fldChar w:fldCharType="begin"/>
    </w:r>
    <w:r>
      <w:instrText xml:space="preserve"> PAGE  \* MERGEFORMAT </w:instrText>
    </w:r>
    <w:r>
      <w:fldChar w:fldCharType="separate"/>
    </w:r>
    <w:r w:rsidR="00232C8C">
      <w:rPr>
        <w:noProof/>
      </w:rPr>
      <w:t>10</w:t>
    </w:r>
    <w:r>
      <w:fldChar w:fldCharType="end"/>
    </w:r>
  </w:p>
  <w:p w:rsidR="00067F2E" w:rsidRDefault="00067F2E"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063FCA">
    <w:pPr>
      <w:jc w:val="right"/>
    </w:pPr>
    <w:r>
      <w:t>WIPO/GRTKF/IC/47/INF/8</w:t>
    </w:r>
  </w:p>
  <w:p w:rsidR="00071A34" w:rsidRDefault="00063FCA" w:rsidP="00063FCA">
    <w:pPr>
      <w:jc w:val="right"/>
    </w:pPr>
    <w:r>
      <w:t xml:space="preserve">Приложение, стр. </w:t>
    </w:r>
    <w:r>
      <w:fldChar w:fldCharType="begin"/>
    </w:r>
    <w:r>
      <w:instrText xml:space="preserve"> PAGE   \* MERGEFORMAT </w:instrText>
    </w:r>
    <w:r>
      <w:fldChar w:fldCharType="separate"/>
    </w:r>
    <w:r w:rsidR="00232C8C">
      <w:rPr>
        <w:noProof/>
      </w:rPr>
      <w:t>11</w:t>
    </w:r>
    <w:r>
      <w:fldChar w:fldCharType="end"/>
    </w:r>
  </w:p>
  <w:p w:rsidR="00063FCA" w:rsidRDefault="00063FCA" w:rsidP="00063FCA">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063FCA">
    <w:pPr>
      <w:jc w:val="right"/>
    </w:pPr>
    <w:r>
      <w:t>WIPO/GRTKF/IC/47/INF/8</w:t>
    </w:r>
  </w:p>
  <w:p w:rsidR="00063FCA" w:rsidRDefault="00063FCA" w:rsidP="00063FCA">
    <w:pPr>
      <w:jc w:val="right"/>
    </w:pPr>
    <w:r>
      <w:t>ПРИЛОЖЕНИЕ</w:t>
    </w: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3FCA"/>
    <w:rsid w:val="00067F2E"/>
    <w:rsid w:val="00071A34"/>
    <w:rsid w:val="00075432"/>
    <w:rsid w:val="00090C21"/>
    <w:rsid w:val="000968ED"/>
    <w:rsid w:val="000D1DD6"/>
    <w:rsid w:val="000F2AD2"/>
    <w:rsid w:val="000F5E56"/>
    <w:rsid w:val="001307BE"/>
    <w:rsid w:val="001362EE"/>
    <w:rsid w:val="001647D5"/>
    <w:rsid w:val="001832A6"/>
    <w:rsid w:val="001F1ACB"/>
    <w:rsid w:val="0021217E"/>
    <w:rsid w:val="00232C8C"/>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46EE9"/>
    <w:rsid w:val="00757702"/>
    <w:rsid w:val="007D1613"/>
    <w:rsid w:val="007E4C0E"/>
    <w:rsid w:val="008A134B"/>
    <w:rsid w:val="008B2CC1"/>
    <w:rsid w:val="008B60B2"/>
    <w:rsid w:val="008C1180"/>
    <w:rsid w:val="008C5C51"/>
    <w:rsid w:val="0090731E"/>
    <w:rsid w:val="00916EE2"/>
    <w:rsid w:val="00966A22"/>
    <w:rsid w:val="0096722F"/>
    <w:rsid w:val="00980843"/>
    <w:rsid w:val="00996229"/>
    <w:rsid w:val="009E2791"/>
    <w:rsid w:val="009E3F6F"/>
    <w:rsid w:val="009F499F"/>
    <w:rsid w:val="00A0509A"/>
    <w:rsid w:val="00A37342"/>
    <w:rsid w:val="00A42DAF"/>
    <w:rsid w:val="00A45BD8"/>
    <w:rsid w:val="00A51E29"/>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758DA16"/>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063FCA"/>
    <w:rPr>
      <w:vertAlign w:val="superscript"/>
    </w:rPr>
  </w:style>
  <w:style w:type="character" w:styleId="Hyperlink">
    <w:name w:val="Hyperlink"/>
    <w:basedOn w:val="DefaultParagraphFont"/>
    <w:uiPriority w:val="99"/>
    <w:unhideWhenUsed/>
    <w:rsid w:val="00063FCA"/>
    <w:rPr>
      <w:color w:val="0000FF" w:themeColor="hyperlink"/>
      <w:u w:val="single"/>
    </w:rPr>
  </w:style>
  <w:style w:type="character" w:customStyle="1" w:styleId="HeaderChar">
    <w:name w:val="Header Char"/>
    <w:aliases w:val="Heading Char"/>
    <w:basedOn w:val="DefaultParagraphFont"/>
    <w:link w:val="Header"/>
    <w:uiPriority w:val="99"/>
    <w:rsid w:val="00063FCA"/>
    <w:rPr>
      <w:rFonts w:ascii="Arial" w:eastAsia="SimSun" w:hAnsi="Arial" w:cs="Arial"/>
      <w:sz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ru/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ru/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ru/wipo_grtkf_ic_29/wipo_grtkf_ic_29_inf_10.pdf" TargetMode="External"/><Relationship Id="rId2" Type="http://schemas.openxmlformats.org/officeDocument/2006/relationships/hyperlink" Target="https://www.wipo.int/edocs/mdocs/tk/ru/wipo_grtkf_ic_29/wipo_grtkf_ic_29_inf_10.pdf" TargetMode="External"/><Relationship Id="rId16" Type="http://schemas.openxmlformats.org/officeDocument/2006/relationships/hyperlink" Target="https://www.wipo.int/edocs/mdocs/tk/ru/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ru/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ru/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ru/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1</TotalTime>
  <Pages>14</Pages>
  <Words>4876</Words>
  <Characters>27794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KORCHAGINA Elena</cp:lastModifiedBy>
  <cp:revision>3</cp:revision>
  <cp:lastPrinted>2011-02-15T11:56:00Z</cp:lastPrinted>
  <dcterms:created xsi:type="dcterms:W3CDTF">2023-03-24T15:57:00Z</dcterms:created>
  <dcterms:modified xsi:type="dcterms:W3CDTF">2023-03-24T16:03:00Z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092af52c-e013-4508-a91d-f63df381c38b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