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07D72" w:rsidRPr="00807D72" w:rsidTr="009F38F2">
        <w:trPr>
          <w:trHeight w:val="1977"/>
        </w:trPr>
        <w:tc>
          <w:tcPr>
            <w:tcW w:w="4594" w:type="dxa"/>
            <w:tcBorders>
              <w:bottom w:val="single" w:sz="4" w:space="0" w:color="auto"/>
            </w:tcBorders>
            <w:tcMar>
              <w:bottom w:w="170" w:type="dxa"/>
            </w:tcMar>
          </w:tcPr>
          <w:p w:rsidR="00807D72" w:rsidRPr="00807D72" w:rsidRDefault="00807D72" w:rsidP="00807D72">
            <w:r w:rsidRPr="00807D72">
              <w:rPr>
                <w:noProof/>
              </w:rPr>
              <w:drawing>
                <wp:anchor distT="0" distB="0" distL="114300" distR="114300" simplePos="0" relativeHeight="251659264" behindDoc="1" locked="0" layoutInCell="0" allowOverlap="1" wp14:anchorId="56A08E69" wp14:editId="688440D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07D72" w:rsidRPr="00807D72" w:rsidRDefault="00807D72" w:rsidP="00807D72"/>
        </w:tc>
        <w:tc>
          <w:tcPr>
            <w:tcW w:w="425" w:type="dxa"/>
            <w:tcBorders>
              <w:bottom w:val="single" w:sz="4" w:space="0" w:color="auto"/>
            </w:tcBorders>
            <w:tcMar>
              <w:left w:w="0" w:type="dxa"/>
              <w:right w:w="0" w:type="dxa"/>
            </w:tcMar>
          </w:tcPr>
          <w:p w:rsidR="00807D72" w:rsidRPr="00807D72" w:rsidRDefault="00807D72" w:rsidP="00807D72">
            <w:pPr>
              <w:jc w:val="right"/>
              <w:rPr>
                <w:rFonts w:ascii="Arial" w:hAnsi="Arial" w:cs="Arial"/>
              </w:rPr>
            </w:pPr>
            <w:r w:rsidRPr="00807D72">
              <w:rPr>
                <w:rFonts w:ascii="Arial" w:hAnsi="Arial" w:cs="Arial"/>
                <w:b/>
                <w:sz w:val="40"/>
                <w:szCs w:val="40"/>
              </w:rPr>
              <w:t>C</w:t>
            </w:r>
          </w:p>
        </w:tc>
      </w:tr>
      <w:tr w:rsidR="00807D72" w:rsidRPr="00807D72" w:rsidTr="009F38F2">
        <w:trPr>
          <w:trHeight w:hRule="exact" w:val="340"/>
        </w:trPr>
        <w:tc>
          <w:tcPr>
            <w:tcW w:w="9356" w:type="dxa"/>
            <w:gridSpan w:val="3"/>
            <w:tcBorders>
              <w:top w:val="single" w:sz="4" w:space="0" w:color="auto"/>
            </w:tcBorders>
            <w:tcMar>
              <w:top w:w="170" w:type="dxa"/>
              <w:left w:w="0" w:type="dxa"/>
              <w:right w:w="0" w:type="dxa"/>
            </w:tcMar>
            <w:vAlign w:val="bottom"/>
          </w:tcPr>
          <w:p w:rsidR="00807D72" w:rsidRPr="00807D72" w:rsidRDefault="00807D72" w:rsidP="00267698">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sidR="0019351B">
              <w:rPr>
                <w:rFonts w:ascii="Arial Black" w:hAnsi="Arial Black" w:hint="eastAsia"/>
                <w:caps/>
                <w:sz w:val="15"/>
              </w:rPr>
              <w:t>7</w:t>
            </w:r>
            <w:r w:rsidRPr="00807D72">
              <w:rPr>
                <w:rFonts w:ascii="Arial Black" w:hAnsi="Arial Black"/>
                <w:caps/>
                <w:sz w:val="15"/>
              </w:rPr>
              <w:t>/</w:t>
            </w:r>
            <w:r w:rsidR="00267698">
              <w:rPr>
                <w:rFonts w:ascii="Arial Black" w:hAnsi="Arial Black" w:hint="eastAsia"/>
                <w:caps/>
                <w:sz w:val="15"/>
              </w:rPr>
              <w:t>inf/</w:t>
            </w:r>
            <w:r>
              <w:rPr>
                <w:rFonts w:ascii="Arial Black" w:hAnsi="Arial Black" w:hint="eastAsia"/>
                <w:caps/>
                <w:sz w:val="15"/>
              </w:rPr>
              <w:t>1</w:t>
            </w:r>
            <w:r w:rsidR="00267698">
              <w:rPr>
                <w:rFonts w:ascii="Arial Black" w:hAnsi="Arial Black" w:hint="eastAsia"/>
                <w:caps/>
                <w:sz w:val="15"/>
              </w:rPr>
              <w:t>0</w:t>
            </w:r>
            <w:bookmarkStart w:id="0" w:name="Code"/>
            <w:bookmarkEnd w:id="0"/>
          </w:p>
        </w:tc>
      </w:tr>
      <w:tr w:rsidR="00807D72" w:rsidRPr="00807D72" w:rsidTr="009F38F2">
        <w:trPr>
          <w:trHeight w:hRule="exact" w:val="170"/>
        </w:trPr>
        <w:tc>
          <w:tcPr>
            <w:tcW w:w="9356" w:type="dxa"/>
            <w:gridSpan w:val="3"/>
            <w:noWrap/>
            <w:tcMar>
              <w:left w:w="0" w:type="dxa"/>
              <w:right w:w="0" w:type="dxa"/>
            </w:tcMar>
            <w:vAlign w:val="bottom"/>
          </w:tcPr>
          <w:p w:rsidR="00807D72" w:rsidRPr="00807D72" w:rsidRDefault="00807D72" w:rsidP="00807D72">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807D72" w:rsidRPr="00807D72" w:rsidTr="009F38F2">
        <w:trPr>
          <w:trHeight w:hRule="exact" w:val="198"/>
        </w:trPr>
        <w:tc>
          <w:tcPr>
            <w:tcW w:w="9356" w:type="dxa"/>
            <w:gridSpan w:val="3"/>
            <w:tcMar>
              <w:left w:w="0" w:type="dxa"/>
              <w:right w:w="0" w:type="dxa"/>
            </w:tcMar>
            <w:vAlign w:val="bottom"/>
          </w:tcPr>
          <w:p w:rsidR="00807D72" w:rsidRPr="00807D72" w:rsidRDefault="00807D72" w:rsidP="00267698">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sidR="0003183A">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00F938B6">
              <w:rPr>
                <w:rFonts w:ascii="Arial Black" w:eastAsia="SimHei" w:hAnsi="Arial Black" w:hint="eastAsia"/>
                <w:b/>
                <w:sz w:val="15"/>
                <w:szCs w:val="15"/>
                <w:lang w:val="pt-BR"/>
              </w:rPr>
              <w:t>3</w:t>
            </w:r>
            <w:r w:rsidRPr="00807D72">
              <w:rPr>
                <w:rFonts w:ascii="SimHei" w:eastAsia="SimHei" w:hAnsi="Times New Roman" w:hint="eastAsia"/>
                <w:b/>
                <w:sz w:val="15"/>
                <w:szCs w:val="15"/>
              </w:rPr>
              <w:t>月</w:t>
            </w:r>
            <w:r w:rsidR="00267698">
              <w:rPr>
                <w:rFonts w:ascii="Arial Black" w:eastAsia="SimHei" w:hAnsi="Arial Black" w:hint="eastAsia"/>
                <w:b/>
                <w:sz w:val="15"/>
                <w:szCs w:val="15"/>
              </w:rPr>
              <w:t>12</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1" w:name="Date"/>
            <w:bookmarkEnd w:id="1"/>
          </w:p>
        </w:tc>
      </w:tr>
    </w:tbl>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807D72" w:rsidRPr="00807D72" w:rsidRDefault="00807D72" w:rsidP="00807D72">
      <w:pPr>
        <w:rPr>
          <w:rFonts w:ascii="Arial" w:hAnsi="Arial" w:cs="Arial"/>
          <w:sz w:val="22"/>
        </w:rPr>
      </w:pPr>
    </w:p>
    <w:p w:rsidR="00807D72" w:rsidRPr="00807D72" w:rsidRDefault="00807D72" w:rsidP="00807D72">
      <w:pPr>
        <w:rPr>
          <w:rFonts w:ascii="Arial" w:hAnsi="Arial" w:cs="Arial"/>
          <w:sz w:val="22"/>
        </w:rPr>
      </w:pPr>
    </w:p>
    <w:p w:rsidR="00807D72" w:rsidRPr="00807D72" w:rsidRDefault="00807D72" w:rsidP="00807D72">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sidR="0019351B">
        <w:rPr>
          <w:rFonts w:ascii="KaiTi" w:eastAsia="KaiTi" w:hint="eastAsia"/>
          <w:b/>
          <w:sz w:val="24"/>
          <w:szCs w:val="24"/>
        </w:rPr>
        <w:t>七</w:t>
      </w:r>
      <w:r w:rsidRPr="00807D72">
        <w:rPr>
          <w:rFonts w:ascii="KaiTi" w:eastAsia="KaiTi" w:hint="eastAsia"/>
          <w:b/>
          <w:sz w:val="24"/>
          <w:szCs w:val="24"/>
        </w:rPr>
        <w:t>届会议</w:t>
      </w:r>
    </w:p>
    <w:p w:rsidR="00807D72" w:rsidRPr="00807D72" w:rsidRDefault="00807D72" w:rsidP="00807D72">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sidR="0019351B">
        <w:rPr>
          <w:rFonts w:ascii="KaiTi" w:eastAsia="KaiTi" w:hAnsi="KaiTi" w:hint="eastAsia"/>
          <w:kern w:val="0"/>
          <w:sz w:val="24"/>
          <w:szCs w:val="24"/>
        </w:rPr>
        <w:t>3</w:t>
      </w:r>
      <w:r w:rsidRPr="00807D72">
        <w:rPr>
          <w:rFonts w:ascii="KaiTi" w:eastAsia="KaiTi" w:hAnsi="KaiTi" w:cs="Arial" w:hint="eastAsia"/>
          <w:b/>
          <w:kern w:val="0"/>
          <w:sz w:val="24"/>
          <w:szCs w:val="24"/>
        </w:rPr>
        <w:t>月</w:t>
      </w:r>
      <w:r w:rsidR="0019351B">
        <w:rPr>
          <w:rFonts w:ascii="KaiTi" w:eastAsia="KaiTi" w:hAnsi="KaiTi" w:hint="eastAsia"/>
          <w:kern w:val="0"/>
          <w:sz w:val="24"/>
          <w:szCs w:val="24"/>
        </w:rPr>
        <w:t>24</w:t>
      </w:r>
      <w:r w:rsidRPr="00807D72">
        <w:rPr>
          <w:rFonts w:ascii="KaiTi" w:eastAsia="KaiTi" w:hAnsi="KaiTi" w:cs="Arial" w:hint="eastAsia"/>
          <w:b/>
          <w:kern w:val="0"/>
          <w:sz w:val="24"/>
          <w:szCs w:val="24"/>
        </w:rPr>
        <w:t>日至</w:t>
      </w:r>
      <w:r w:rsidR="0019351B">
        <w:rPr>
          <w:rFonts w:ascii="KaiTi" w:eastAsia="KaiTi" w:hAnsi="KaiTi" w:hint="eastAsia"/>
          <w:kern w:val="0"/>
          <w:sz w:val="24"/>
          <w:szCs w:val="24"/>
        </w:rPr>
        <w:t>4</w:t>
      </w:r>
      <w:r w:rsidR="0019351B" w:rsidRPr="00807D72">
        <w:rPr>
          <w:rFonts w:ascii="KaiTi" w:eastAsia="KaiTi" w:hAnsi="KaiTi" w:cs="Arial" w:hint="eastAsia"/>
          <w:b/>
          <w:kern w:val="0"/>
          <w:sz w:val="24"/>
          <w:szCs w:val="24"/>
        </w:rPr>
        <w:t>月</w:t>
      </w:r>
      <w:r w:rsidR="0019351B">
        <w:rPr>
          <w:rFonts w:ascii="KaiTi" w:eastAsia="KaiTi" w:hAnsi="KaiTi" w:hint="eastAsia"/>
          <w:kern w:val="0"/>
          <w:sz w:val="24"/>
          <w:szCs w:val="24"/>
        </w:rPr>
        <w:t>4</w:t>
      </w:r>
      <w:r w:rsidRPr="00807D72">
        <w:rPr>
          <w:rFonts w:ascii="KaiTi" w:eastAsia="KaiTi" w:hAnsi="KaiTi" w:cs="Arial" w:hint="eastAsia"/>
          <w:b/>
          <w:kern w:val="0"/>
          <w:sz w:val="24"/>
          <w:szCs w:val="24"/>
        </w:rPr>
        <w:t>日，日内瓦</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267698" w:rsidP="00807D72">
      <w:pPr>
        <w:rPr>
          <w:rFonts w:ascii="KaiTi" w:eastAsia="KaiTi" w:hAnsi="STKaiti"/>
          <w:sz w:val="24"/>
          <w:szCs w:val="32"/>
        </w:rPr>
      </w:pPr>
      <w:r>
        <w:rPr>
          <w:rFonts w:ascii="KaiTi" w:eastAsia="KaiTi" w:hAnsi="STKaiti" w:hint="eastAsia"/>
          <w:sz w:val="24"/>
          <w:szCs w:val="32"/>
        </w:rPr>
        <w:t>传统知识和传统文化表现形式：</w:t>
      </w:r>
      <w:r>
        <w:rPr>
          <w:rFonts w:ascii="KaiTi" w:eastAsia="KaiTi" w:hAnsi="STKaiti"/>
          <w:sz w:val="24"/>
          <w:szCs w:val="32"/>
        </w:rPr>
        <w:br/>
      </w:r>
      <w:r>
        <w:rPr>
          <w:rFonts w:ascii="KaiTi" w:eastAsia="KaiTi" w:hAnsi="STKaiti" w:hint="eastAsia"/>
          <w:sz w:val="24"/>
          <w:szCs w:val="32"/>
        </w:rPr>
        <w:t>建议讨论的若干跨领域问题</w:t>
      </w:r>
    </w:p>
    <w:p w:rsidR="00807D72" w:rsidRPr="00807D72" w:rsidRDefault="00807D72" w:rsidP="00807D72">
      <w:pPr>
        <w:rPr>
          <w:rFonts w:ascii="Arial" w:hAnsi="Arial" w:cs="Arial"/>
          <w:b/>
          <w:sz w:val="22"/>
        </w:rPr>
      </w:pPr>
    </w:p>
    <w:p w:rsidR="00807D72" w:rsidRPr="00267698" w:rsidRDefault="00267698" w:rsidP="00267698">
      <w:pPr>
        <w:textAlignment w:val="bottom"/>
        <w:rPr>
          <w:rFonts w:ascii="KaiTi" w:eastAsia="KaiTi" w:hAnsi="STKaiti"/>
          <w:i/>
          <w:szCs w:val="24"/>
        </w:rPr>
      </w:pPr>
      <w:r w:rsidRPr="00267698">
        <w:rPr>
          <w:rFonts w:ascii="KaiTi" w:eastAsia="KaiTi" w:hAnsi="STKaiti" w:hint="eastAsia"/>
          <w:i/>
          <w:szCs w:val="24"/>
        </w:rPr>
        <w:t>知识产权与遗传资源、传统知识和民间文学艺术政府间委员会</w:t>
      </w:r>
      <w:r w:rsidRPr="00267698">
        <w:rPr>
          <w:rFonts w:ascii="KaiTi" w:eastAsia="KaiTi" w:hAnsi="STKaiti" w:hint="eastAsia"/>
          <w:i/>
          <w:szCs w:val="24"/>
        </w:rPr>
        <w:t>主席</w:t>
      </w:r>
      <w:r w:rsidR="00101B02">
        <w:rPr>
          <w:rFonts w:ascii="KaiTi" w:eastAsia="KaiTi" w:hAnsi="STKaiti"/>
          <w:i/>
          <w:szCs w:val="24"/>
        </w:rPr>
        <w:br/>
      </w:r>
      <w:r w:rsidRPr="00267698">
        <w:rPr>
          <w:rFonts w:ascii="KaiTi" w:eastAsia="KaiTi" w:hAnsi="STKaiti"/>
          <w:i/>
          <w:szCs w:val="24"/>
        </w:rPr>
        <w:t>Wayne McCook</w:t>
      </w:r>
      <w:r>
        <w:rPr>
          <w:rFonts w:ascii="KaiTi" w:eastAsia="KaiTi" w:hAnsi="STKaiti" w:hint="eastAsia"/>
          <w:i/>
          <w:szCs w:val="24"/>
        </w:rPr>
        <w:t>大使阁下</w:t>
      </w:r>
      <w:r w:rsidR="00807D72" w:rsidRPr="00267698">
        <w:rPr>
          <w:rFonts w:ascii="KaiTi" w:eastAsia="KaiTi" w:hAnsi="STKaiti" w:hint="eastAsia"/>
          <w:i/>
          <w:szCs w:val="24"/>
        </w:rPr>
        <w:t>编拟</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kern w:val="0"/>
          <w:sz w:val="22"/>
        </w:rPr>
      </w:pPr>
    </w:p>
    <w:p w:rsidR="00267698" w:rsidRPr="00267698" w:rsidRDefault="00267698" w:rsidP="00152B6A">
      <w:pPr>
        <w:widowControl/>
        <w:spacing w:afterLines="50" w:after="120" w:line="340" w:lineRule="atLeast"/>
        <w:rPr>
          <w:rFonts w:ascii="SimSun" w:hAnsi="SimSun" w:cs="Arial"/>
          <w:kern w:val="0"/>
        </w:rPr>
      </w:pPr>
      <w:r w:rsidRPr="00267698">
        <w:rPr>
          <w:rFonts w:ascii="SimSun" w:hAnsi="SimSun" w:cs="Arial"/>
          <w:kern w:val="0"/>
        </w:rPr>
        <w:t>1.</w:t>
      </w:r>
      <w:r w:rsidRPr="00267698">
        <w:rPr>
          <w:rFonts w:ascii="SimSun" w:hAnsi="SimSun" w:cs="Arial"/>
          <w:kern w:val="0"/>
        </w:rPr>
        <w:tab/>
      </w:r>
      <w:r w:rsidRPr="00152B6A">
        <w:rPr>
          <w:rFonts w:ascii="SimSun" w:hAnsi="SimSun" w:cs="Arial" w:hint="eastAsia"/>
          <w:kern w:val="0"/>
        </w:rPr>
        <w:t>按照知识产权与遗传资源、传统知识和民间文学艺术政府间委员会(IGC)的2014年工作计划，IGC第二十七届会议将包括对</w:t>
      </w:r>
      <w:r w:rsidRPr="00152B6A">
        <w:rPr>
          <w:rFonts w:ascii="SimSun" w:hAnsi="SimSun" w:cs="Arial" w:hint="eastAsia"/>
          <w:kern w:val="0"/>
        </w:rPr>
        <w:t>传统知识和传统文化表现形式跨领域问题</w:t>
      </w:r>
      <w:r w:rsidRPr="00152B6A">
        <w:rPr>
          <w:rFonts w:ascii="SimSun" w:hAnsi="SimSun" w:cs="Arial" w:hint="eastAsia"/>
          <w:kern w:val="0"/>
        </w:rPr>
        <w:t>的审议。</w:t>
      </w:r>
    </w:p>
    <w:p w:rsidR="00267698" w:rsidRPr="00267698" w:rsidRDefault="00267698" w:rsidP="00152B6A">
      <w:pPr>
        <w:widowControl/>
        <w:spacing w:afterLines="50" w:after="120" w:line="340" w:lineRule="atLeast"/>
        <w:rPr>
          <w:rFonts w:ascii="SimSun" w:hAnsi="SimSun" w:cs="Arial"/>
          <w:kern w:val="0"/>
        </w:rPr>
      </w:pPr>
      <w:r w:rsidRPr="00267698">
        <w:rPr>
          <w:rFonts w:ascii="SimSun" w:hAnsi="SimSun" w:cs="Arial"/>
          <w:kern w:val="0"/>
        </w:rPr>
        <w:t>2.</w:t>
      </w:r>
      <w:r w:rsidRPr="00267698">
        <w:rPr>
          <w:rFonts w:ascii="SimSun" w:hAnsi="SimSun" w:cs="Arial"/>
          <w:kern w:val="0"/>
        </w:rPr>
        <w:tab/>
      </w:r>
      <w:r w:rsidRPr="00152B6A">
        <w:rPr>
          <w:rFonts w:ascii="SimSun" w:hAnsi="SimSun" w:cs="Arial" w:hint="eastAsia"/>
          <w:kern w:val="0"/>
        </w:rPr>
        <w:t>有鉴于此，IGC主席</w:t>
      </w:r>
      <w:r w:rsidRPr="00267698">
        <w:rPr>
          <w:rFonts w:ascii="SimSun" w:hAnsi="SimSun" w:cs="Arial"/>
          <w:kern w:val="0"/>
        </w:rPr>
        <w:t>Wayne McCook</w:t>
      </w:r>
      <w:r w:rsidRPr="00152B6A">
        <w:rPr>
          <w:rFonts w:ascii="SimSun" w:hAnsi="SimSun" w:cs="Arial" w:hint="eastAsia"/>
          <w:kern w:val="0"/>
        </w:rPr>
        <w:t>大使阁下编拟了一份非正式文件，提出了主席关于部分可能的</w:t>
      </w:r>
      <w:r w:rsidRPr="00152B6A">
        <w:rPr>
          <w:rFonts w:ascii="SimSun" w:hAnsi="SimSun" w:cs="Arial" w:hint="eastAsia"/>
          <w:kern w:val="0"/>
        </w:rPr>
        <w:t>传统知识和传统文化表现形式</w:t>
      </w:r>
      <w:r w:rsidRPr="00152B6A">
        <w:rPr>
          <w:rFonts w:ascii="SimSun" w:hAnsi="SimSun" w:cs="Arial" w:hint="eastAsia"/>
          <w:kern w:val="0"/>
        </w:rPr>
        <w:t>跨领域问题的观点。主席的非正式文件包括一个表格，</w:t>
      </w:r>
      <w:r w:rsidRPr="00152B6A">
        <w:rPr>
          <w:rFonts w:ascii="SimSun" w:hAnsi="SimSun" w:cs="Arial" w:hint="eastAsia"/>
          <w:bCs/>
          <w:kern w:val="0"/>
        </w:rPr>
        <w:t>其中左右对照列出了文件</w:t>
      </w:r>
      <w:r w:rsidRPr="00267698">
        <w:rPr>
          <w:rFonts w:ascii="SimSun" w:hAnsi="SimSun" w:cs="Arial"/>
          <w:kern w:val="0"/>
        </w:rPr>
        <w:t>WIPO/GRTKF/IC/27/4(</w:t>
      </w:r>
      <w:r w:rsidRPr="00152B6A">
        <w:rPr>
          <w:rFonts w:ascii="SimSun" w:hAnsi="SimSun" w:cs="Arial" w:hint="eastAsia"/>
          <w:kern w:val="0"/>
        </w:rPr>
        <w:t>“保护传统知识：条款草案”</w:t>
      </w:r>
      <w:r w:rsidRPr="00267698">
        <w:rPr>
          <w:rFonts w:ascii="SimSun" w:hAnsi="SimSun" w:cs="Arial"/>
          <w:kern w:val="0"/>
        </w:rPr>
        <w:t>)</w:t>
      </w:r>
      <w:r w:rsidRPr="00152B6A">
        <w:rPr>
          <w:rFonts w:ascii="SimSun" w:hAnsi="SimSun" w:cs="Arial" w:hint="eastAsia"/>
          <w:kern w:val="0"/>
        </w:rPr>
        <w:t>和文件</w:t>
      </w:r>
      <w:r w:rsidRPr="00267698">
        <w:rPr>
          <w:rFonts w:ascii="SimSun" w:hAnsi="SimSun" w:cs="Arial"/>
          <w:kern w:val="0"/>
        </w:rPr>
        <w:t>WIPO/GRTKF/IC/27/5(</w:t>
      </w:r>
      <w:r w:rsidRPr="00152B6A">
        <w:rPr>
          <w:rFonts w:ascii="SimSun" w:hAnsi="SimSun" w:cs="Arial" w:hint="eastAsia"/>
          <w:kern w:val="0"/>
        </w:rPr>
        <w:t>“保护传统文化表现形式：条款草案”</w:t>
      </w:r>
      <w:r w:rsidRPr="00267698">
        <w:rPr>
          <w:rFonts w:ascii="SimSun" w:hAnsi="SimSun" w:cs="Arial"/>
          <w:kern w:val="0"/>
        </w:rPr>
        <w:t>)</w:t>
      </w:r>
      <w:r w:rsidRPr="00152B6A">
        <w:rPr>
          <w:rFonts w:ascii="SimSun" w:hAnsi="SimSun" w:cs="Arial" w:hint="eastAsia"/>
          <w:kern w:val="0"/>
        </w:rPr>
        <w:t>中的各项条款。该表格是为了便于比较上述两份文件</w:t>
      </w:r>
      <w:r w:rsidR="00101B02">
        <w:rPr>
          <w:rFonts w:ascii="SimSun" w:hAnsi="SimSun" w:cs="Arial" w:hint="eastAsia"/>
          <w:kern w:val="0"/>
        </w:rPr>
        <w:t>而</w:t>
      </w:r>
      <w:r w:rsidRPr="00152B6A">
        <w:rPr>
          <w:rFonts w:ascii="SimSun" w:hAnsi="SimSun" w:cs="Arial" w:hint="eastAsia"/>
          <w:kern w:val="0"/>
        </w:rPr>
        <w:t>编拟的。按主席的要求，秘书处将向</w:t>
      </w:r>
      <w:r w:rsidR="00C634D1" w:rsidRPr="00152B6A">
        <w:rPr>
          <w:rFonts w:ascii="SimSun" w:hAnsi="SimSun" w:cs="Arial" w:hint="eastAsia"/>
          <w:kern w:val="0"/>
        </w:rPr>
        <w:t>IGC与会人员提供非正式文件的副本。</w:t>
      </w:r>
    </w:p>
    <w:p w:rsidR="00267698" w:rsidRPr="00267698" w:rsidRDefault="00267698" w:rsidP="00152B6A">
      <w:pPr>
        <w:widowControl/>
        <w:spacing w:afterLines="50" w:after="120" w:line="340" w:lineRule="atLeast"/>
        <w:outlineLvl w:val="0"/>
        <w:rPr>
          <w:rFonts w:ascii="SimSun" w:hAnsi="SimSun" w:cs="Arial"/>
          <w:color w:val="000000"/>
          <w:kern w:val="0"/>
          <w:u w:color="000000"/>
        </w:rPr>
      </w:pPr>
      <w:r w:rsidRPr="00267698">
        <w:rPr>
          <w:rFonts w:ascii="SimSun" w:hAnsi="SimSun" w:cs="Arial"/>
          <w:color w:val="000000"/>
          <w:kern w:val="0"/>
          <w:u w:color="000000"/>
        </w:rPr>
        <w:t>3.</w:t>
      </w:r>
      <w:r w:rsidRPr="00267698">
        <w:rPr>
          <w:rFonts w:ascii="SimSun" w:hAnsi="SimSun" w:cs="Arial"/>
          <w:color w:val="000000"/>
          <w:kern w:val="0"/>
          <w:u w:color="000000"/>
        </w:rPr>
        <w:tab/>
      </w:r>
      <w:r w:rsidR="00C634D1" w:rsidRPr="00152B6A">
        <w:rPr>
          <w:rFonts w:ascii="SimSun" w:hAnsi="SimSun" w:cs="Arial" w:hint="eastAsia"/>
          <w:color w:val="000000"/>
          <w:kern w:val="0"/>
          <w:u w:color="000000"/>
        </w:rPr>
        <w:t>主席还编拟了非正式文件的摘要，现作为附件附</w:t>
      </w:r>
      <w:r w:rsidR="00101B02">
        <w:rPr>
          <w:rFonts w:ascii="SimSun" w:hAnsi="SimSun" w:cs="Arial" w:hint="eastAsia"/>
          <w:color w:val="000000"/>
          <w:kern w:val="0"/>
          <w:u w:color="000000"/>
        </w:rPr>
        <w:t>后</w:t>
      </w:r>
      <w:r w:rsidR="00C634D1" w:rsidRPr="00152B6A">
        <w:rPr>
          <w:rFonts w:ascii="SimSun" w:hAnsi="SimSun" w:cs="Arial" w:hint="eastAsia"/>
          <w:color w:val="000000"/>
          <w:kern w:val="0"/>
          <w:u w:color="000000"/>
        </w:rPr>
        <w:t>。</w:t>
      </w:r>
    </w:p>
    <w:p w:rsidR="00267698" w:rsidRPr="00152B6A" w:rsidRDefault="00267698" w:rsidP="00152B6A">
      <w:pPr>
        <w:widowControl/>
        <w:spacing w:afterLines="50" w:after="120" w:line="340" w:lineRule="atLeast"/>
        <w:ind w:left="5534"/>
        <w:contextualSpacing/>
        <w:jc w:val="left"/>
        <w:rPr>
          <w:rFonts w:ascii="KaiTi" w:eastAsia="KaiTi" w:hAnsi="KaiTi" w:hint="eastAsia"/>
          <w:i/>
          <w:kern w:val="0"/>
        </w:rPr>
      </w:pPr>
      <w:r w:rsidRPr="00267698">
        <w:rPr>
          <w:rFonts w:ascii="KaiTi" w:eastAsia="KaiTi" w:hAnsi="KaiTi"/>
          <w:i/>
          <w:kern w:val="0"/>
        </w:rPr>
        <w:t>4.</w:t>
      </w:r>
      <w:r w:rsidRPr="00267698">
        <w:rPr>
          <w:rFonts w:ascii="KaiTi" w:eastAsia="KaiTi" w:hAnsi="KaiTi"/>
          <w:i/>
          <w:kern w:val="0"/>
        </w:rPr>
        <w:tab/>
      </w:r>
      <w:r w:rsidR="00C634D1" w:rsidRPr="00152B6A">
        <w:rPr>
          <w:rFonts w:ascii="KaiTi" w:eastAsia="KaiTi" w:hAnsi="KaiTi" w:hint="eastAsia"/>
          <w:i/>
          <w:kern w:val="0"/>
        </w:rPr>
        <w:t>请</w:t>
      </w:r>
      <w:r w:rsidRPr="00267698">
        <w:rPr>
          <w:rFonts w:ascii="KaiTi" w:eastAsia="KaiTi" w:hAnsi="KaiTi"/>
          <w:i/>
          <w:kern w:val="0"/>
        </w:rPr>
        <w:t>IGC</w:t>
      </w:r>
      <w:r w:rsidR="00C634D1" w:rsidRPr="00152B6A">
        <w:rPr>
          <w:rFonts w:ascii="KaiTi" w:eastAsia="KaiTi" w:hAnsi="KaiTi" w:hint="eastAsia"/>
          <w:i/>
          <w:kern w:val="0"/>
        </w:rPr>
        <w:t>注意本文件及其附件。</w:t>
      </w:r>
    </w:p>
    <w:p w:rsidR="00C634D1" w:rsidRPr="00152B6A" w:rsidRDefault="00C634D1" w:rsidP="00152B6A">
      <w:pPr>
        <w:widowControl/>
        <w:spacing w:afterLines="50" w:after="120" w:line="340" w:lineRule="atLeast"/>
        <w:ind w:left="5534"/>
        <w:contextualSpacing/>
        <w:jc w:val="left"/>
        <w:rPr>
          <w:rFonts w:ascii="KaiTi" w:eastAsia="KaiTi" w:hAnsi="KaiTi" w:hint="eastAsia"/>
          <w:i/>
          <w:kern w:val="0"/>
        </w:rPr>
      </w:pPr>
    </w:p>
    <w:p w:rsidR="00C634D1" w:rsidRPr="00152B6A" w:rsidRDefault="00C634D1" w:rsidP="00152B6A">
      <w:pPr>
        <w:widowControl/>
        <w:spacing w:afterLines="50" w:after="120" w:line="340" w:lineRule="atLeast"/>
        <w:ind w:left="5534"/>
        <w:contextualSpacing/>
        <w:jc w:val="left"/>
        <w:rPr>
          <w:rFonts w:ascii="KaiTi" w:eastAsia="KaiTi" w:hAnsi="KaiTi" w:hint="eastAsia"/>
          <w:kern w:val="0"/>
        </w:rPr>
      </w:pPr>
      <w:r w:rsidRPr="00152B6A">
        <w:rPr>
          <w:rFonts w:ascii="KaiTi" w:eastAsia="KaiTi" w:hAnsi="KaiTi" w:hint="eastAsia"/>
          <w:kern w:val="0"/>
        </w:rPr>
        <w:t>[后接附件]</w:t>
      </w:r>
    </w:p>
    <w:p w:rsidR="00152B6A" w:rsidRPr="00267698" w:rsidRDefault="00152B6A" w:rsidP="00267698">
      <w:pPr>
        <w:widowControl/>
        <w:spacing w:after="120" w:line="260" w:lineRule="atLeast"/>
        <w:ind w:left="5533"/>
        <w:contextualSpacing/>
        <w:jc w:val="left"/>
        <w:rPr>
          <w:rFonts w:ascii="Arial" w:hAnsi="Arial" w:cs="Arial" w:hint="eastAsia"/>
          <w:i/>
          <w:kern w:val="0"/>
          <w:sz w:val="22"/>
        </w:rPr>
      </w:pPr>
    </w:p>
    <w:p w:rsidR="00C634D1" w:rsidRDefault="00C634D1" w:rsidP="00C634D1">
      <w:pPr>
        <w:spacing w:before="120" w:line="340" w:lineRule="atLeast"/>
        <w:ind w:left="567"/>
        <w:textAlignment w:val="bottom"/>
        <w:rPr>
          <w:rFonts w:ascii="SimSun" w:hAnsi="SimSun"/>
          <w:szCs w:val="21"/>
        </w:rPr>
        <w:sectPr w:rsidR="00C634D1" w:rsidSect="002637B9">
          <w:headerReference w:type="default" r:id="rId10"/>
          <w:footnotePr>
            <w:numRestart w:val="eachPage"/>
          </w:footnotePr>
          <w:pgSz w:w="11907" w:h="16840" w:code="9"/>
          <w:pgMar w:top="567" w:right="1134" w:bottom="1418" w:left="1418" w:header="510" w:footer="1021" w:gutter="0"/>
          <w:pgNumType w:start="1"/>
          <w:cols w:space="720"/>
          <w:titlePg/>
          <w:docGrid w:linePitch="286"/>
        </w:sectPr>
      </w:pPr>
    </w:p>
    <w:p w:rsidR="00C634D1" w:rsidRPr="00152B6A" w:rsidRDefault="00C634D1" w:rsidP="00152B6A">
      <w:pPr>
        <w:pStyle w:val="Body1"/>
        <w:spacing w:beforeLines="100" w:before="240" w:afterLines="200" w:after="480" w:line="340" w:lineRule="atLeast"/>
        <w:jc w:val="center"/>
        <w:rPr>
          <w:rFonts w:ascii="SimHei" w:eastAsia="SimHei" w:hAnsi="SimHei" w:cs="Arial"/>
          <w:sz w:val="21"/>
          <w:szCs w:val="22"/>
          <w:lang w:eastAsia="zh-CN"/>
        </w:rPr>
      </w:pPr>
      <w:r w:rsidRPr="00152B6A">
        <w:rPr>
          <w:rFonts w:ascii="SimHei" w:eastAsia="SimHei" w:hAnsi="SimHei" w:cs="Arial" w:hint="eastAsia"/>
          <w:sz w:val="21"/>
          <w:szCs w:val="22"/>
          <w:lang w:eastAsia="zh-CN"/>
        </w:rPr>
        <w:lastRenderedPageBreak/>
        <w:t>主席编拟的关于</w:t>
      </w:r>
      <w:r w:rsidRPr="00152B6A">
        <w:rPr>
          <w:rFonts w:ascii="SimHei" w:eastAsia="SimHei" w:hAnsi="SimHei" w:cs="Arial" w:hint="eastAsia"/>
          <w:sz w:val="21"/>
          <w:lang w:eastAsia="zh-CN"/>
        </w:rPr>
        <w:t>传统知识和传统文化表现形式</w:t>
      </w:r>
      <w:r w:rsidRPr="00152B6A">
        <w:rPr>
          <w:rFonts w:ascii="SimHei" w:eastAsia="SimHei" w:hAnsi="SimHei" w:cs="Arial" w:hint="eastAsia"/>
          <w:sz w:val="21"/>
          <w:lang w:eastAsia="zh-CN"/>
        </w:rPr>
        <w:t>问题的非正式文件摘要</w:t>
      </w:r>
    </w:p>
    <w:p w:rsidR="00C634D1" w:rsidRPr="00152B6A" w:rsidRDefault="00C634D1" w:rsidP="00152B6A">
      <w:pPr>
        <w:pStyle w:val="Body1"/>
        <w:spacing w:afterLines="50" w:after="120" w:line="340" w:lineRule="atLeast"/>
        <w:jc w:val="both"/>
        <w:rPr>
          <w:rFonts w:ascii="SimSun" w:eastAsia="SimSun" w:hAnsi="SimSun" w:cs="Arial"/>
          <w:sz w:val="21"/>
          <w:szCs w:val="22"/>
          <w:lang w:eastAsia="zh-CN"/>
        </w:rPr>
      </w:pPr>
      <w:r w:rsidRPr="00152B6A">
        <w:rPr>
          <w:rFonts w:ascii="SimSun" w:eastAsia="SimSun" w:hAnsi="SimSun" w:cs="Arial"/>
          <w:sz w:val="21"/>
          <w:szCs w:val="22"/>
          <w:lang w:eastAsia="zh-CN"/>
        </w:rPr>
        <w:t>1.</w:t>
      </w:r>
      <w:r w:rsidRPr="00152B6A">
        <w:rPr>
          <w:rFonts w:ascii="SimSun" w:eastAsia="SimSun" w:hAnsi="SimSun" w:cs="Arial"/>
          <w:sz w:val="21"/>
          <w:szCs w:val="22"/>
          <w:lang w:eastAsia="zh-CN"/>
        </w:rPr>
        <w:tab/>
        <w:t>IGC</w:t>
      </w:r>
      <w:proofErr w:type="gramStart"/>
      <w:r w:rsidRPr="00152B6A">
        <w:rPr>
          <w:rFonts w:ascii="SimSun" w:eastAsia="SimSun" w:hAnsi="SimSun" w:cs="Arial" w:hint="eastAsia"/>
          <w:sz w:val="21"/>
          <w:szCs w:val="22"/>
          <w:lang w:eastAsia="zh-CN"/>
        </w:rPr>
        <w:t>以往指出</w:t>
      </w:r>
      <w:proofErr w:type="gramEnd"/>
      <w:r w:rsidRPr="00152B6A">
        <w:rPr>
          <w:rFonts w:ascii="SimSun" w:eastAsia="SimSun" w:hAnsi="SimSun" w:cs="Arial" w:hint="eastAsia"/>
          <w:sz w:val="21"/>
          <w:szCs w:val="22"/>
          <w:lang w:eastAsia="zh-CN"/>
        </w:rPr>
        <w:t>过四个关键政策问题，IGC同意它们值得优先注意：保护的客体、受益人、保护范围和例外与限制。</w:t>
      </w:r>
    </w:p>
    <w:p w:rsidR="00C634D1" w:rsidRPr="00152B6A" w:rsidRDefault="00C634D1" w:rsidP="00152B6A">
      <w:pPr>
        <w:pStyle w:val="Body1"/>
        <w:spacing w:afterLines="50" w:after="120" w:line="340" w:lineRule="atLeast"/>
        <w:jc w:val="both"/>
        <w:rPr>
          <w:rFonts w:ascii="SimSun" w:eastAsia="SimSun" w:hAnsi="SimSun" w:cs="Arial"/>
          <w:sz w:val="21"/>
          <w:szCs w:val="22"/>
          <w:lang w:eastAsia="zh-CN"/>
        </w:rPr>
      </w:pPr>
      <w:r w:rsidRPr="00152B6A">
        <w:rPr>
          <w:rFonts w:ascii="SimSun" w:eastAsia="SimSun" w:hAnsi="SimSun" w:cs="Arial"/>
          <w:sz w:val="21"/>
          <w:szCs w:val="22"/>
          <w:lang w:eastAsia="zh-CN"/>
        </w:rPr>
        <w:t>2.</w:t>
      </w:r>
      <w:r w:rsidRPr="00152B6A">
        <w:rPr>
          <w:rFonts w:ascii="SimSun" w:eastAsia="SimSun" w:hAnsi="SimSun" w:cs="Arial"/>
          <w:sz w:val="21"/>
          <w:szCs w:val="22"/>
          <w:lang w:eastAsia="zh-CN"/>
        </w:rPr>
        <w:tab/>
      </w:r>
      <w:r w:rsidRPr="00152B6A">
        <w:rPr>
          <w:rFonts w:ascii="SimSun" w:eastAsia="SimSun" w:hAnsi="SimSun" w:cs="Arial" w:hint="eastAsia"/>
          <w:sz w:val="21"/>
          <w:szCs w:val="22"/>
          <w:lang w:eastAsia="zh-CN"/>
        </w:rPr>
        <w:t>过去，对于</w:t>
      </w:r>
      <w:r w:rsidRPr="00152B6A">
        <w:rPr>
          <w:rFonts w:ascii="SimSun" w:eastAsia="SimSun" w:hAnsi="SimSun" w:cs="Arial" w:hint="eastAsia"/>
          <w:sz w:val="21"/>
          <w:lang w:eastAsia="zh-CN"/>
        </w:rPr>
        <w:t>传统知识和传统文化表现形式</w:t>
      </w:r>
      <w:r w:rsidRPr="00152B6A">
        <w:rPr>
          <w:rFonts w:ascii="SimSun" w:eastAsia="SimSun" w:hAnsi="SimSun" w:cs="Arial" w:hint="eastAsia"/>
          <w:sz w:val="21"/>
          <w:lang w:eastAsia="zh-CN"/>
        </w:rPr>
        <w:t>，</w:t>
      </w:r>
      <w:r w:rsidRPr="00152B6A">
        <w:rPr>
          <w:rFonts w:ascii="SimSun" w:eastAsia="SimSun" w:hAnsi="SimSun" w:cs="Arial"/>
          <w:sz w:val="21"/>
          <w:szCs w:val="22"/>
          <w:lang w:eastAsia="zh-CN"/>
        </w:rPr>
        <w:t>IGC</w:t>
      </w:r>
      <w:r w:rsidRPr="00152B6A">
        <w:rPr>
          <w:rFonts w:ascii="SimSun" w:eastAsia="SimSun" w:hAnsi="SimSun" w:cs="Arial" w:hint="eastAsia"/>
          <w:sz w:val="21"/>
          <w:szCs w:val="22"/>
          <w:lang w:eastAsia="zh-CN"/>
        </w:rPr>
        <w:t>对这些政策问题是分开但平行考虑的。鉴于</w:t>
      </w:r>
      <w:r w:rsidRPr="00152B6A">
        <w:rPr>
          <w:rFonts w:ascii="SimSun" w:eastAsia="SimSun" w:hAnsi="SimSun" w:cs="Arial" w:hint="eastAsia"/>
          <w:sz w:val="21"/>
          <w:lang w:eastAsia="zh-CN"/>
        </w:rPr>
        <w:t>传统知识和传统文化表现形式</w:t>
      </w:r>
      <w:r w:rsidRPr="00152B6A">
        <w:rPr>
          <w:rFonts w:ascii="SimSun" w:eastAsia="SimSun" w:hAnsi="SimSun" w:cs="Arial" w:hint="eastAsia"/>
          <w:sz w:val="21"/>
          <w:lang w:eastAsia="zh-CN"/>
        </w:rPr>
        <w:t>条款草案的相近，WIPO大会首次指示对“跨领域的传统知识/传统文化表现形式问题”进行审议。</w:t>
      </w:r>
    </w:p>
    <w:p w:rsidR="00C634D1" w:rsidRPr="00152B6A" w:rsidRDefault="00C634D1" w:rsidP="00152B6A">
      <w:pPr>
        <w:pStyle w:val="Body1"/>
        <w:spacing w:afterLines="50" w:after="120" w:line="340" w:lineRule="atLeast"/>
        <w:jc w:val="both"/>
        <w:rPr>
          <w:rFonts w:ascii="SimSun" w:eastAsia="SimSun" w:hAnsi="SimSun" w:cs="Arial"/>
          <w:sz w:val="21"/>
          <w:szCs w:val="22"/>
          <w:lang w:eastAsia="zh-CN"/>
        </w:rPr>
      </w:pPr>
      <w:r w:rsidRPr="00152B6A">
        <w:rPr>
          <w:rFonts w:ascii="SimSun" w:eastAsia="SimSun" w:hAnsi="SimSun" w:cs="Arial"/>
          <w:sz w:val="21"/>
          <w:szCs w:val="22"/>
          <w:lang w:eastAsia="zh-CN"/>
        </w:rPr>
        <w:t>3.</w:t>
      </w:r>
      <w:r w:rsidRPr="00152B6A">
        <w:rPr>
          <w:rFonts w:ascii="SimSun" w:eastAsia="SimSun" w:hAnsi="SimSun" w:cs="Arial"/>
          <w:sz w:val="21"/>
          <w:szCs w:val="22"/>
          <w:lang w:eastAsia="zh-CN"/>
        </w:rPr>
        <w:tab/>
      </w:r>
      <w:r w:rsidRPr="00152B6A">
        <w:rPr>
          <w:rFonts w:ascii="SimSun" w:eastAsia="SimSun" w:hAnsi="SimSun" w:cs="Arial" w:hint="eastAsia"/>
          <w:sz w:val="21"/>
          <w:szCs w:val="22"/>
          <w:lang w:eastAsia="zh-CN"/>
        </w:rPr>
        <w:t>我想提请注意部分仍未解决的根本性跨领域问题，这些问题妨碍了IGC基于案文的谈判取得进一步进展。我认为，这些根本性跨领域问题如不解决，或至少使之更加明确</w:t>
      </w:r>
      <w:r w:rsidR="007A1E6B" w:rsidRPr="00152B6A">
        <w:rPr>
          <w:rFonts w:ascii="SimSun" w:eastAsia="SimSun" w:hAnsi="SimSun" w:cs="Arial" w:hint="eastAsia"/>
          <w:sz w:val="21"/>
          <w:szCs w:val="22"/>
          <w:lang w:eastAsia="zh-CN"/>
        </w:rPr>
        <w:t>的话，将难以在</w:t>
      </w:r>
      <w:r w:rsidR="007A1E6B" w:rsidRPr="00152B6A">
        <w:rPr>
          <w:rFonts w:ascii="SimSun" w:eastAsia="SimSun" w:hAnsi="SimSun" w:cs="Arial" w:hint="eastAsia"/>
          <w:sz w:val="21"/>
          <w:lang w:eastAsia="zh-CN"/>
        </w:rPr>
        <w:t>传统知识</w:t>
      </w:r>
      <w:r w:rsidR="007A1E6B" w:rsidRPr="00152B6A">
        <w:rPr>
          <w:rFonts w:ascii="SimSun" w:eastAsia="SimSun" w:hAnsi="SimSun" w:cs="Arial" w:hint="eastAsia"/>
          <w:sz w:val="21"/>
          <w:lang w:eastAsia="zh-CN"/>
        </w:rPr>
        <w:t>和</w:t>
      </w:r>
      <w:r w:rsidR="007A1E6B" w:rsidRPr="00152B6A">
        <w:rPr>
          <w:rFonts w:ascii="SimSun" w:eastAsia="SimSun" w:hAnsi="SimSun" w:cs="Arial" w:hint="eastAsia"/>
          <w:sz w:val="21"/>
          <w:lang w:eastAsia="zh-CN"/>
        </w:rPr>
        <w:t>/</w:t>
      </w:r>
      <w:r w:rsidR="007A1E6B" w:rsidRPr="00152B6A">
        <w:rPr>
          <w:rFonts w:ascii="SimSun" w:eastAsia="SimSun" w:hAnsi="SimSun" w:cs="Arial" w:hint="eastAsia"/>
          <w:sz w:val="21"/>
          <w:lang w:eastAsia="zh-CN"/>
        </w:rPr>
        <w:t>或</w:t>
      </w:r>
      <w:r w:rsidR="007A1E6B" w:rsidRPr="00152B6A">
        <w:rPr>
          <w:rFonts w:ascii="SimSun" w:eastAsia="SimSun" w:hAnsi="SimSun" w:cs="Arial" w:hint="eastAsia"/>
          <w:sz w:val="21"/>
          <w:lang w:eastAsia="zh-CN"/>
        </w:rPr>
        <w:t>传统文化表现形式</w:t>
      </w:r>
      <w:r w:rsidR="007A1E6B" w:rsidRPr="00152B6A">
        <w:rPr>
          <w:rFonts w:ascii="SimSun" w:eastAsia="SimSun" w:hAnsi="SimSun" w:cs="Arial" w:hint="eastAsia"/>
          <w:sz w:val="21"/>
          <w:lang w:eastAsia="zh-CN"/>
        </w:rPr>
        <w:t>条款草案的起草上取得进展。我提出的部分问题跨越了</w:t>
      </w:r>
      <w:r w:rsidR="007A1E6B" w:rsidRPr="00152B6A">
        <w:rPr>
          <w:rFonts w:ascii="SimSun" w:eastAsia="SimSun" w:hAnsi="SimSun" w:cs="Arial" w:hint="eastAsia"/>
          <w:sz w:val="21"/>
          <w:lang w:eastAsia="zh-CN"/>
        </w:rPr>
        <w:t>传统知识</w:t>
      </w:r>
      <w:r w:rsidR="007A1E6B" w:rsidRPr="00152B6A">
        <w:rPr>
          <w:rFonts w:ascii="SimSun" w:eastAsia="SimSun" w:hAnsi="SimSun" w:cs="Arial" w:hint="eastAsia"/>
          <w:sz w:val="21"/>
          <w:lang w:eastAsia="zh-CN"/>
        </w:rPr>
        <w:t>和</w:t>
      </w:r>
      <w:r w:rsidR="007A1E6B" w:rsidRPr="00152B6A">
        <w:rPr>
          <w:rFonts w:ascii="SimSun" w:eastAsia="SimSun" w:hAnsi="SimSun" w:cs="Arial" w:hint="eastAsia"/>
          <w:sz w:val="21"/>
          <w:lang w:eastAsia="zh-CN"/>
        </w:rPr>
        <w:t>传统文化表现形式</w:t>
      </w:r>
      <w:r w:rsidR="007A1E6B" w:rsidRPr="00152B6A">
        <w:rPr>
          <w:rFonts w:ascii="SimSun" w:eastAsia="SimSun" w:hAnsi="SimSun" w:cs="Arial" w:hint="eastAsia"/>
          <w:sz w:val="21"/>
          <w:lang w:eastAsia="zh-CN"/>
        </w:rPr>
        <w:t>两份案文(横向跨领域)，并且/或者</w:t>
      </w:r>
      <w:r w:rsidR="00152B6A" w:rsidRPr="00152B6A">
        <w:rPr>
          <w:rFonts w:ascii="SimSun" w:eastAsia="SimSun" w:hAnsi="SimSun" w:cs="Arial" w:hint="eastAsia"/>
          <w:sz w:val="21"/>
          <w:lang w:eastAsia="zh-CN"/>
        </w:rPr>
        <w:t>贯穿</w:t>
      </w:r>
      <w:r w:rsidR="007A1E6B" w:rsidRPr="00152B6A">
        <w:rPr>
          <w:rFonts w:ascii="SimSun" w:eastAsia="SimSun" w:hAnsi="SimSun" w:cs="Arial" w:hint="eastAsia"/>
          <w:sz w:val="21"/>
          <w:lang w:eastAsia="zh-CN"/>
        </w:rPr>
        <w:t>其中至少一份案文</w:t>
      </w:r>
      <w:r w:rsidR="00152B6A" w:rsidRPr="00152B6A">
        <w:rPr>
          <w:rFonts w:ascii="SimSun" w:eastAsia="SimSun" w:hAnsi="SimSun" w:cs="Arial" w:hint="eastAsia"/>
          <w:sz w:val="21"/>
          <w:lang w:eastAsia="zh-CN"/>
        </w:rPr>
        <w:t>的</w:t>
      </w:r>
      <w:r w:rsidR="007A1E6B" w:rsidRPr="00152B6A">
        <w:rPr>
          <w:rFonts w:ascii="SimSun" w:eastAsia="SimSun" w:hAnsi="SimSun" w:cs="Arial" w:hint="eastAsia"/>
          <w:sz w:val="21"/>
          <w:lang w:eastAsia="zh-CN"/>
        </w:rPr>
        <w:t>全部或多数</w:t>
      </w:r>
      <w:r w:rsidR="00152B6A" w:rsidRPr="00152B6A">
        <w:rPr>
          <w:rFonts w:ascii="SimSun" w:eastAsia="SimSun" w:hAnsi="SimSun" w:cs="Arial" w:hint="eastAsia"/>
          <w:sz w:val="21"/>
          <w:lang w:eastAsia="zh-CN"/>
        </w:rPr>
        <w:t>条款(</w:t>
      </w:r>
      <w:r w:rsidR="00101B02">
        <w:rPr>
          <w:rFonts w:ascii="SimSun" w:eastAsia="SimSun" w:hAnsi="SimSun" w:cs="Arial" w:hint="eastAsia"/>
          <w:sz w:val="21"/>
          <w:lang w:eastAsia="zh-CN"/>
        </w:rPr>
        <w:t>纵向</w:t>
      </w:r>
      <w:r w:rsidR="00152B6A" w:rsidRPr="00152B6A">
        <w:rPr>
          <w:rFonts w:ascii="SimSun" w:eastAsia="SimSun" w:hAnsi="SimSun" w:cs="Arial" w:hint="eastAsia"/>
          <w:sz w:val="21"/>
          <w:lang w:eastAsia="zh-CN"/>
        </w:rPr>
        <w:t>跨领域)。此外，IGC 27的跨领域讨论也可以在两份案文之间进行更直接、交互性更强的比较，使IGC可以</w:t>
      </w:r>
      <w:r w:rsidR="00101B02">
        <w:rPr>
          <w:rFonts w:ascii="SimSun" w:eastAsia="SimSun" w:hAnsi="SimSun" w:cs="Arial" w:hint="eastAsia"/>
          <w:sz w:val="21"/>
          <w:lang w:eastAsia="zh-CN"/>
        </w:rPr>
        <w:t>商定</w:t>
      </w:r>
      <w:r w:rsidR="00152B6A" w:rsidRPr="00152B6A">
        <w:rPr>
          <w:rFonts w:ascii="SimSun" w:eastAsia="SimSun" w:hAnsi="SimSun" w:cs="Arial" w:hint="eastAsia"/>
          <w:sz w:val="21"/>
          <w:lang w:eastAsia="zh-CN"/>
        </w:rPr>
        <w:t>，</w:t>
      </w:r>
      <w:r w:rsidR="00101B02">
        <w:rPr>
          <w:rFonts w:ascii="SimSun" w:eastAsia="SimSun" w:hAnsi="SimSun" w:cs="Arial" w:hint="eastAsia"/>
          <w:sz w:val="21"/>
          <w:lang w:eastAsia="zh-CN"/>
        </w:rPr>
        <w:t>比</w:t>
      </w:r>
      <w:r w:rsidR="00152B6A" w:rsidRPr="00152B6A">
        <w:rPr>
          <w:rFonts w:ascii="SimSun" w:eastAsia="SimSun" w:hAnsi="SimSun" w:cs="Arial" w:hint="eastAsia"/>
          <w:sz w:val="21"/>
          <w:lang w:eastAsia="zh-CN"/>
        </w:rPr>
        <w:t>如，传统知识案文中的一条规定、一段措辞或用语应当从传统文化表现形式</w:t>
      </w:r>
      <w:r w:rsidR="00101B02">
        <w:rPr>
          <w:rFonts w:ascii="SimSun" w:eastAsia="SimSun" w:hAnsi="SimSun" w:cs="Arial" w:hint="eastAsia"/>
          <w:sz w:val="21"/>
          <w:lang w:eastAsia="zh-CN"/>
        </w:rPr>
        <w:t>案文</w:t>
      </w:r>
      <w:r w:rsidR="00152B6A" w:rsidRPr="00152B6A">
        <w:rPr>
          <w:rFonts w:ascii="SimSun" w:eastAsia="SimSun" w:hAnsi="SimSun" w:cs="Arial" w:hint="eastAsia"/>
          <w:sz w:val="21"/>
          <w:lang w:eastAsia="zh-CN"/>
        </w:rPr>
        <w:t>借用，反之亦然。</w:t>
      </w:r>
    </w:p>
    <w:p w:rsidR="00C634D1" w:rsidRPr="00152B6A" w:rsidRDefault="00C634D1" w:rsidP="00152B6A">
      <w:pPr>
        <w:pStyle w:val="Body1"/>
        <w:spacing w:afterLines="50" w:after="120" w:line="340" w:lineRule="atLeast"/>
        <w:jc w:val="both"/>
        <w:rPr>
          <w:rFonts w:ascii="SimSun" w:eastAsia="SimSun" w:hAnsi="SimSun" w:cs="Arial"/>
          <w:sz w:val="21"/>
          <w:szCs w:val="22"/>
        </w:rPr>
      </w:pPr>
      <w:r w:rsidRPr="00152B6A">
        <w:rPr>
          <w:rFonts w:ascii="SimSun" w:eastAsia="SimSun" w:hAnsi="SimSun" w:cs="Arial"/>
          <w:sz w:val="21"/>
          <w:szCs w:val="22"/>
        </w:rPr>
        <w:t>4.</w:t>
      </w:r>
      <w:r w:rsidRPr="00152B6A">
        <w:rPr>
          <w:rFonts w:ascii="SimSun" w:eastAsia="SimSun" w:hAnsi="SimSun" w:cs="Arial"/>
          <w:sz w:val="21"/>
          <w:szCs w:val="22"/>
        </w:rPr>
        <w:tab/>
      </w:r>
      <w:r w:rsidR="00152B6A" w:rsidRPr="00152B6A">
        <w:rPr>
          <w:rFonts w:ascii="SimSun" w:eastAsia="SimSun" w:hAnsi="SimSun" w:cs="Arial" w:hint="eastAsia"/>
          <w:sz w:val="21"/>
          <w:szCs w:val="22"/>
          <w:lang w:eastAsia="zh-CN"/>
        </w:rPr>
        <w:t>我找出的四个跨领域问题是：</w:t>
      </w:r>
    </w:p>
    <w:p w:rsidR="00C634D1" w:rsidRPr="00152B6A" w:rsidRDefault="00C634D1" w:rsidP="00152B6A">
      <w:pPr>
        <w:pStyle w:val="Body1"/>
        <w:spacing w:afterLines="50" w:after="120" w:line="340" w:lineRule="atLeast"/>
        <w:ind w:left="567"/>
        <w:contextualSpacing/>
        <w:jc w:val="both"/>
        <w:rPr>
          <w:rFonts w:ascii="SimSun" w:eastAsia="SimSun" w:hAnsi="SimSun" w:cs="Arial"/>
          <w:sz w:val="21"/>
          <w:szCs w:val="22"/>
        </w:rPr>
      </w:pPr>
      <w:r w:rsidRPr="00152B6A">
        <w:rPr>
          <w:rFonts w:ascii="SimSun" w:eastAsia="SimSun" w:hAnsi="SimSun" w:cs="Arial"/>
          <w:sz w:val="21"/>
          <w:szCs w:val="22"/>
        </w:rPr>
        <w:t xml:space="preserve">(1) </w:t>
      </w:r>
      <w:r w:rsidR="00152B6A" w:rsidRPr="00152B6A">
        <w:rPr>
          <w:rFonts w:ascii="SimSun" w:eastAsia="SimSun" w:hAnsi="SimSun" w:cs="Arial" w:hint="eastAsia"/>
          <w:sz w:val="21"/>
          <w:szCs w:val="22"/>
          <w:lang w:eastAsia="zh-CN"/>
        </w:rPr>
        <w:t>“传统”的含义；</w:t>
      </w:r>
    </w:p>
    <w:p w:rsidR="00C634D1" w:rsidRPr="00152B6A" w:rsidRDefault="00C634D1" w:rsidP="00152B6A">
      <w:pPr>
        <w:pStyle w:val="Body1"/>
        <w:spacing w:afterLines="50" w:after="120" w:line="340" w:lineRule="atLeast"/>
        <w:ind w:left="567"/>
        <w:contextualSpacing/>
        <w:jc w:val="both"/>
        <w:rPr>
          <w:rFonts w:ascii="SimSun" w:eastAsia="SimSun" w:hAnsi="SimSun" w:cs="Arial"/>
          <w:sz w:val="21"/>
          <w:szCs w:val="22"/>
        </w:rPr>
      </w:pPr>
      <w:r w:rsidRPr="00152B6A">
        <w:rPr>
          <w:rFonts w:ascii="SimSun" w:eastAsia="SimSun" w:hAnsi="SimSun" w:cs="Arial"/>
          <w:sz w:val="21"/>
          <w:szCs w:val="22"/>
        </w:rPr>
        <w:t xml:space="preserve">(2) </w:t>
      </w:r>
      <w:r w:rsidR="00152B6A" w:rsidRPr="00152B6A">
        <w:rPr>
          <w:rFonts w:ascii="SimSun" w:eastAsia="SimSun" w:hAnsi="SimSun" w:cs="Arial" w:hint="eastAsia"/>
          <w:sz w:val="21"/>
          <w:szCs w:val="22"/>
          <w:lang w:eastAsia="zh-CN"/>
        </w:rPr>
        <w:t>保护的受益人，特别是国家或“国家实体”的作用；</w:t>
      </w:r>
    </w:p>
    <w:p w:rsidR="00C634D1" w:rsidRPr="00152B6A" w:rsidRDefault="00C634D1" w:rsidP="00152B6A">
      <w:pPr>
        <w:pStyle w:val="Body1"/>
        <w:spacing w:afterLines="50" w:after="120" w:line="340" w:lineRule="atLeast"/>
        <w:ind w:left="567"/>
        <w:contextualSpacing/>
        <w:jc w:val="both"/>
        <w:rPr>
          <w:rFonts w:ascii="SimSun" w:eastAsia="SimSun" w:hAnsi="SimSun" w:cs="Arial"/>
          <w:sz w:val="21"/>
          <w:szCs w:val="22"/>
        </w:rPr>
      </w:pPr>
      <w:r w:rsidRPr="00152B6A">
        <w:rPr>
          <w:rFonts w:ascii="SimSun" w:eastAsia="SimSun" w:hAnsi="SimSun" w:cs="Arial"/>
          <w:sz w:val="21"/>
          <w:szCs w:val="22"/>
        </w:rPr>
        <w:t xml:space="preserve">(3) </w:t>
      </w:r>
      <w:r w:rsidR="00152B6A" w:rsidRPr="00152B6A">
        <w:rPr>
          <w:rFonts w:ascii="SimSun" w:eastAsia="SimSun" w:hAnsi="SimSun" w:cs="Arial" w:hint="eastAsia"/>
          <w:sz w:val="21"/>
          <w:szCs w:val="22"/>
          <w:lang w:eastAsia="zh-CN"/>
        </w:rPr>
        <w:t>权利的性质，包括“盗用”和“滥用”的含义；以及</w:t>
      </w:r>
    </w:p>
    <w:p w:rsidR="00C634D1" w:rsidRPr="00152B6A" w:rsidRDefault="00C634D1" w:rsidP="00152B6A">
      <w:pPr>
        <w:pStyle w:val="Body1"/>
        <w:spacing w:afterLines="50" w:after="120" w:line="340" w:lineRule="atLeast"/>
        <w:ind w:left="567"/>
        <w:jc w:val="both"/>
        <w:rPr>
          <w:rFonts w:ascii="SimSun" w:eastAsia="SimSun" w:hAnsi="SimSun" w:cs="Arial"/>
          <w:sz w:val="21"/>
          <w:szCs w:val="22"/>
        </w:rPr>
      </w:pPr>
      <w:r w:rsidRPr="00152B6A">
        <w:rPr>
          <w:rFonts w:ascii="SimSun" w:eastAsia="SimSun" w:hAnsi="SimSun" w:cs="Arial"/>
          <w:sz w:val="21"/>
          <w:szCs w:val="22"/>
          <w:lang w:eastAsia="zh-CN"/>
        </w:rPr>
        <w:t xml:space="preserve">(4) </w:t>
      </w:r>
      <w:r w:rsidR="00152B6A" w:rsidRPr="00152B6A">
        <w:rPr>
          <w:rFonts w:ascii="SimSun" w:eastAsia="SimSun" w:hAnsi="SimSun" w:cs="Arial" w:hint="eastAsia"/>
          <w:sz w:val="21"/>
          <w:szCs w:val="22"/>
          <w:lang w:eastAsia="zh-CN"/>
        </w:rPr>
        <w:t>公开可用和/或广泛分布的</w:t>
      </w:r>
      <w:r w:rsidR="00152B6A" w:rsidRPr="00152B6A">
        <w:rPr>
          <w:rFonts w:ascii="SimSun" w:eastAsia="SimSun" w:hAnsi="SimSun" w:cs="Arial" w:hint="eastAsia"/>
          <w:sz w:val="21"/>
          <w:lang w:eastAsia="zh-CN"/>
        </w:rPr>
        <w:t>传统知识和传统文化表现形式</w:t>
      </w:r>
      <w:r w:rsidR="00152B6A" w:rsidRPr="00152B6A">
        <w:rPr>
          <w:rFonts w:ascii="SimSun" w:eastAsia="SimSun" w:hAnsi="SimSun" w:cs="Arial" w:hint="eastAsia"/>
          <w:sz w:val="21"/>
          <w:lang w:eastAsia="zh-CN"/>
        </w:rPr>
        <w:t>的处理。</w:t>
      </w:r>
    </w:p>
    <w:p w:rsidR="00C634D1" w:rsidRPr="00152B6A" w:rsidRDefault="00152B6A" w:rsidP="00152B6A">
      <w:pPr>
        <w:pStyle w:val="Body1"/>
        <w:spacing w:afterLines="50" w:after="120" w:line="340" w:lineRule="atLeast"/>
        <w:jc w:val="both"/>
        <w:rPr>
          <w:rFonts w:ascii="SimSun" w:eastAsia="SimSun" w:hAnsi="SimSun" w:cs="Arial"/>
          <w:sz w:val="21"/>
          <w:szCs w:val="22"/>
          <w:lang w:eastAsia="zh-CN"/>
        </w:rPr>
      </w:pPr>
      <w:r>
        <w:rPr>
          <w:rFonts w:ascii="SimSun" w:eastAsia="SimSun" w:hAnsi="SimSun" w:cs="Arial" w:hint="eastAsia"/>
          <w:sz w:val="21"/>
          <w:szCs w:val="22"/>
          <w:lang w:eastAsia="zh-CN"/>
        </w:rPr>
        <w:t>5.</w:t>
      </w:r>
      <w:r>
        <w:rPr>
          <w:rFonts w:ascii="SimSun" w:eastAsia="SimSun" w:hAnsi="SimSun" w:cs="Arial" w:hint="eastAsia"/>
          <w:sz w:val="21"/>
          <w:szCs w:val="22"/>
          <w:lang w:eastAsia="zh-CN"/>
        </w:rPr>
        <w:tab/>
      </w:r>
      <w:r w:rsidRPr="00152B6A">
        <w:rPr>
          <w:rFonts w:ascii="SimSun" w:eastAsia="SimSun" w:hAnsi="SimSun" w:cs="Arial" w:hint="eastAsia"/>
          <w:sz w:val="21"/>
          <w:szCs w:val="22"/>
          <w:lang w:eastAsia="zh-CN"/>
        </w:rPr>
        <w:t>上表不一定完全，代表团可以提出其他跨领域问题供审议。</w:t>
      </w:r>
    </w:p>
    <w:p w:rsidR="00152B6A" w:rsidRPr="00152B6A" w:rsidRDefault="00152B6A" w:rsidP="00152B6A">
      <w:pPr>
        <w:pStyle w:val="Body1"/>
        <w:spacing w:afterLines="50" w:after="120" w:line="340" w:lineRule="atLeast"/>
        <w:jc w:val="both"/>
        <w:rPr>
          <w:rFonts w:ascii="SimSun" w:eastAsia="SimSun" w:hAnsi="SimSun" w:cs="Arial" w:hint="eastAsia"/>
          <w:sz w:val="21"/>
          <w:szCs w:val="22"/>
          <w:lang w:eastAsia="zh-CN"/>
        </w:rPr>
      </w:pPr>
      <w:r>
        <w:rPr>
          <w:rFonts w:ascii="SimSun" w:eastAsia="SimSun" w:hAnsi="SimSun" w:cs="Arial" w:hint="eastAsia"/>
          <w:sz w:val="21"/>
          <w:szCs w:val="22"/>
          <w:lang w:eastAsia="zh-CN"/>
        </w:rPr>
        <w:t>6.</w:t>
      </w:r>
      <w:r>
        <w:rPr>
          <w:rFonts w:ascii="SimSun" w:eastAsia="SimSun" w:hAnsi="SimSun" w:cs="Arial" w:hint="eastAsia"/>
          <w:sz w:val="21"/>
          <w:szCs w:val="22"/>
          <w:lang w:eastAsia="zh-CN"/>
        </w:rPr>
        <w:tab/>
      </w:r>
      <w:r w:rsidRPr="00152B6A">
        <w:rPr>
          <w:rFonts w:ascii="SimSun" w:eastAsia="SimSun" w:hAnsi="SimSun" w:cs="Arial" w:hint="eastAsia"/>
          <w:sz w:val="21"/>
          <w:szCs w:val="22"/>
          <w:lang w:eastAsia="zh-CN"/>
        </w:rPr>
        <w:t>对于我</w:t>
      </w:r>
      <w:r w:rsidR="00101B02">
        <w:rPr>
          <w:rFonts w:ascii="SimSun" w:eastAsia="SimSun" w:hAnsi="SimSun" w:cs="Arial" w:hint="eastAsia"/>
          <w:sz w:val="21"/>
          <w:szCs w:val="22"/>
          <w:lang w:eastAsia="zh-CN"/>
        </w:rPr>
        <w:t>找</w:t>
      </w:r>
      <w:r w:rsidRPr="00152B6A">
        <w:rPr>
          <w:rFonts w:ascii="SimSun" w:eastAsia="SimSun" w:hAnsi="SimSun" w:cs="Arial" w:hint="eastAsia"/>
          <w:sz w:val="21"/>
          <w:szCs w:val="22"/>
          <w:lang w:eastAsia="zh-CN"/>
        </w:rPr>
        <w:t>出的每一个问题，可能时我还在非正式文件中介绍了其有哪些影响，主要的办法有哪些，我还努力指出处理时可用的选项。</w:t>
      </w:r>
    </w:p>
    <w:p w:rsidR="002637B9" w:rsidRPr="00152B6A" w:rsidRDefault="00152B6A" w:rsidP="00152B6A">
      <w:pPr>
        <w:pStyle w:val="Body1"/>
        <w:spacing w:afterLines="50" w:after="120" w:line="340" w:lineRule="atLeast"/>
        <w:jc w:val="both"/>
        <w:rPr>
          <w:rFonts w:ascii="SimSun" w:eastAsia="SimSun" w:hAnsi="SimSun"/>
          <w:sz w:val="22"/>
          <w:szCs w:val="21"/>
          <w:lang w:eastAsia="zh-CN"/>
        </w:rPr>
      </w:pPr>
      <w:r>
        <w:rPr>
          <w:rFonts w:ascii="SimSun" w:eastAsia="SimSun" w:hAnsi="SimSun" w:cs="Arial" w:hint="eastAsia"/>
          <w:sz w:val="21"/>
          <w:szCs w:val="22"/>
          <w:lang w:eastAsia="zh-CN"/>
        </w:rPr>
        <w:t>7.</w:t>
      </w:r>
      <w:r>
        <w:rPr>
          <w:rFonts w:ascii="SimSun" w:eastAsia="SimSun" w:hAnsi="SimSun" w:cs="Arial" w:hint="eastAsia"/>
          <w:sz w:val="21"/>
          <w:szCs w:val="22"/>
          <w:lang w:eastAsia="zh-CN"/>
        </w:rPr>
        <w:tab/>
      </w:r>
      <w:r w:rsidRPr="00152B6A">
        <w:rPr>
          <w:rFonts w:ascii="SimSun" w:eastAsia="SimSun" w:hAnsi="SimSun" w:cs="Arial" w:hint="eastAsia"/>
          <w:sz w:val="21"/>
          <w:szCs w:val="22"/>
          <w:lang w:eastAsia="zh-CN"/>
        </w:rPr>
        <w:t>第二十七届会议的与会者不妨按其认为适当的方式在为会议做准备时使用这份信息文件和非正式文件，但</w:t>
      </w:r>
      <w:bookmarkStart w:id="2" w:name="_GoBack"/>
      <w:bookmarkEnd w:id="2"/>
      <w:r w:rsidRPr="00152B6A">
        <w:rPr>
          <w:rFonts w:ascii="SimSun" w:eastAsia="SimSun" w:hAnsi="SimSun" w:cs="Arial" w:hint="eastAsia"/>
          <w:sz w:val="21"/>
          <w:szCs w:val="22"/>
          <w:lang w:eastAsia="zh-CN"/>
        </w:rPr>
        <w:t>要牢记这两份文件不打算作为工作文件。</w:t>
      </w:r>
    </w:p>
    <w:p w:rsidR="00152B6A" w:rsidRDefault="00152B6A" w:rsidP="00E04C0A">
      <w:pPr>
        <w:spacing w:line="340" w:lineRule="atLeast"/>
        <w:ind w:left="5534"/>
        <w:rPr>
          <w:rFonts w:eastAsia="KaiTi" w:hint="eastAsia"/>
          <w:szCs w:val="21"/>
        </w:rPr>
      </w:pPr>
    </w:p>
    <w:p w:rsidR="00D06DF8" w:rsidRPr="00E04C0A" w:rsidRDefault="002637B9" w:rsidP="00E04C0A">
      <w:pPr>
        <w:spacing w:line="340" w:lineRule="atLeast"/>
        <w:ind w:left="5534"/>
        <w:rPr>
          <w:rFonts w:eastAsia="KaiTi"/>
          <w:szCs w:val="21"/>
        </w:rPr>
      </w:pPr>
      <w:r w:rsidRPr="002637B9">
        <w:rPr>
          <w:rFonts w:eastAsia="KaiTi" w:hint="eastAsia"/>
          <w:szCs w:val="21"/>
        </w:rPr>
        <w:t>［</w:t>
      </w:r>
      <w:r w:rsidR="00152B6A">
        <w:rPr>
          <w:rFonts w:eastAsia="KaiTi" w:hint="eastAsia"/>
          <w:szCs w:val="21"/>
        </w:rPr>
        <w:t>附件和</w:t>
      </w:r>
      <w:r w:rsidRPr="002637B9">
        <w:rPr>
          <w:rFonts w:eastAsia="KaiTi" w:hint="eastAsia"/>
          <w:szCs w:val="21"/>
        </w:rPr>
        <w:t>文件完］</w:t>
      </w:r>
    </w:p>
    <w:sectPr w:rsidR="00D06DF8" w:rsidRPr="00E04C0A" w:rsidSect="002637B9">
      <w:headerReference w:type="first" r:id="rId11"/>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19351B">
      <w:rPr>
        <w:rFonts w:ascii="SimSun" w:hint="eastAsia"/>
        <w:szCs w:val="21"/>
      </w:rPr>
      <w:t>7</w:t>
    </w:r>
    <w:r w:rsidR="00267698" w:rsidRPr="00A96EC9">
      <w:rPr>
        <w:rFonts w:ascii="SimSun"/>
        <w:szCs w:val="21"/>
      </w:rPr>
      <w:t>/INF/</w:t>
    </w:r>
    <w:r w:rsidR="00267698">
      <w:rPr>
        <w:rFonts w:ascii="SimSun" w:hint="eastAsia"/>
        <w:szCs w:val="21"/>
      </w:rPr>
      <w:t>10</w:t>
    </w:r>
  </w:p>
  <w:p w:rsidR="00E039D8" w:rsidRPr="00A96EC9" w:rsidRDefault="00E039D8" w:rsidP="002637B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267698">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4D1" w:rsidRPr="00C634D1" w:rsidRDefault="00C634D1" w:rsidP="00C634D1">
    <w:pPr>
      <w:jc w:val="right"/>
      <w:rPr>
        <w:rFonts w:ascii="SimSun" w:hAnsi="SimSun"/>
      </w:rPr>
    </w:pPr>
    <w:bookmarkStart w:id="3" w:name="Code2"/>
    <w:bookmarkEnd w:id="3"/>
    <w:r w:rsidRPr="00C634D1">
      <w:rPr>
        <w:rFonts w:ascii="SimSun" w:hAnsi="SimSun"/>
      </w:rPr>
      <w:t>WIPO/GRTKF/IC/27/INF/10</w:t>
    </w:r>
  </w:p>
  <w:p w:rsidR="00C634D1" w:rsidRPr="00C634D1" w:rsidRDefault="00C634D1" w:rsidP="00C634D1">
    <w:pPr>
      <w:jc w:val="right"/>
      <w:rPr>
        <w:rFonts w:ascii="SimSun" w:hAnsi="SimSun"/>
      </w:rPr>
    </w:pPr>
    <w:r>
      <w:rPr>
        <w:rFonts w:ascii="SimSun" w:hAnsi="SimSun" w:hint="eastAsia"/>
      </w:rPr>
      <w:t>附　件</w:t>
    </w:r>
  </w:p>
  <w:p w:rsidR="00C634D1" w:rsidRPr="00C634D1" w:rsidRDefault="00C634D1" w:rsidP="00C634D1">
    <w:pPr>
      <w:jc w:val="right"/>
      <w:rPr>
        <w:rFonts w:ascii="SimSun" w:hAnsi="SimSun" w:hint="eastAsia"/>
      </w:rPr>
    </w:pPr>
  </w:p>
  <w:p w:rsidR="00C634D1" w:rsidRPr="00C634D1" w:rsidRDefault="00C634D1" w:rsidP="00C634D1">
    <w:pPr>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
    <w:nsid w:val="71AA6437"/>
    <w:multiLevelType w:val="hybridMultilevel"/>
    <w:tmpl w:val="B5B80628"/>
    <w:lvl w:ilvl="0" w:tplc="7188EBB4">
      <w:start w:val="5"/>
      <w:numFmt w:val="decimal"/>
      <w:lvlText w:val="%1."/>
      <w:lvlJc w:val="left"/>
      <w:pPr>
        <w:ind w:left="720" w:hanging="360"/>
      </w:pPr>
      <w:rPr>
        <w:rFonts w:ascii="Arial" w:hAnsi="Arial" w:cs="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2150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5144C"/>
    <w:rsid w:val="00081ECA"/>
    <w:rsid w:val="0008642A"/>
    <w:rsid w:val="00091B97"/>
    <w:rsid w:val="000C1C9B"/>
    <w:rsid w:val="000C316B"/>
    <w:rsid w:val="00101B02"/>
    <w:rsid w:val="00126CF3"/>
    <w:rsid w:val="001512FD"/>
    <w:rsid w:val="00152B6A"/>
    <w:rsid w:val="00153420"/>
    <w:rsid w:val="0019351B"/>
    <w:rsid w:val="00231F3C"/>
    <w:rsid w:val="002637B9"/>
    <w:rsid w:val="00267698"/>
    <w:rsid w:val="00293C70"/>
    <w:rsid w:val="002B27B9"/>
    <w:rsid w:val="00337BE2"/>
    <w:rsid w:val="00395A33"/>
    <w:rsid w:val="005A32A4"/>
    <w:rsid w:val="00631B8A"/>
    <w:rsid w:val="0071011E"/>
    <w:rsid w:val="007773AA"/>
    <w:rsid w:val="007A1E6B"/>
    <w:rsid w:val="00807D72"/>
    <w:rsid w:val="008127E7"/>
    <w:rsid w:val="008470FA"/>
    <w:rsid w:val="00886EB3"/>
    <w:rsid w:val="008A742E"/>
    <w:rsid w:val="00916446"/>
    <w:rsid w:val="0092299F"/>
    <w:rsid w:val="009439DB"/>
    <w:rsid w:val="009509E3"/>
    <w:rsid w:val="00963D8E"/>
    <w:rsid w:val="009C25A5"/>
    <w:rsid w:val="00A254B4"/>
    <w:rsid w:val="00A47907"/>
    <w:rsid w:val="00A92744"/>
    <w:rsid w:val="00AA6E01"/>
    <w:rsid w:val="00B164E4"/>
    <w:rsid w:val="00BA1DDD"/>
    <w:rsid w:val="00C23496"/>
    <w:rsid w:val="00C32DA6"/>
    <w:rsid w:val="00C46704"/>
    <w:rsid w:val="00C634D1"/>
    <w:rsid w:val="00C9315E"/>
    <w:rsid w:val="00D06DF8"/>
    <w:rsid w:val="00D7295E"/>
    <w:rsid w:val="00E039D8"/>
    <w:rsid w:val="00E04C0A"/>
    <w:rsid w:val="00E32884"/>
    <w:rsid w:val="00E7568F"/>
    <w:rsid w:val="00EA679E"/>
    <w:rsid w:val="00F1034B"/>
    <w:rsid w:val="00F540D2"/>
    <w:rsid w:val="00F9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customStyle="1" w:styleId="DecisionInvitingPara">
    <w:name w:val="Decision Inviting Para."/>
    <w:basedOn w:val="a"/>
    <w:uiPriority w:val="99"/>
    <w:rsid w:val="00C634D1"/>
    <w:pPr>
      <w:widowControl/>
      <w:spacing w:after="120" w:line="260" w:lineRule="atLeast"/>
      <w:ind w:left="5534"/>
      <w:contextualSpacing/>
      <w:jc w:val="left"/>
    </w:pPr>
    <w:rPr>
      <w:rFonts w:ascii="Arial" w:hAnsi="Arial"/>
      <w:i/>
      <w:kern w:val="0"/>
      <w:sz w:val="20"/>
      <w:szCs w:val="20"/>
      <w:lang w:eastAsia="en-US"/>
    </w:rPr>
  </w:style>
  <w:style w:type="paragraph" w:customStyle="1" w:styleId="Body1">
    <w:name w:val="Body 1"/>
    <w:uiPriority w:val="99"/>
    <w:rsid w:val="00C634D1"/>
    <w:pPr>
      <w:outlineLvl w:val="0"/>
    </w:pPr>
    <w:rPr>
      <w:rFonts w:ascii="Times New Roman" w:eastAsia="Arial Unicode MS" w:hAnsi="Times New Roman"/>
      <w:color w:val="000000"/>
      <w:sz w:val="24"/>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customStyle="1" w:styleId="DecisionInvitingPara">
    <w:name w:val="Decision Inviting Para."/>
    <w:basedOn w:val="a"/>
    <w:uiPriority w:val="99"/>
    <w:rsid w:val="00C634D1"/>
    <w:pPr>
      <w:widowControl/>
      <w:spacing w:after="120" w:line="260" w:lineRule="atLeast"/>
      <w:ind w:left="5534"/>
      <w:contextualSpacing/>
      <w:jc w:val="left"/>
    </w:pPr>
    <w:rPr>
      <w:rFonts w:ascii="Arial" w:hAnsi="Arial"/>
      <w:i/>
      <w:kern w:val="0"/>
      <w:sz w:val="20"/>
      <w:szCs w:val="20"/>
      <w:lang w:eastAsia="en-US"/>
    </w:rPr>
  </w:style>
  <w:style w:type="paragraph" w:customStyle="1" w:styleId="Body1">
    <w:name w:val="Body 1"/>
    <w:uiPriority w:val="99"/>
    <w:rsid w:val="00C634D1"/>
    <w:pPr>
      <w:outlineLvl w:val="0"/>
    </w:pPr>
    <w:rPr>
      <w:rFonts w:ascii="Times New Roman" w:eastAsia="Arial Unicode MS" w:hAnsi="Times New Roman"/>
      <w:color w:val="000000"/>
      <w:sz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DFEE3-EDF8-4129-81E5-1A8D8CAE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701</Characters>
  <Application>Microsoft Office Word</Application>
  <DocSecurity>0</DocSecurity>
  <Lines>36</Lines>
  <Paragraphs>35</Paragraphs>
  <ScaleCrop>false</ScaleCrop>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2014-03-14T09:36:00Z</dcterms:created>
  <dcterms:modified xsi:type="dcterms:W3CDTF">2014-03-14T10:23:00Z</dcterms:modified>
</cp:coreProperties>
</file>