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2961C0" w:rsidRPr="002961C0" w:rsidTr="009A329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961C0" w:rsidRPr="002961C0" w:rsidRDefault="002961C0" w:rsidP="002961C0">
            <w:pPr>
              <w:rPr>
                <w:rFonts w:ascii="Times New Roman" w:hAnsi="Times New Roman" w:cs="Times New Roman"/>
                <w:sz w:val="24"/>
              </w:rPr>
            </w:pPr>
            <w:r w:rsidRPr="002961C0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0C988283" wp14:editId="51D39C8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61C0" w:rsidRPr="002961C0" w:rsidRDefault="002961C0" w:rsidP="002961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61C0" w:rsidRPr="002961C0" w:rsidRDefault="002961C0" w:rsidP="002961C0">
            <w:pPr>
              <w:jc w:val="right"/>
              <w:rPr>
                <w:sz w:val="24"/>
              </w:rPr>
            </w:pPr>
            <w:r w:rsidRPr="002961C0">
              <w:rPr>
                <w:b/>
                <w:sz w:val="40"/>
                <w:szCs w:val="40"/>
              </w:rPr>
              <w:t>C</w:t>
            </w:r>
          </w:p>
        </w:tc>
      </w:tr>
      <w:tr w:rsidR="002961C0" w:rsidRPr="002961C0" w:rsidTr="009A329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961C0" w:rsidRPr="002961C0" w:rsidRDefault="002961C0" w:rsidP="002961C0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2961C0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2961C0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2961C0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2961C0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2961C0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2961C0">
              <w:rPr>
                <w:rFonts w:ascii="Arial Black" w:hAnsi="Arial Black" w:cs="Times New Roman" w:hint="eastAsia"/>
                <w:caps/>
                <w:sz w:val="15"/>
              </w:rPr>
              <w:t>IC/30</w:t>
            </w:r>
            <w:r w:rsidRPr="002961C0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5</w:t>
            </w:r>
          </w:p>
        </w:tc>
      </w:tr>
      <w:tr w:rsidR="002961C0" w:rsidRPr="002961C0" w:rsidTr="009A329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961C0" w:rsidRPr="002961C0" w:rsidRDefault="002961C0" w:rsidP="002961C0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2961C0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2961C0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2961C0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2961C0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2961C0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2961C0" w:rsidRPr="002961C0" w:rsidTr="009A329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961C0" w:rsidRPr="002961C0" w:rsidRDefault="002961C0" w:rsidP="002961C0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2961C0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2961C0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2961C0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2961C0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2961C0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2961C0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6</w:t>
            </w:r>
            <w:r w:rsidRPr="002961C0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 w:rsidRPr="002961C0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3</w:t>
            </w:r>
            <w:r w:rsidRPr="002961C0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 w:rsidRPr="002961C0"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9</w:t>
            </w:r>
            <w:r w:rsidRPr="002961C0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2961C0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>
      <w:pPr>
        <w:rPr>
          <w:rFonts w:ascii="SimHei" w:eastAsia="SimHei" w:cs="Times New Roman"/>
          <w:sz w:val="28"/>
          <w:szCs w:val="28"/>
        </w:rPr>
      </w:pPr>
      <w:r w:rsidRPr="002961C0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2961C0">
        <w:rPr>
          <w:rFonts w:ascii="SimHei" w:eastAsia="SimHei" w:cs="Times New Roman"/>
          <w:sz w:val="28"/>
          <w:szCs w:val="28"/>
        </w:rPr>
        <w:br/>
      </w:r>
      <w:r w:rsidRPr="002961C0">
        <w:rPr>
          <w:rFonts w:ascii="SimHei" w:eastAsia="SimHei" w:cs="Times New Roman" w:hint="eastAsia"/>
          <w:sz w:val="28"/>
          <w:szCs w:val="28"/>
        </w:rPr>
        <w:t>政府间委员会</w:t>
      </w:r>
    </w:p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2961C0">
        <w:rPr>
          <w:rFonts w:ascii="KaiTi" w:eastAsia="KaiTi" w:hAnsi="Times New Roman" w:cs="Times New Roman" w:hint="eastAsia"/>
          <w:b/>
          <w:sz w:val="24"/>
          <w:szCs w:val="24"/>
        </w:rPr>
        <w:t>第三十届会议</w:t>
      </w:r>
    </w:p>
    <w:p w:rsidR="002961C0" w:rsidRPr="002961C0" w:rsidRDefault="002961C0" w:rsidP="002961C0">
      <w:pPr>
        <w:rPr>
          <w:rFonts w:ascii="KaiTi" w:eastAsia="KaiTi" w:hAnsi="KaiTi"/>
          <w:b/>
          <w:sz w:val="24"/>
          <w:szCs w:val="24"/>
        </w:rPr>
      </w:pPr>
      <w:r w:rsidRPr="002961C0">
        <w:rPr>
          <w:rFonts w:ascii="KaiTi" w:eastAsia="KaiTi" w:hAnsi="KaiTi" w:cs="Times New Roman"/>
          <w:sz w:val="24"/>
          <w:szCs w:val="24"/>
        </w:rPr>
        <w:t>201</w:t>
      </w:r>
      <w:r w:rsidRPr="002961C0">
        <w:rPr>
          <w:rFonts w:ascii="KaiTi" w:eastAsia="KaiTi" w:hAnsi="KaiTi" w:cs="Times New Roman" w:hint="eastAsia"/>
          <w:sz w:val="24"/>
          <w:szCs w:val="24"/>
        </w:rPr>
        <w:t>6</w:t>
      </w:r>
      <w:r w:rsidRPr="002961C0">
        <w:rPr>
          <w:rFonts w:ascii="KaiTi" w:eastAsia="KaiTi" w:hAnsi="KaiTi" w:hint="eastAsia"/>
          <w:b/>
          <w:sz w:val="24"/>
          <w:szCs w:val="24"/>
        </w:rPr>
        <w:t>年</w:t>
      </w:r>
      <w:r w:rsidRPr="002961C0">
        <w:rPr>
          <w:rFonts w:ascii="KaiTi" w:eastAsia="KaiTi" w:hAnsi="KaiTi" w:cs="Times New Roman" w:hint="eastAsia"/>
          <w:sz w:val="24"/>
          <w:szCs w:val="24"/>
        </w:rPr>
        <w:t>5</w:t>
      </w:r>
      <w:r w:rsidRPr="002961C0">
        <w:rPr>
          <w:rFonts w:ascii="KaiTi" w:eastAsia="KaiTi" w:hAnsi="KaiTi" w:hint="eastAsia"/>
          <w:b/>
          <w:sz w:val="24"/>
          <w:szCs w:val="24"/>
        </w:rPr>
        <w:t>月</w:t>
      </w:r>
      <w:r w:rsidRPr="002961C0">
        <w:rPr>
          <w:rFonts w:ascii="KaiTi" w:eastAsia="KaiTi" w:hAnsi="KaiTi" w:cs="Times New Roman" w:hint="eastAsia"/>
          <w:sz w:val="24"/>
          <w:szCs w:val="24"/>
        </w:rPr>
        <w:t>30</w:t>
      </w:r>
      <w:r w:rsidRPr="002961C0">
        <w:rPr>
          <w:rFonts w:ascii="KaiTi" w:eastAsia="KaiTi" w:hAnsi="KaiTi" w:hint="eastAsia"/>
          <w:b/>
          <w:sz w:val="24"/>
          <w:szCs w:val="24"/>
        </w:rPr>
        <w:t>日至</w:t>
      </w:r>
      <w:r w:rsidRPr="002961C0">
        <w:rPr>
          <w:rFonts w:ascii="KaiTi" w:eastAsia="KaiTi" w:hAnsi="KaiTi" w:cs="Times New Roman" w:hint="eastAsia"/>
          <w:sz w:val="24"/>
          <w:szCs w:val="24"/>
        </w:rPr>
        <w:t>6</w:t>
      </w:r>
      <w:r w:rsidRPr="002961C0">
        <w:rPr>
          <w:rFonts w:ascii="KaiTi" w:eastAsia="KaiTi" w:hAnsi="KaiTi" w:hint="eastAsia"/>
          <w:b/>
          <w:sz w:val="24"/>
          <w:szCs w:val="24"/>
        </w:rPr>
        <w:t>月</w:t>
      </w:r>
      <w:r w:rsidRPr="002961C0">
        <w:rPr>
          <w:rFonts w:ascii="KaiTi" w:eastAsia="KaiTi" w:hAnsi="KaiTi" w:cs="Times New Roman" w:hint="eastAsia"/>
          <w:sz w:val="24"/>
          <w:szCs w:val="24"/>
        </w:rPr>
        <w:t>3</w:t>
      </w:r>
      <w:r w:rsidRPr="002961C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>
      <w:pPr>
        <w:widowControl w:val="0"/>
        <w:rPr>
          <w:rFonts w:ascii="KaiTi" w:eastAsia="KaiTi"/>
          <w:kern w:val="2"/>
          <w:sz w:val="24"/>
          <w:szCs w:val="22"/>
        </w:rPr>
      </w:pPr>
      <w:bookmarkStart w:id="3" w:name="TitleOfDoc"/>
      <w:bookmarkEnd w:id="3"/>
      <w:r w:rsidRPr="002961C0">
        <w:rPr>
          <w:rFonts w:ascii="KaiTi" w:eastAsia="KaiTi" w:hAnsi="STKaiti" w:cs="Times New Roman" w:hint="eastAsia"/>
          <w:kern w:val="2"/>
          <w:sz w:val="24"/>
          <w:szCs w:val="32"/>
        </w:rPr>
        <w:t>需要处理/解决的待办/未决问题指示性清单</w:t>
      </w:r>
    </w:p>
    <w:p w:rsidR="002961C0" w:rsidRPr="002961C0" w:rsidRDefault="002961C0" w:rsidP="002961C0">
      <w:bookmarkStart w:id="4" w:name="_GoBack"/>
      <w:bookmarkEnd w:id="4"/>
    </w:p>
    <w:p w:rsidR="002961C0" w:rsidRPr="002961C0" w:rsidRDefault="002961C0" w:rsidP="002961C0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 w:rsidRPr="002961C0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/>
    <w:p w:rsidR="002961C0" w:rsidRPr="002961C0" w:rsidRDefault="002961C0" w:rsidP="002961C0">
      <w:pPr>
        <w:pStyle w:val="af1"/>
        <w:numPr>
          <w:ilvl w:val="0"/>
          <w:numId w:val="11"/>
        </w:numPr>
        <w:overflowPunct w:val="0"/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</w:rPr>
      </w:pPr>
      <w:r w:rsidRPr="002961C0">
        <w:rPr>
          <w:rFonts w:ascii="SimSun" w:hAnsi="SimSun" w:hint="eastAsia"/>
          <w:sz w:val="21"/>
          <w:szCs w:val="21"/>
        </w:rPr>
        <w:t>在2016年2月15日至19日举行的第二十九届会议上，WIPO知识产权与遗传资源、传统知识和民间文学艺术政府间委员会(委员会)决定向</w:t>
      </w:r>
      <w:r w:rsidR="00E16742">
        <w:rPr>
          <w:rFonts w:ascii="SimSun" w:hAnsi="SimSun" w:hint="eastAsia"/>
          <w:sz w:val="21"/>
          <w:szCs w:val="21"/>
        </w:rPr>
        <w:t>其</w:t>
      </w:r>
      <w:r w:rsidRPr="002961C0">
        <w:rPr>
          <w:rFonts w:ascii="SimSun" w:hAnsi="SimSun" w:hint="eastAsia"/>
          <w:sz w:val="21"/>
          <w:szCs w:val="21"/>
        </w:rPr>
        <w:t>第三十届会议转送一份“下一届会议需要处理/解决的待办/未决问题指示性清单”</w:t>
      </w:r>
      <w:r w:rsidR="00E16742">
        <w:rPr>
          <w:rFonts w:ascii="SimSun" w:hAnsi="SimSun" w:hint="eastAsia"/>
          <w:sz w:val="21"/>
          <w:szCs w:val="21"/>
        </w:rPr>
        <w:t>(</w:t>
      </w:r>
      <w:r w:rsidRPr="002961C0">
        <w:rPr>
          <w:rFonts w:ascii="SimSun" w:hAnsi="SimSun" w:hint="eastAsia"/>
          <w:sz w:val="21"/>
          <w:szCs w:val="21"/>
        </w:rPr>
        <w:t>“清单”</w:t>
      </w:r>
      <w:r w:rsidR="00E16742">
        <w:rPr>
          <w:rFonts w:ascii="SimSun" w:hAnsi="SimSun" w:hint="eastAsia"/>
          <w:sz w:val="21"/>
          <w:szCs w:val="21"/>
        </w:rPr>
        <w:t>)。</w:t>
      </w:r>
      <w:r w:rsidRPr="002961C0">
        <w:rPr>
          <w:rFonts w:ascii="SimSun" w:hAnsi="SimSun" w:hint="eastAsia"/>
          <w:sz w:val="21"/>
          <w:szCs w:val="21"/>
        </w:rPr>
        <w:t>该清单是委员会第二十九届会议决定的附件。</w:t>
      </w:r>
    </w:p>
    <w:p w:rsidR="002961C0" w:rsidRPr="002961C0" w:rsidRDefault="002961C0" w:rsidP="002961C0">
      <w:pPr>
        <w:pStyle w:val="af1"/>
        <w:numPr>
          <w:ilvl w:val="0"/>
          <w:numId w:val="11"/>
        </w:numPr>
        <w:overflowPunct w:val="0"/>
        <w:spacing w:afterLines="50" w:after="120" w:line="340" w:lineRule="atLeast"/>
        <w:ind w:left="0" w:firstLineChars="0" w:firstLine="0"/>
        <w:jc w:val="both"/>
        <w:rPr>
          <w:rFonts w:ascii="SimSun" w:hAnsi="SimSun"/>
          <w:sz w:val="21"/>
          <w:szCs w:val="21"/>
        </w:rPr>
      </w:pPr>
      <w:r w:rsidRPr="002961C0">
        <w:rPr>
          <w:rFonts w:ascii="SimSun" w:hAnsi="SimSun" w:hint="eastAsia"/>
          <w:sz w:val="21"/>
          <w:szCs w:val="21"/>
        </w:rPr>
        <w:t>根据上述决定，现将清单作为附件附于本文件。</w:t>
      </w:r>
    </w:p>
    <w:p w:rsidR="009D3115" w:rsidRPr="002961C0" w:rsidRDefault="002961C0" w:rsidP="002961C0">
      <w:pPr>
        <w:pStyle w:val="af1"/>
        <w:numPr>
          <w:ilvl w:val="0"/>
          <w:numId w:val="11"/>
        </w:numPr>
        <w:tabs>
          <w:tab w:val="left" w:pos="6096"/>
        </w:tabs>
        <w:overflowPunct w:val="0"/>
        <w:spacing w:afterLines="50" w:after="120" w:line="340" w:lineRule="atLeast"/>
        <w:ind w:left="5534" w:firstLineChars="0" w:firstLine="0"/>
        <w:jc w:val="both"/>
        <w:rPr>
          <w:rFonts w:ascii="KaiTi" w:eastAsia="KaiTi" w:hAnsi="KaiTi" w:cs="Times New Roman"/>
          <w:i/>
          <w:kern w:val="2"/>
          <w:sz w:val="21"/>
          <w:szCs w:val="21"/>
        </w:rPr>
      </w:pPr>
      <w:r w:rsidRPr="002961C0">
        <w:rPr>
          <w:rFonts w:ascii="KaiTi" w:eastAsia="KaiTi" w:hAnsi="KaiTi" w:hint="eastAsia"/>
          <w:i/>
          <w:sz w:val="21"/>
          <w:szCs w:val="21"/>
        </w:rPr>
        <w:t>请委员会注意附件中所载的清单。</w:t>
      </w:r>
    </w:p>
    <w:p w:rsidR="002961C0" w:rsidRDefault="002961C0" w:rsidP="009D3115">
      <w:pPr>
        <w:widowControl w:val="0"/>
        <w:spacing w:afterLines="50" w:after="120" w:line="340" w:lineRule="atLeast"/>
        <w:ind w:left="5534"/>
        <w:jc w:val="both"/>
        <w:rPr>
          <w:rFonts w:ascii="Calibri" w:eastAsia="KaiTi" w:hAnsi="Calibri" w:cs="Times New Roman"/>
          <w:kern w:val="2"/>
          <w:sz w:val="21"/>
          <w:szCs w:val="21"/>
        </w:rPr>
      </w:pPr>
    </w:p>
    <w:p w:rsidR="00CA0B1F" w:rsidRPr="009D3115" w:rsidRDefault="00CA0B1F" w:rsidP="009D3115">
      <w:pPr>
        <w:widowControl w:val="0"/>
        <w:spacing w:afterLines="50" w:after="120" w:line="340" w:lineRule="atLeast"/>
        <w:ind w:left="5534"/>
        <w:jc w:val="both"/>
        <w:rPr>
          <w:rFonts w:ascii="Calibri" w:eastAsia="KaiTi" w:hAnsi="Calibri" w:cs="Times New Roman"/>
          <w:kern w:val="2"/>
          <w:sz w:val="21"/>
          <w:szCs w:val="21"/>
        </w:rPr>
      </w:pPr>
      <w:r w:rsidRPr="009D3115">
        <w:rPr>
          <w:rFonts w:ascii="Calibri" w:eastAsia="KaiTi" w:hAnsi="Calibri" w:cs="Times New Roman" w:hint="eastAsia"/>
          <w:kern w:val="2"/>
          <w:sz w:val="21"/>
          <w:szCs w:val="21"/>
        </w:rPr>
        <w:t>［后接附件］</w:t>
      </w:r>
    </w:p>
    <w:p w:rsidR="006726DF" w:rsidRDefault="006726DF" w:rsidP="00DE7BC8">
      <w:pPr>
        <w:spacing w:after="120" w:line="260" w:lineRule="atLeast"/>
        <w:ind w:left="5610"/>
        <w:jc w:val="both"/>
        <w:rPr>
          <w:iCs/>
          <w:sz w:val="20"/>
          <w:szCs w:val="22"/>
        </w:rPr>
        <w:sectPr w:rsidR="006726DF" w:rsidSect="005428C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77E14" w:rsidRPr="006C137A" w:rsidRDefault="00CA0B1F" w:rsidP="00422B78">
      <w:pPr>
        <w:spacing w:beforeLines="100" w:before="240" w:afterLines="100" w:after="240" w:line="340" w:lineRule="atLeast"/>
        <w:jc w:val="center"/>
        <w:rPr>
          <w:rFonts w:ascii="SimHei" w:eastAsia="SimHei" w:hAnsi="SimHei"/>
          <w:sz w:val="21"/>
          <w:szCs w:val="21"/>
        </w:rPr>
      </w:pPr>
      <w:r w:rsidRPr="006C137A">
        <w:rPr>
          <w:rFonts w:ascii="SimHei" w:eastAsia="SimHei" w:hAnsi="SimHei" w:hint="eastAsia"/>
          <w:sz w:val="21"/>
          <w:szCs w:val="21"/>
        </w:rPr>
        <w:lastRenderedPageBreak/>
        <w:t>附</w:t>
      </w:r>
      <w:r w:rsidRPr="006C137A">
        <w:rPr>
          <w:rFonts w:ascii="SimHei" w:eastAsia="SimHei" w:hAnsi="SimHei" w:cs="Times New Roman" w:hint="eastAsia"/>
          <w:kern w:val="2"/>
          <w:sz w:val="21"/>
          <w:szCs w:val="22"/>
        </w:rPr>
        <w:t xml:space="preserve">  件</w:t>
      </w:r>
    </w:p>
    <w:p w:rsidR="00B87FAD" w:rsidRPr="001D7A6A" w:rsidRDefault="00CA0B1F" w:rsidP="00422B78">
      <w:pPr>
        <w:spacing w:beforeLines="50" w:before="120" w:afterLines="50" w:after="120" w:line="340" w:lineRule="atLeast"/>
        <w:jc w:val="center"/>
        <w:rPr>
          <w:rFonts w:ascii="SimSun" w:hAnsi="SimSun"/>
          <w:b/>
          <w:sz w:val="21"/>
          <w:szCs w:val="21"/>
        </w:rPr>
      </w:pPr>
      <w:r w:rsidRPr="001D7A6A">
        <w:rPr>
          <w:rFonts w:ascii="SimSun" w:hAnsi="SimSun" w:hint="eastAsia"/>
          <w:b/>
          <w:sz w:val="21"/>
          <w:szCs w:val="21"/>
        </w:rPr>
        <w:t>需要处理/解决的待办/未决问题指示性清单</w:t>
      </w:r>
    </w:p>
    <w:p w:rsidR="00A77E14" w:rsidRPr="00AB314F" w:rsidRDefault="006963F6" w:rsidP="001D7A6A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t>术语表</w:t>
      </w:r>
    </w:p>
    <w:p w:rsidR="00A77E14" w:rsidRPr="00AB314F" w:rsidRDefault="006963F6" w:rsidP="00023B33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t>序言</w:t>
      </w:r>
    </w:p>
    <w:p w:rsidR="00A77E14" w:rsidRPr="00AB314F" w:rsidRDefault="006963F6" w:rsidP="00023B33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t>政策目标</w:t>
      </w:r>
    </w:p>
    <w:p w:rsidR="00C75DD3" w:rsidRPr="00C75DD3" w:rsidRDefault="006963F6" w:rsidP="001D7A6A">
      <w:pPr>
        <w:pStyle w:val="1-21"/>
        <w:numPr>
          <w:ilvl w:val="0"/>
          <w:numId w:val="9"/>
        </w:numPr>
        <w:spacing w:afterLines="50" w:after="120" w:line="340" w:lineRule="atLeast"/>
        <w:ind w:left="357" w:hanging="357"/>
        <w:jc w:val="both"/>
        <w:rPr>
          <w:rFonts w:ascii="SimSun" w:hAnsi="SimSun"/>
          <w:sz w:val="21"/>
          <w:szCs w:val="21"/>
        </w:rPr>
      </w:pPr>
      <w:r w:rsidRPr="00C75DD3">
        <w:rPr>
          <w:rFonts w:ascii="SimSun" w:eastAsia="SimSun" w:hAnsi="SimSun" w:cs="Arial" w:hint="eastAsia"/>
          <w:sz w:val="21"/>
          <w:szCs w:val="21"/>
          <w:lang w:eastAsia="zh-CN"/>
        </w:rPr>
        <w:t>有效性和透明度</w:t>
      </w:r>
    </w:p>
    <w:p w:rsidR="00C75DD3" w:rsidRPr="00C75DD3" w:rsidRDefault="006963F6" w:rsidP="001D7A6A">
      <w:pPr>
        <w:pStyle w:val="1-21"/>
        <w:numPr>
          <w:ilvl w:val="0"/>
          <w:numId w:val="9"/>
        </w:numPr>
        <w:spacing w:afterLines="50" w:after="120" w:line="340" w:lineRule="atLeast"/>
        <w:ind w:left="357" w:hanging="357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C75DD3">
        <w:rPr>
          <w:rFonts w:ascii="SimSun" w:eastAsia="SimSun" w:hAnsi="SimSun" w:cs="SimSun" w:hint="eastAsia"/>
          <w:sz w:val="21"/>
          <w:szCs w:val="21"/>
          <w:lang w:eastAsia="zh-CN"/>
        </w:rPr>
        <w:t>盗用是否应保留在案文中</w:t>
      </w:r>
      <w:r w:rsidRPr="00C75DD3">
        <w:rPr>
          <w:rFonts w:ascii="SimSun" w:hAnsi="SimSun" w:hint="eastAsia"/>
          <w:sz w:val="21"/>
          <w:szCs w:val="21"/>
          <w:lang w:eastAsia="zh-CN"/>
        </w:rPr>
        <w:t>(</w:t>
      </w:r>
      <w:r w:rsidRPr="00C75DD3">
        <w:rPr>
          <w:rFonts w:ascii="SimSun" w:eastAsia="SimSun" w:hAnsi="SimSun" w:cs="SimSun" w:hint="eastAsia"/>
          <w:sz w:val="21"/>
          <w:szCs w:val="21"/>
          <w:lang w:eastAsia="zh-CN"/>
        </w:rPr>
        <w:t>如果保留，应如何对其定义</w:t>
      </w:r>
      <w:r w:rsidRPr="00C75DD3">
        <w:rPr>
          <w:rFonts w:ascii="SimSun" w:hAnsi="SimSun" w:hint="eastAsia"/>
          <w:sz w:val="21"/>
          <w:szCs w:val="21"/>
          <w:lang w:eastAsia="zh-CN"/>
        </w:rPr>
        <w:t>)</w:t>
      </w:r>
    </w:p>
    <w:p w:rsidR="00A77E14" w:rsidRPr="00C75DD3" w:rsidRDefault="006963F6" w:rsidP="001D7A6A">
      <w:pPr>
        <w:pStyle w:val="1-21"/>
        <w:numPr>
          <w:ilvl w:val="0"/>
          <w:numId w:val="9"/>
        </w:numPr>
        <w:spacing w:afterLines="50" w:after="120" w:line="340" w:lineRule="atLeast"/>
        <w:ind w:left="357" w:hanging="357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C75DD3">
        <w:rPr>
          <w:rFonts w:ascii="SimSun" w:eastAsia="SimSun" w:hAnsi="SimSun" w:cs="Arial" w:hint="eastAsia"/>
          <w:sz w:val="21"/>
          <w:szCs w:val="21"/>
          <w:lang w:eastAsia="zh-CN"/>
        </w:rPr>
        <w:t>与国际协定的</w:t>
      </w:r>
      <w:r w:rsidRPr="00C75DD3">
        <w:rPr>
          <w:rFonts w:ascii="SimSun" w:eastAsia="SimSun" w:hAnsi="SimSun" w:hint="eastAsia"/>
          <w:sz w:val="21"/>
          <w:szCs w:val="21"/>
          <w:lang w:eastAsia="zh-CN"/>
        </w:rPr>
        <w:t>互补作用/相互支持作用</w:t>
      </w:r>
    </w:p>
    <w:p w:rsidR="00A77E14" w:rsidRPr="009F40E6" w:rsidRDefault="00343DCC" w:rsidP="001D7A6A">
      <w:pPr>
        <w:pStyle w:val="1-21"/>
        <w:numPr>
          <w:ilvl w:val="0"/>
          <w:numId w:val="9"/>
        </w:numPr>
        <w:spacing w:afterLines="50" w:after="120" w:line="340" w:lineRule="atLeast"/>
        <w:ind w:left="357" w:hanging="357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9F40E6">
        <w:rPr>
          <w:rFonts w:ascii="SimSun" w:eastAsia="SimSun" w:hAnsi="SimSun" w:hint="eastAsia"/>
          <w:sz w:val="21"/>
          <w:szCs w:val="21"/>
          <w:lang w:eastAsia="zh-CN"/>
        </w:rPr>
        <w:t>防止/最大程度减少错误专利(合适的措辞是什么)</w:t>
      </w:r>
    </w:p>
    <w:p w:rsidR="00A77E14" w:rsidRPr="00AB314F" w:rsidRDefault="006963F6" w:rsidP="00023B33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t>客体</w:t>
      </w:r>
    </w:p>
    <w:p w:rsidR="00A77E14" w:rsidRPr="009F40E6" w:rsidRDefault="006963F6" w:rsidP="00DE7BC8">
      <w:pPr>
        <w:pStyle w:val="1-21"/>
        <w:numPr>
          <w:ilvl w:val="0"/>
          <w:numId w:val="9"/>
        </w:numPr>
        <w:spacing w:afterLines="50" w:after="120" w:line="340" w:lineRule="atLeast"/>
        <w:ind w:left="360"/>
        <w:jc w:val="both"/>
        <w:rPr>
          <w:rFonts w:ascii="SimSun" w:eastAsia="SimSun" w:hAnsi="SimSun" w:cs="Arial"/>
          <w:sz w:val="21"/>
          <w:szCs w:val="21"/>
        </w:rPr>
      </w:pPr>
      <w:r w:rsidRPr="009F40E6">
        <w:rPr>
          <w:rFonts w:ascii="SimSun" w:eastAsia="SimSun" w:hAnsi="SimSun" w:cs="Arial" w:hint="eastAsia"/>
          <w:sz w:val="21"/>
          <w:szCs w:val="21"/>
          <w:lang w:eastAsia="zh-CN"/>
        </w:rPr>
        <w:t>文书是否应适用于：</w:t>
      </w:r>
    </w:p>
    <w:p w:rsidR="00A77E14" w:rsidRPr="009F40E6" w:rsidRDefault="006963F6" w:rsidP="001D7A6A">
      <w:pPr>
        <w:pStyle w:val="1-21"/>
        <w:numPr>
          <w:ilvl w:val="1"/>
          <w:numId w:val="9"/>
        </w:numPr>
        <w:spacing w:afterLines="50" w:after="120" w:line="340" w:lineRule="atLeast"/>
        <w:ind w:left="1077" w:hanging="357"/>
        <w:contextualSpacing w:val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9F40E6">
        <w:rPr>
          <w:rFonts w:ascii="SimSun" w:eastAsia="SimSun" w:hAnsi="SimSun" w:cs="Arial" w:hint="eastAsia"/>
          <w:sz w:val="21"/>
          <w:szCs w:val="21"/>
          <w:lang w:eastAsia="zh-CN"/>
        </w:rPr>
        <w:t>任何知识产权权利或仅专利权</w:t>
      </w:r>
    </w:p>
    <w:p w:rsidR="00A77E14" w:rsidRPr="009F40E6" w:rsidRDefault="006963F6" w:rsidP="001D7A6A">
      <w:pPr>
        <w:numPr>
          <w:ilvl w:val="0"/>
          <w:numId w:val="9"/>
        </w:numPr>
        <w:spacing w:afterLines="50" w:after="120" w:line="340" w:lineRule="atLeast"/>
        <w:ind w:left="360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除遗传资源外，文书是否也应适用于：</w:t>
      </w:r>
    </w:p>
    <w:p w:rsidR="00A77E14" w:rsidRPr="009F40E6" w:rsidRDefault="006963F6" w:rsidP="001D7A6A">
      <w:pPr>
        <w:numPr>
          <w:ilvl w:val="1"/>
          <w:numId w:val="9"/>
        </w:numPr>
        <w:spacing w:afterLines="50" w:after="120" w:line="340" w:lineRule="atLeast"/>
        <w:ind w:left="1077" w:hanging="357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衍生物</w:t>
      </w:r>
    </w:p>
    <w:p w:rsidR="00A77E14" w:rsidRPr="009F40E6" w:rsidRDefault="006963F6" w:rsidP="001D7A6A">
      <w:pPr>
        <w:numPr>
          <w:ilvl w:val="1"/>
          <w:numId w:val="9"/>
        </w:numPr>
        <w:spacing w:afterLines="50" w:after="120" w:line="340" w:lineRule="atLeast"/>
        <w:ind w:left="1077" w:hanging="357"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相关传统知识/遗传资源相关传统知识</w:t>
      </w:r>
    </w:p>
    <w:p w:rsidR="00A77E14" w:rsidRPr="00AB314F" w:rsidRDefault="006963F6" w:rsidP="00023B33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t>公开要求</w:t>
      </w:r>
    </w:p>
    <w:p w:rsidR="00A77E14" w:rsidRPr="009F40E6" w:rsidRDefault="006963F6" w:rsidP="001D7A6A">
      <w:pPr>
        <w:numPr>
          <w:ilvl w:val="0"/>
          <w:numId w:val="9"/>
        </w:numPr>
        <w:spacing w:afterLines="50" w:after="120" w:line="340" w:lineRule="atLeast"/>
        <w:ind w:left="360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公开的内容</w:t>
      </w:r>
    </w:p>
    <w:p w:rsidR="0088121E" w:rsidRPr="0088121E" w:rsidRDefault="006963F6" w:rsidP="001D7A6A">
      <w:pPr>
        <w:numPr>
          <w:ilvl w:val="1"/>
          <w:numId w:val="9"/>
        </w:numPr>
        <w:spacing w:afterLines="50" w:after="120" w:line="340" w:lineRule="atLeast"/>
        <w:ind w:left="1077" w:hanging="357"/>
        <w:contextualSpacing/>
        <w:jc w:val="both"/>
        <w:rPr>
          <w:rFonts w:ascii="SimSun" w:hAnsi="SimSun"/>
          <w:sz w:val="21"/>
          <w:szCs w:val="21"/>
        </w:rPr>
      </w:pPr>
      <w:r w:rsidRPr="0088121E">
        <w:rPr>
          <w:rFonts w:ascii="SimSun" w:hAnsi="SimSun" w:hint="eastAsia"/>
          <w:sz w:val="21"/>
          <w:szCs w:val="21"/>
        </w:rPr>
        <w:t>遗传资源的原产地/来源</w:t>
      </w:r>
    </w:p>
    <w:p w:rsidR="00A77E14" w:rsidRPr="0088121E" w:rsidRDefault="006963F6" w:rsidP="001D7A6A">
      <w:pPr>
        <w:numPr>
          <w:ilvl w:val="1"/>
          <w:numId w:val="9"/>
        </w:numPr>
        <w:spacing w:afterLines="50" w:after="120" w:line="340" w:lineRule="atLeast"/>
        <w:ind w:left="1077" w:hanging="357"/>
        <w:jc w:val="both"/>
        <w:rPr>
          <w:rFonts w:ascii="SimSun" w:hAnsi="SimSun"/>
          <w:sz w:val="21"/>
          <w:szCs w:val="21"/>
        </w:rPr>
      </w:pPr>
      <w:r w:rsidRPr="0088121E">
        <w:rPr>
          <w:rFonts w:ascii="SimSun" w:hAnsi="SimSun" w:cs="SimSun" w:hint="eastAsia"/>
          <w:sz w:val="21"/>
          <w:szCs w:val="21"/>
        </w:rPr>
        <w:t>关于遵守包括</w:t>
      </w:r>
      <w:r w:rsidRPr="001D7A6A">
        <w:rPr>
          <w:rFonts w:ascii="SimSun" w:hAnsi="SimSun" w:hint="eastAsia"/>
          <w:sz w:val="21"/>
          <w:szCs w:val="21"/>
        </w:rPr>
        <w:t>事先</w:t>
      </w:r>
      <w:r w:rsidRPr="0088121E">
        <w:rPr>
          <w:rFonts w:ascii="SimSun" w:hAnsi="SimSun" w:cs="SimSun" w:hint="eastAsia"/>
          <w:sz w:val="21"/>
          <w:szCs w:val="21"/>
        </w:rPr>
        <w:t>知情同意在内的获取和惠益分享要求的信息</w:t>
      </w:r>
    </w:p>
    <w:p w:rsidR="00A77E14" w:rsidRPr="009F40E6" w:rsidRDefault="006963F6" w:rsidP="001D7A6A">
      <w:pPr>
        <w:numPr>
          <w:ilvl w:val="0"/>
          <w:numId w:val="9"/>
        </w:numPr>
        <w:spacing w:afterLines="50" w:after="120" w:line="340" w:lineRule="atLeast"/>
        <w:ind w:left="360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例外与限制</w:t>
      </w:r>
    </w:p>
    <w:p w:rsidR="00A77E14" w:rsidRPr="009F40E6" w:rsidRDefault="006963F6" w:rsidP="001D7A6A">
      <w:pPr>
        <w:numPr>
          <w:ilvl w:val="1"/>
          <w:numId w:val="9"/>
        </w:numPr>
        <w:spacing w:afterLines="50" w:after="120" w:line="340" w:lineRule="atLeast"/>
        <w:ind w:left="1077" w:hanging="357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例外的类型</w:t>
      </w:r>
    </w:p>
    <w:p w:rsidR="00A77E14" w:rsidRPr="009F40E6" w:rsidRDefault="001A27F2" w:rsidP="001D7A6A">
      <w:pPr>
        <w:numPr>
          <w:ilvl w:val="1"/>
          <w:numId w:val="9"/>
        </w:numPr>
        <w:spacing w:afterLines="50" w:after="120" w:line="340" w:lineRule="atLeast"/>
        <w:ind w:left="1077" w:hanging="357"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仅限涉及公共利益的例外</w:t>
      </w:r>
    </w:p>
    <w:p w:rsidR="00A77E14" w:rsidRPr="009F40E6" w:rsidRDefault="001A27F2" w:rsidP="001D7A6A">
      <w:pPr>
        <w:numPr>
          <w:ilvl w:val="0"/>
          <w:numId w:val="9"/>
        </w:numPr>
        <w:spacing w:afterLines="50" w:after="120" w:line="340" w:lineRule="atLeast"/>
        <w:ind w:left="360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在自然界发现或从中分离出来的遗传资源和/或衍生物作为知识产权/专利客体的资格</w:t>
      </w:r>
    </w:p>
    <w:p w:rsidR="00A77E14" w:rsidRPr="009F40E6" w:rsidRDefault="001A27F2" w:rsidP="001D7A6A">
      <w:pPr>
        <w:numPr>
          <w:ilvl w:val="0"/>
          <w:numId w:val="9"/>
        </w:numPr>
        <w:spacing w:afterLines="50" w:after="120" w:line="340" w:lineRule="atLeast"/>
        <w:ind w:left="360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未遵守的后果</w:t>
      </w:r>
    </w:p>
    <w:p w:rsidR="00A77E14" w:rsidRPr="009F40E6" w:rsidRDefault="001A27F2" w:rsidP="001D7A6A">
      <w:pPr>
        <w:numPr>
          <w:ilvl w:val="1"/>
          <w:numId w:val="9"/>
        </w:numPr>
        <w:spacing w:afterLines="50" w:after="120" w:line="340" w:lineRule="atLeast"/>
        <w:ind w:left="1077" w:hanging="357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最低和/或最高标准协议</w:t>
      </w:r>
    </w:p>
    <w:p w:rsidR="00A77E14" w:rsidRPr="009F40E6" w:rsidRDefault="001A27F2" w:rsidP="001D7A6A">
      <w:pPr>
        <w:numPr>
          <w:ilvl w:val="1"/>
          <w:numId w:val="9"/>
        </w:numPr>
        <w:spacing w:afterLines="50" w:after="120" w:line="340" w:lineRule="atLeast"/>
        <w:ind w:left="1077" w:hanging="357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专利制度内/外的措施/制裁</w:t>
      </w:r>
    </w:p>
    <w:p w:rsidR="00A77E14" w:rsidRPr="009F40E6" w:rsidRDefault="001A27F2" w:rsidP="001D7A6A">
      <w:pPr>
        <w:numPr>
          <w:ilvl w:val="1"/>
          <w:numId w:val="9"/>
        </w:numPr>
        <w:spacing w:afterLines="50" w:after="120" w:line="340" w:lineRule="atLeast"/>
        <w:ind w:left="1077" w:hanging="357"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可以接受的撤销条件</w:t>
      </w:r>
    </w:p>
    <w:p w:rsidR="00A77E14" w:rsidRPr="009F40E6" w:rsidRDefault="001A27F2" w:rsidP="001D7A6A">
      <w:pPr>
        <w:numPr>
          <w:ilvl w:val="0"/>
          <w:numId w:val="9"/>
        </w:numPr>
        <w:spacing w:afterLines="50" w:after="120" w:line="340" w:lineRule="atLeast"/>
        <w:ind w:left="360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触发点</w:t>
      </w:r>
    </w:p>
    <w:p w:rsidR="00A77E14" w:rsidRPr="009F40E6" w:rsidRDefault="0010628E" w:rsidP="001D7A6A">
      <w:pPr>
        <w:numPr>
          <w:ilvl w:val="1"/>
          <w:numId w:val="9"/>
        </w:numPr>
        <w:spacing w:afterLines="50" w:after="120" w:line="340" w:lineRule="atLeast"/>
        <w:ind w:left="1077" w:hanging="357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要求保护的发明直接基于客体</w:t>
      </w:r>
    </w:p>
    <w:p w:rsidR="00A77E14" w:rsidRPr="009F40E6" w:rsidRDefault="0010628E" w:rsidP="001D7A6A">
      <w:pPr>
        <w:numPr>
          <w:ilvl w:val="1"/>
          <w:numId w:val="9"/>
        </w:numPr>
        <w:spacing w:afterLines="50" w:after="120" w:line="340" w:lineRule="atLeast"/>
        <w:ind w:left="1077" w:hanging="357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利用客体</w:t>
      </w:r>
    </w:p>
    <w:p w:rsidR="00A77E14" w:rsidRPr="009F40E6" w:rsidRDefault="0010628E" w:rsidP="001D7A6A">
      <w:pPr>
        <w:numPr>
          <w:ilvl w:val="1"/>
          <w:numId w:val="9"/>
        </w:numPr>
        <w:spacing w:afterLines="50" w:after="120" w:line="340" w:lineRule="atLeast"/>
        <w:ind w:left="1077" w:hanging="357"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需要实际获取或取得非有形的客体</w:t>
      </w:r>
    </w:p>
    <w:p w:rsidR="00A77E14" w:rsidRPr="009F40E6" w:rsidRDefault="0010628E" w:rsidP="001D7A6A">
      <w:pPr>
        <w:keepNext/>
        <w:numPr>
          <w:ilvl w:val="0"/>
          <w:numId w:val="9"/>
        </w:numPr>
        <w:spacing w:afterLines="50" w:after="120" w:line="340" w:lineRule="atLeast"/>
        <w:ind w:left="360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与国家和国内ABS制度的关系</w:t>
      </w:r>
    </w:p>
    <w:p w:rsidR="00A77E14" w:rsidRPr="009F40E6" w:rsidRDefault="0010628E" w:rsidP="001D7A6A">
      <w:pPr>
        <w:numPr>
          <w:ilvl w:val="1"/>
          <w:numId w:val="9"/>
        </w:numPr>
        <w:spacing w:afterLines="50" w:after="120" w:line="340" w:lineRule="atLeast"/>
        <w:ind w:left="1077" w:hanging="357"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知识产权局/专利局在向</w:t>
      </w:r>
      <w:r w:rsidRPr="009F40E6">
        <w:rPr>
          <w:rFonts w:ascii="SimSun" w:hAnsi="SimSun"/>
          <w:sz w:val="21"/>
          <w:szCs w:val="21"/>
        </w:rPr>
        <w:t>CBD/NP/ITPGRFA</w:t>
      </w:r>
      <w:r w:rsidRPr="009F40E6">
        <w:rPr>
          <w:rFonts w:ascii="SimSun" w:hAnsi="SimSun" w:hint="eastAsia"/>
          <w:sz w:val="21"/>
          <w:szCs w:val="21"/>
        </w:rPr>
        <w:t>的交换</w:t>
      </w:r>
      <w:proofErr w:type="gramStart"/>
      <w:r w:rsidRPr="009F40E6">
        <w:rPr>
          <w:rFonts w:ascii="SimSun" w:hAnsi="SimSun" w:hint="eastAsia"/>
          <w:sz w:val="21"/>
          <w:szCs w:val="21"/>
        </w:rPr>
        <w:t>所机制</w:t>
      </w:r>
      <w:proofErr w:type="gramEnd"/>
      <w:r w:rsidRPr="009F40E6">
        <w:rPr>
          <w:rFonts w:ascii="SimSun" w:hAnsi="SimSun" w:hint="eastAsia"/>
          <w:sz w:val="21"/>
          <w:szCs w:val="21"/>
        </w:rPr>
        <w:t>通知与公开相关的信息时的作用</w:t>
      </w:r>
    </w:p>
    <w:p w:rsidR="00A77E14" w:rsidRPr="00AB314F" w:rsidRDefault="0010628E" w:rsidP="00023B33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t>防御性措施</w:t>
      </w:r>
      <w:r w:rsidRPr="00AB314F">
        <w:rPr>
          <w:rFonts w:ascii="SimHei" w:eastAsia="SimHei" w:hAnsi="SimHei"/>
          <w:sz w:val="21"/>
          <w:szCs w:val="21"/>
        </w:rPr>
        <w:t>/</w:t>
      </w:r>
      <w:r w:rsidRPr="00AB314F">
        <w:rPr>
          <w:rFonts w:ascii="SimHei" w:eastAsia="SimHei" w:hAnsi="SimHei" w:hint="eastAsia"/>
          <w:sz w:val="21"/>
          <w:szCs w:val="21"/>
        </w:rPr>
        <w:t>不公开</w:t>
      </w:r>
    </w:p>
    <w:p w:rsidR="00A77E14" w:rsidRPr="009F40E6" w:rsidRDefault="0010628E" w:rsidP="001D7A6A">
      <w:pPr>
        <w:numPr>
          <w:ilvl w:val="0"/>
          <w:numId w:val="9"/>
        </w:numPr>
        <w:spacing w:afterLines="50" w:after="120" w:line="340" w:lineRule="atLeast"/>
        <w:ind w:left="357" w:hanging="357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考虑额外</w:t>
      </w:r>
      <w:r w:rsidRPr="001D7A6A">
        <w:rPr>
          <w:rFonts w:ascii="SimSun" w:hAnsi="SimSun" w:cs="SimSun" w:hint="eastAsia"/>
          <w:sz w:val="21"/>
          <w:szCs w:val="21"/>
        </w:rPr>
        <w:t>尽职</w:t>
      </w:r>
      <w:r w:rsidRPr="009F40E6">
        <w:rPr>
          <w:rFonts w:ascii="SimSun" w:hAnsi="SimSun" w:hint="eastAsia"/>
          <w:sz w:val="21"/>
          <w:szCs w:val="21"/>
        </w:rPr>
        <w:t>调查措施</w:t>
      </w:r>
      <w:r w:rsidRPr="009F40E6">
        <w:rPr>
          <w:rFonts w:ascii="SimSun" w:hAnsi="SimSun"/>
          <w:sz w:val="21"/>
          <w:szCs w:val="21"/>
        </w:rPr>
        <w:t>/</w:t>
      </w:r>
      <w:r w:rsidRPr="009F40E6">
        <w:rPr>
          <w:rFonts w:ascii="SimSun" w:hAnsi="SimSun" w:hint="eastAsia"/>
          <w:sz w:val="21"/>
          <w:szCs w:val="21"/>
        </w:rPr>
        <w:t>制度的必要性</w:t>
      </w:r>
    </w:p>
    <w:p w:rsidR="00A77E14" w:rsidRPr="00AB314F" w:rsidRDefault="0010628E" w:rsidP="00023B33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lastRenderedPageBreak/>
        <w:t>数据库</w:t>
      </w:r>
    </w:p>
    <w:p w:rsidR="00A77E14" w:rsidRPr="009F40E6" w:rsidRDefault="0010628E" w:rsidP="001D7A6A">
      <w:pPr>
        <w:numPr>
          <w:ilvl w:val="0"/>
          <w:numId w:val="9"/>
        </w:numPr>
        <w:spacing w:afterLines="50" w:after="120" w:line="340" w:lineRule="atLeast"/>
        <w:ind w:left="357" w:hanging="357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数据库作为公开要求的防御性措施或补充措施</w:t>
      </w:r>
    </w:p>
    <w:p w:rsidR="00A77E14" w:rsidRPr="009F40E6" w:rsidRDefault="0010628E" w:rsidP="001D7A6A">
      <w:pPr>
        <w:numPr>
          <w:ilvl w:val="0"/>
          <w:numId w:val="9"/>
        </w:numPr>
        <w:spacing w:afterLines="50" w:after="120" w:line="340" w:lineRule="atLeast"/>
        <w:ind w:left="357" w:hanging="357"/>
        <w:contextualSpacing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被广泛持有和/或</w:t>
      </w:r>
      <w:r w:rsidRPr="001D7A6A">
        <w:rPr>
          <w:rFonts w:ascii="SimSun" w:hAnsi="SimSun" w:cs="SimSun" w:hint="eastAsia"/>
          <w:sz w:val="21"/>
          <w:szCs w:val="21"/>
        </w:rPr>
        <w:t>公之于众</w:t>
      </w:r>
      <w:r w:rsidRPr="009F40E6">
        <w:rPr>
          <w:rFonts w:ascii="SimSun" w:hAnsi="SimSun" w:hint="eastAsia"/>
          <w:sz w:val="21"/>
          <w:szCs w:val="21"/>
        </w:rPr>
        <w:t>的传统知识的保障措施</w:t>
      </w:r>
    </w:p>
    <w:p w:rsidR="00A77E14" w:rsidRPr="009F40E6" w:rsidRDefault="0010628E" w:rsidP="001D7A6A">
      <w:pPr>
        <w:numPr>
          <w:ilvl w:val="0"/>
          <w:numId w:val="9"/>
        </w:numPr>
        <w:spacing w:afterLines="50" w:after="120" w:line="340" w:lineRule="atLeast"/>
        <w:ind w:left="357" w:hanging="357"/>
        <w:jc w:val="both"/>
        <w:rPr>
          <w:rFonts w:ascii="SimSun" w:hAnsi="SimSun"/>
          <w:sz w:val="21"/>
          <w:szCs w:val="21"/>
        </w:rPr>
      </w:pPr>
      <w:r w:rsidRPr="009F40E6">
        <w:rPr>
          <w:rFonts w:ascii="SimSun" w:hAnsi="SimSun" w:hint="eastAsia"/>
          <w:sz w:val="21"/>
          <w:szCs w:val="21"/>
        </w:rPr>
        <w:t>传统知识持有人和</w:t>
      </w:r>
      <w:r w:rsidRPr="001D7A6A">
        <w:rPr>
          <w:rFonts w:ascii="SimSun" w:hAnsi="SimSun" w:cs="SimSun" w:hint="eastAsia"/>
          <w:sz w:val="21"/>
          <w:szCs w:val="21"/>
        </w:rPr>
        <w:t>成员国</w:t>
      </w:r>
      <w:r w:rsidRPr="009F40E6">
        <w:rPr>
          <w:rFonts w:ascii="SimSun" w:hAnsi="SimSun" w:hint="eastAsia"/>
          <w:sz w:val="21"/>
          <w:szCs w:val="21"/>
        </w:rPr>
        <w:t>的负担</w:t>
      </w:r>
    </w:p>
    <w:p w:rsidR="00A77E14" w:rsidRPr="00AB314F" w:rsidRDefault="0010628E" w:rsidP="00023B33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t>与包括</w:t>
      </w:r>
      <w:r w:rsidRPr="00AB314F">
        <w:rPr>
          <w:rFonts w:ascii="SimHei" w:eastAsia="SimHei" w:hAnsi="SimHei"/>
          <w:sz w:val="21"/>
          <w:szCs w:val="21"/>
        </w:rPr>
        <w:t>PCT</w:t>
      </w:r>
      <w:r w:rsidRPr="00AB314F">
        <w:rPr>
          <w:rFonts w:ascii="SimHei" w:eastAsia="SimHei" w:hAnsi="SimHei" w:hint="eastAsia"/>
          <w:sz w:val="21"/>
          <w:szCs w:val="21"/>
        </w:rPr>
        <w:t>和</w:t>
      </w:r>
      <w:r w:rsidRPr="00AB314F">
        <w:rPr>
          <w:rFonts w:ascii="SimHei" w:eastAsia="SimHei" w:hAnsi="SimHei"/>
          <w:sz w:val="21"/>
          <w:szCs w:val="21"/>
        </w:rPr>
        <w:t>PLT</w:t>
      </w:r>
      <w:r w:rsidRPr="00AB314F">
        <w:rPr>
          <w:rFonts w:ascii="SimHei" w:eastAsia="SimHei" w:hAnsi="SimHei" w:hint="eastAsia"/>
          <w:sz w:val="21"/>
          <w:szCs w:val="21"/>
        </w:rPr>
        <w:t>在内的国际协定之间的关系</w:t>
      </w:r>
    </w:p>
    <w:p w:rsidR="00A77E14" w:rsidRPr="00AB314F" w:rsidRDefault="0010628E" w:rsidP="00023B33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t>跨境合作</w:t>
      </w:r>
    </w:p>
    <w:p w:rsidR="00A77E14" w:rsidRPr="00AB314F" w:rsidRDefault="0010628E" w:rsidP="00023B33">
      <w:pPr>
        <w:numPr>
          <w:ilvl w:val="0"/>
          <w:numId w:val="8"/>
        </w:numPr>
        <w:spacing w:afterLines="50" w:after="120" w:line="340" w:lineRule="atLeast"/>
        <w:ind w:left="357" w:hanging="357"/>
        <w:jc w:val="both"/>
        <w:rPr>
          <w:rFonts w:ascii="SimHei" w:eastAsia="SimHei" w:hAnsi="SimHei"/>
          <w:sz w:val="21"/>
          <w:szCs w:val="21"/>
        </w:rPr>
      </w:pPr>
      <w:r w:rsidRPr="00AB314F">
        <w:rPr>
          <w:rFonts w:ascii="SimHei" w:eastAsia="SimHei" w:hAnsi="SimHei" w:hint="eastAsia"/>
          <w:sz w:val="21"/>
          <w:szCs w:val="21"/>
        </w:rPr>
        <w:t>技术援助、合作与能力建设</w:t>
      </w:r>
    </w:p>
    <w:p w:rsidR="004F6DF5" w:rsidRPr="001D7A6A" w:rsidRDefault="004F6DF5" w:rsidP="00DE7BC8">
      <w:pPr>
        <w:spacing w:after="120" w:line="260" w:lineRule="atLeast"/>
        <w:ind w:left="5610"/>
        <w:jc w:val="both"/>
        <w:rPr>
          <w:iCs/>
          <w:sz w:val="21"/>
          <w:szCs w:val="22"/>
        </w:rPr>
      </w:pPr>
    </w:p>
    <w:p w:rsidR="005428C9" w:rsidRPr="001D7A6A" w:rsidRDefault="005428C9" w:rsidP="00DE7BC8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1D7A6A">
        <w:rPr>
          <w:rFonts w:ascii="KaiTi" w:eastAsia="KaiTi" w:hAnsi="KaiTi"/>
          <w:sz w:val="21"/>
          <w:szCs w:val="21"/>
        </w:rPr>
        <w:t>[</w:t>
      </w:r>
      <w:r w:rsidR="006E487D" w:rsidRPr="001D7A6A">
        <w:rPr>
          <w:rFonts w:ascii="KaiTi" w:eastAsia="KaiTi" w:hAnsi="KaiTi" w:hint="eastAsia"/>
          <w:sz w:val="21"/>
          <w:szCs w:val="21"/>
        </w:rPr>
        <w:t>附件和文件完</w:t>
      </w:r>
      <w:r w:rsidRPr="001D7A6A">
        <w:rPr>
          <w:rFonts w:ascii="KaiTi" w:eastAsia="KaiTi" w:hAnsi="KaiTi"/>
          <w:sz w:val="21"/>
          <w:szCs w:val="21"/>
        </w:rPr>
        <w:t>]</w:t>
      </w:r>
    </w:p>
    <w:sectPr w:rsidR="005428C9" w:rsidRPr="001D7A6A" w:rsidSect="005428C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BB" w:rsidRDefault="004037BB">
      <w:r>
        <w:separator/>
      </w:r>
    </w:p>
  </w:endnote>
  <w:endnote w:type="continuationSeparator" w:id="0">
    <w:p w:rsidR="004037BB" w:rsidRDefault="004037BB" w:rsidP="003B38C1">
      <w:r>
        <w:separator/>
      </w:r>
    </w:p>
    <w:p w:rsidR="004037BB" w:rsidRPr="003B38C1" w:rsidRDefault="004037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037BB" w:rsidRPr="003B38C1" w:rsidRDefault="004037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BB" w:rsidRDefault="004037BB">
      <w:r>
        <w:separator/>
      </w:r>
    </w:p>
  </w:footnote>
  <w:footnote w:type="continuationSeparator" w:id="0">
    <w:p w:rsidR="004037BB" w:rsidRDefault="004037BB" w:rsidP="008B60B2">
      <w:r>
        <w:separator/>
      </w:r>
    </w:p>
    <w:p w:rsidR="004037BB" w:rsidRPr="00ED77FB" w:rsidRDefault="004037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37BB" w:rsidRPr="00ED77FB" w:rsidRDefault="004037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8D7" w:rsidRPr="002D4668" w:rsidRDefault="00CA0B1F" w:rsidP="00CA0B1F">
    <w:pPr>
      <w:wordWrap w:val="0"/>
      <w:jc w:val="right"/>
      <w:rPr>
        <w:rFonts w:ascii="SimSun" w:hAnsi="SimSun"/>
        <w:sz w:val="21"/>
        <w:szCs w:val="21"/>
      </w:rPr>
    </w:pPr>
    <w:r w:rsidRPr="002D4668">
      <w:rPr>
        <w:rFonts w:ascii="SimSun" w:hAnsi="SimSun" w:hint="eastAsia"/>
        <w:sz w:val="21"/>
        <w:szCs w:val="21"/>
      </w:rPr>
      <w:t>第</w:t>
    </w:r>
    <w:r w:rsidR="00B248D7" w:rsidRPr="002D4668">
      <w:rPr>
        <w:rFonts w:ascii="SimSun" w:hAnsi="SimSun"/>
        <w:sz w:val="21"/>
        <w:szCs w:val="21"/>
      </w:rPr>
      <w:fldChar w:fldCharType="begin"/>
    </w:r>
    <w:r w:rsidR="00B248D7" w:rsidRPr="002D4668">
      <w:rPr>
        <w:rFonts w:ascii="SimSun" w:hAnsi="SimSun"/>
        <w:sz w:val="21"/>
        <w:szCs w:val="21"/>
      </w:rPr>
      <w:instrText xml:space="preserve"> PAGE  \* MERGEFORMAT </w:instrText>
    </w:r>
    <w:r w:rsidR="00B248D7" w:rsidRPr="002D4668">
      <w:rPr>
        <w:rFonts w:ascii="SimSun" w:hAnsi="SimSun"/>
        <w:sz w:val="21"/>
        <w:szCs w:val="21"/>
      </w:rPr>
      <w:fldChar w:fldCharType="separate"/>
    </w:r>
    <w:r w:rsidR="002961C0">
      <w:rPr>
        <w:rFonts w:ascii="SimSun" w:hAnsi="SimSun"/>
        <w:noProof/>
        <w:sz w:val="21"/>
        <w:szCs w:val="21"/>
      </w:rPr>
      <w:t>2</w:t>
    </w:r>
    <w:r w:rsidR="00B248D7" w:rsidRPr="002D4668">
      <w:rPr>
        <w:rFonts w:ascii="SimSun" w:hAnsi="SimSun"/>
        <w:sz w:val="21"/>
        <w:szCs w:val="21"/>
      </w:rPr>
      <w:fldChar w:fldCharType="end"/>
    </w:r>
    <w:r w:rsidRPr="002D4668">
      <w:rPr>
        <w:rFonts w:ascii="SimSun" w:hAnsi="SimSun" w:hint="eastAsia"/>
        <w:sz w:val="21"/>
        <w:szCs w:val="21"/>
      </w:rPr>
      <w:t>页</w:t>
    </w:r>
  </w:p>
  <w:p w:rsidR="00B248D7" w:rsidRDefault="00B248D7" w:rsidP="00477D6B">
    <w:pPr>
      <w:jc w:val="right"/>
    </w:pPr>
  </w:p>
  <w:p w:rsidR="00B248D7" w:rsidRDefault="00B248D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C0" w:rsidRDefault="002961C0" w:rsidP="002961C0">
    <w:pPr>
      <w:pStyle w:val="aa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WIPO/GRTKF/IC/30/5</w:t>
    </w:r>
  </w:p>
  <w:p w:rsidR="009F0025" w:rsidRPr="002D4668" w:rsidRDefault="006E487D" w:rsidP="006E487D">
    <w:pPr>
      <w:wordWrap w:val="0"/>
      <w:jc w:val="right"/>
      <w:rPr>
        <w:rFonts w:ascii="SimSun" w:hAnsi="SimSun"/>
        <w:sz w:val="21"/>
        <w:szCs w:val="21"/>
      </w:rPr>
    </w:pPr>
    <w:r w:rsidRPr="002D4668">
      <w:rPr>
        <w:rFonts w:ascii="SimSun" w:hAnsi="SimSun" w:hint="eastAsia"/>
        <w:sz w:val="21"/>
        <w:szCs w:val="21"/>
      </w:rPr>
      <w:t>附件第</w:t>
    </w:r>
    <w:r w:rsidR="009F0025" w:rsidRPr="002D4668">
      <w:rPr>
        <w:rFonts w:ascii="SimSun" w:hAnsi="SimSun"/>
        <w:sz w:val="21"/>
        <w:szCs w:val="21"/>
      </w:rPr>
      <w:t>2</w:t>
    </w:r>
    <w:r w:rsidRPr="002D4668">
      <w:rPr>
        <w:rFonts w:ascii="SimSun" w:hAnsi="SimSun" w:hint="eastAsia"/>
        <w:sz w:val="21"/>
        <w:szCs w:val="21"/>
      </w:rPr>
      <w:t>页</w:t>
    </w:r>
  </w:p>
  <w:p w:rsidR="009F0025" w:rsidRDefault="009F002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C0" w:rsidRDefault="002961C0" w:rsidP="002961C0">
    <w:pPr>
      <w:pStyle w:val="aa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WIPO/GRTKF/IC/30/5</w:t>
    </w:r>
  </w:p>
  <w:p w:rsidR="00CA0B1F" w:rsidRDefault="00CA0B1F" w:rsidP="002961C0">
    <w:pPr>
      <w:pStyle w:val="aa"/>
      <w:jc w:val="right"/>
    </w:pPr>
    <w:r w:rsidRPr="002D4668">
      <w:rPr>
        <w:rFonts w:ascii="SimSun" w:hAnsi="SimSun" w:hint="eastAsia"/>
        <w:sz w:val="21"/>
        <w:szCs w:val="21"/>
      </w:rPr>
      <w:t>附  件</w:t>
    </w:r>
  </w:p>
  <w:p w:rsidR="00CA0B1F" w:rsidRDefault="00CA0B1F" w:rsidP="002961C0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4CC4E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D52626A"/>
    <w:multiLevelType w:val="hybridMultilevel"/>
    <w:tmpl w:val="87DA272A"/>
    <w:lvl w:ilvl="0" w:tplc="C39009A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626E90"/>
    <w:multiLevelType w:val="hybridMultilevel"/>
    <w:tmpl w:val="A564A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C9"/>
    <w:rsid w:val="00020B0B"/>
    <w:rsid w:val="00023B33"/>
    <w:rsid w:val="00025798"/>
    <w:rsid w:val="00034F1B"/>
    <w:rsid w:val="000350CA"/>
    <w:rsid w:val="000362A5"/>
    <w:rsid w:val="00043CAA"/>
    <w:rsid w:val="00047DF0"/>
    <w:rsid w:val="0005374D"/>
    <w:rsid w:val="000565C4"/>
    <w:rsid w:val="00062057"/>
    <w:rsid w:val="00065E90"/>
    <w:rsid w:val="00071A99"/>
    <w:rsid w:val="00075432"/>
    <w:rsid w:val="000762F3"/>
    <w:rsid w:val="00080964"/>
    <w:rsid w:val="0008488C"/>
    <w:rsid w:val="000921DC"/>
    <w:rsid w:val="00092A0D"/>
    <w:rsid w:val="00095BB5"/>
    <w:rsid w:val="000968ED"/>
    <w:rsid w:val="000A1944"/>
    <w:rsid w:val="000A1C4F"/>
    <w:rsid w:val="000A60FB"/>
    <w:rsid w:val="000B2978"/>
    <w:rsid w:val="000D1B54"/>
    <w:rsid w:val="000D3909"/>
    <w:rsid w:val="000E2BF7"/>
    <w:rsid w:val="000F5E56"/>
    <w:rsid w:val="0010308B"/>
    <w:rsid w:val="0010628E"/>
    <w:rsid w:val="00121780"/>
    <w:rsid w:val="001362EE"/>
    <w:rsid w:val="00140EA8"/>
    <w:rsid w:val="0014189E"/>
    <w:rsid w:val="001442D3"/>
    <w:rsid w:val="00146DA5"/>
    <w:rsid w:val="001470CC"/>
    <w:rsid w:val="0015134A"/>
    <w:rsid w:val="00152411"/>
    <w:rsid w:val="00154FB1"/>
    <w:rsid w:val="001709F8"/>
    <w:rsid w:val="00181D8F"/>
    <w:rsid w:val="001832A6"/>
    <w:rsid w:val="001876C3"/>
    <w:rsid w:val="001A27F2"/>
    <w:rsid w:val="001C2F18"/>
    <w:rsid w:val="001C455B"/>
    <w:rsid w:val="001D5E3A"/>
    <w:rsid w:val="001D7A6A"/>
    <w:rsid w:val="001E1F6E"/>
    <w:rsid w:val="001E6FC1"/>
    <w:rsid w:val="001F1EC2"/>
    <w:rsid w:val="00202976"/>
    <w:rsid w:val="00206D37"/>
    <w:rsid w:val="00214A3C"/>
    <w:rsid w:val="00216048"/>
    <w:rsid w:val="00231B6C"/>
    <w:rsid w:val="00252AB2"/>
    <w:rsid w:val="0025530F"/>
    <w:rsid w:val="00255D22"/>
    <w:rsid w:val="002564D5"/>
    <w:rsid w:val="00256FAF"/>
    <w:rsid w:val="002634C4"/>
    <w:rsid w:val="002638FD"/>
    <w:rsid w:val="002814AB"/>
    <w:rsid w:val="002824FB"/>
    <w:rsid w:val="00287BFD"/>
    <w:rsid w:val="002928D3"/>
    <w:rsid w:val="002953D8"/>
    <w:rsid w:val="002961C0"/>
    <w:rsid w:val="002A43DB"/>
    <w:rsid w:val="002C0313"/>
    <w:rsid w:val="002C5548"/>
    <w:rsid w:val="002C62CF"/>
    <w:rsid w:val="002D404E"/>
    <w:rsid w:val="002D4668"/>
    <w:rsid w:val="002D5DFF"/>
    <w:rsid w:val="002F1FE6"/>
    <w:rsid w:val="002F4E68"/>
    <w:rsid w:val="002F5463"/>
    <w:rsid w:val="002F799C"/>
    <w:rsid w:val="00312F7F"/>
    <w:rsid w:val="0031723F"/>
    <w:rsid w:val="003306CE"/>
    <w:rsid w:val="003333F0"/>
    <w:rsid w:val="00343DCC"/>
    <w:rsid w:val="00346218"/>
    <w:rsid w:val="00350495"/>
    <w:rsid w:val="00352782"/>
    <w:rsid w:val="003558D6"/>
    <w:rsid w:val="00361450"/>
    <w:rsid w:val="003651B6"/>
    <w:rsid w:val="003673CF"/>
    <w:rsid w:val="00381777"/>
    <w:rsid w:val="003845C1"/>
    <w:rsid w:val="00393B36"/>
    <w:rsid w:val="003A6F89"/>
    <w:rsid w:val="003B3135"/>
    <w:rsid w:val="003B38C1"/>
    <w:rsid w:val="003C6B19"/>
    <w:rsid w:val="003D4844"/>
    <w:rsid w:val="003E1392"/>
    <w:rsid w:val="003E2A86"/>
    <w:rsid w:val="003F613B"/>
    <w:rsid w:val="00401142"/>
    <w:rsid w:val="00403790"/>
    <w:rsid w:val="004037BB"/>
    <w:rsid w:val="0041001F"/>
    <w:rsid w:val="004202B6"/>
    <w:rsid w:val="00422B78"/>
    <w:rsid w:val="00423585"/>
    <w:rsid w:val="00423E3E"/>
    <w:rsid w:val="00427AF4"/>
    <w:rsid w:val="0043552C"/>
    <w:rsid w:val="004375EF"/>
    <w:rsid w:val="0044026F"/>
    <w:rsid w:val="00445410"/>
    <w:rsid w:val="00450B59"/>
    <w:rsid w:val="00461D05"/>
    <w:rsid w:val="004647DA"/>
    <w:rsid w:val="004672D1"/>
    <w:rsid w:val="00474062"/>
    <w:rsid w:val="00477D6B"/>
    <w:rsid w:val="00484901"/>
    <w:rsid w:val="0049441E"/>
    <w:rsid w:val="004B02C3"/>
    <w:rsid w:val="004C3CE5"/>
    <w:rsid w:val="004C4279"/>
    <w:rsid w:val="004C4411"/>
    <w:rsid w:val="004C47FC"/>
    <w:rsid w:val="004C594C"/>
    <w:rsid w:val="004C5DA2"/>
    <w:rsid w:val="004D129B"/>
    <w:rsid w:val="004F6DF5"/>
    <w:rsid w:val="005019FF"/>
    <w:rsid w:val="005056A1"/>
    <w:rsid w:val="00511661"/>
    <w:rsid w:val="00511974"/>
    <w:rsid w:val="00513B37"/>
    <w:rsid w:val="0051793A"/>
    <w:rsid w:val="00520987"/>
    <w:rsid w:val="00526C38"/>
    <w:rsid w:val="0053057A"/>
    <w:rsid w:val="00530E36"/>
    <w:rsid w:val="005342A9"/>
    <w:rsid w:val="005367E7"/>
    <w:rsid w:val="005371E6"/>
    <w:rsid w:val="005428C9"/>
    <w:rsid w:val="00545480"/>
    <w:rsid w:val="005454CD"/>
    <w:rsid w:val="00560A29"/>
    <w:rsid w:val="00572C50"/>
    <w:rsid w:val="00583C53"/>
    <w:rsid w:val="00585336"/>
    <w:rsid w:val="005A172D"/>
    <w:rsid w:val="005B0853"/>
    <w:rsid w:val="005C6649"/>
    <w:rsid w:val="005D0849"/>
    <w:rsid w:val="005E2009"/>
    <w:rsid w:val="005E4C5C"/>
    <w:rsid w:val="00603095"/>
    <w:rsid w:val="00605827"/>
    <w:rsid w:val="00610221"/>
    <w:rsid w:val="00611867"/>
    <w:rsid w:val="00613C99"/>
    <w:rsid w:val="0062784B"/>
    <w:rsid w:val="00640082"/>
    <w:rsid w:val="00646050"/>
    <w:rsid w:val="00646181"/>
    <w:rsid w:val="00661DD3"/>
    <w:rsid w:val="006713CA"/>
    <w:rsid w:val="006726DF"/>
    <w:rsid w:val="006766A7"/>
    <w:rsid w:val="00676C5C"/>
    <w:rsid w:val="006861AD"/>
    <w:rsid w:val="0069066E"/>
    <w:rsid w:val="006963F6"/>
    <w:rsid w:val="006A5A26"/>
    <w:rsid w:val="006B77F9"/>
    <w:rsid w:val="006B7929"/>
    <w:rsid w:val="006C137A"/>
    <w:rsid w:val="006C6AAD"/>
    <w:rsid w:val="006D081C"/>
    <w:rsid w:val="006D3AD2"/>
    <w:rsid w:val="006E487D"/>
    <w:rsid w:val="00703430"/>
    <w:rsid w:val="00707D36"/>
    <w:rsid w:val="00713832"/>
    <w:rsid w:val="00716C2E"/>
    <w:rsid w:val="00717B47"/>
    <w:rsid w:val="007257DE"/>
    <w:rsid w:val="007448CF"/>
    <w:rsid w:val="00754813"/>
    <w:rsid w:val="00761013"/>
    <w:rsid w:val="007652D3"/>
    <w:rsid w:val="00767182"/>
    <w:rsid w:val="0077451F"/>
    <w:rsid w:val="00777C94"/>
    <w:rsid w:val="00781993"/>
    <w:rsid w:val="007907BE"/>
    <w:rsid w:val="00791AC0"/>
    <w:rsid w:val="007A0F4B"/>
    <w:rsid w:val="007A1190"/>
    <w:rsid w:val="007A23EF"/>
    <w:rsid w:val="007B0983"/>
    <w:rsid w:val="007C3BCD"/>
    <w:rsid w:val="007D1613"/>
    <w:rsid w:val="007D271A"/>
    <w:rsid w:val="007D4F65"/>
    <w:rsid w:val="007E152B"/>
    <w:rsid w:val="007E3DB7"/>
    <w:rsid w:val="007E3DEA"/>
    <w:rsid w:val="007F1E05"/>
    <w:rsid w:val="007F2974"/>
    <w:rsid w:val="008205BF"/>
    <w:rsid w:val="00824C70"/>
    <w:rsid w:val="0083577D"/>
    <w:rsid w:val="00836C9F"/>
    <w:rsid w:val="00840EAF"/>
    <w:rsid w:val="008450B4"/>
    <w:rsid w:val="008558CD"/>
    <w:rsid w:val="008754C4"/>
    <w:rsid w:val="0088121E"/>
    <w:rsid w:val="00891C8C"/>
    <w:rsid w:val="008A6397"/>
    <w:rsid w:val="008A74D8"/>
    <w:rsid w:val="008B2CC1"/>
    <w:rsid w:val="008B58C5"/>
    <w:rsid w:val="008B60B2"/>
    <w:rsid w:val="008C2F88"/>
    <w:rsid w:val="008D2E95"/>
    <w:rsid w:val="008D6B5A"/>
    <w:rsid w:val="008E053C"/>
    <w:rsid w:val="008F030D"/>
    <w:rsid w:val="009040E2"/>
    <w:rsid w:val="0090731E"/>
    <w:rsid w:val="00910004"/>
    <w:rsid w:val="0091074A"/>
    <w:rsid w:val="00916EE2"/>
    <w:rsid w:val="0092199F"/>
    <w:rsid w:val="00927CAE"/>
    <w:rsid w:val="00931A71"/>
    <w:rsid w:val="00932A5B"/>
    <w:rsid w:val="009516EA"/>
    <w:rsid w:val="009604A8"/>
    <w:rsid w:val="00966A22"/>
    <w:rsid w:val="0096722F"/>
    <w:rsid w:val="009724D4"/>
    <w:rsid w:val="00980843"/>
    <w:rsid w:val="00985AE3"/>
    <w:rsid w:val="00986C5A"/>
    <w:rsid w:val="009929DE"/>
    <w:rsid w:val="00992D0C"/>
    <w:rsid w:val="0099438E"/>
    <w:rsid w:val="009944AB"/>
    <w:rsid w:val="00994B55"/>
    <w:rsid w:val="009959AF"/>
    <w:rsid w:val="009B3A40"/>
    <w:rsid w:val="009C148F"/>
    <w:rsid w:val="009C53E2"/>
    <w:rsid w:val="009C63E7"/>
    <w:rsid w:val="009D2695"/>
    <w:rsid w:val="009D3115"/>
    <w:rsid w:val="009E2373"/>
    <w:rsid w:val="009E2791"/>
    <w:rsid w:val="009E3F6F"/>
    <w:rsid w:val="009E659F"/>
    <w:rsid w:val="009F0025"/>
    <w:rsid w:val="009F3043"/>
    <w:rsid w:val="009F40E6"/>
    <w:rsid w:val="009F499F"/>
    <w:rsid w:val="009F4CC2"/>
    <w:rsid w:val="00A0009C"/>
    <w:rsid w:val="00A0168C"/>
    <w:rsid w:val="00A12500"/>
    <w:rsid w:val="00A1732B"/>
    <w:rsid w:val="00A177D3"/>
    <w:rsid w:val="00A42DAF"/>
    <w:rsid w:val="00A430D9"/>
    <w:rsid w:val="00A45BD8"/>
    <w:rsid w:val="00A5375D"/>
    <w:rsid w:val="00A57F96"/>
    <w:rsid w:val="00A71AAA"/>
    <w:rsid w:val="00A73D1B"/>
    <w:rsid w:val="00A77E14"/>
    <w:rsid w:val="00A84CB3"/>
    <w:rsid w:val="00A869B7"/>
    <w:rsid w:val="00A87BB8"/>
    <w:rsid w:val="00A90C28"/>
    <w:rsid w:val="00A923B9"/>
    <w:rsid w:val="00A93823"/>
    <w:rsid w:val="00A97B48"/>
    <w:rsid w:val="00AB12FB"/>
    <w:rsid w:val="00AB314F"/>
    <w:rsid w:val="00AB5611"/>
    <w:rsid w:val="00AC068F"/>
    <w:rsid w:val="00AC1225"/>
    <w:rsid w:val="00AC205C"/>
    <w:rsid w:val="00AD5B1F"/>
    <w:rsid w:val="00AE3126"/>
    <w:rsid w:val="00AE75B1"/>
    <w:rsid w:val="00AF0A6B"/>
    <w:rsid w:val="00AF656F"/>
    <w:rsid w:val="00AF7468"/>
    <w:rsid w:val="00B05A69"/>
    <w:rsid w:val="00B248D7"/>
    <w:rsid w:val="00B24EEF"/>
    <w:rsid w:val="00B352AA"/>
    <w:rsid w:val="00B4161B"/>
    <w:rsid w:val="00B4750F"/>
    <w:rsid w:val="00B5262E"/>
    <w:rsid w:val="00B66E59"/>
    <w:rsid w:val="00B66E89"/>
    <w:rsid w:val="00B80849"/>
    <w:rsid w:val="00B85E2E"/>
    <w:rsid w:val="00B860C6"/>
    <w:rsid w:val="00B87F6E"/>
    <w:rsid w:val="00B87FAD"/>
    <w:rsid w:val="00B9430B"/>
    <w:rsid w:val="00B94DD1"/>
    <w:rsid w:val="00B9734B"/>
    <w:rsid w:val="00BB17C8"/>
    <w:rsid w:val="00BC11D9"/>
    <w:rsid w:val="00BC3598"/>
    <w:rsid w:val="00BE4608"/>
    <w:rsid w:val="00BE6033"/>
    <w:rsid w:val="00BE79B1"/>
    <w:rsid w:val="00BF15C7"/>
    <w:rsid w:val="00BF2338"/>
    <w:rsid w:val="00C073D1"/>
    <w:rsid w:val="00C11BFE"/>
    <w:rsid w:val="00C234BB"/>
    <w:rsid w:val="00C24327"/>
    <w:rsid w:val="00C277B0"/>
    <w:rsid w:val="00C36834"/>
    <w:rsid w:val="00C5604A"/>
    <w:rsid w:val="00C62DA1"/>
    <w:rsid w:val="00C710BF"/>
    <w:rsid w:val="00C75B46"/>
    <w:rsid w:val="00C75DD3"/>
    <w:rsid w:val="00C76E73"/>
    <w:rsid w:val="00C90F37"/>
    <w:rsid w:val="00C93098"/>
    <w:rsid w:val="00CA04EB"/>
    <w:rsid w:val="00CA0B1F"/>
    <w:rsid w:val="00CA4785"/>
    <w:rsid w:val="00CA7149"/>
    <w:rsid w:val="00CB550F"/>
    <w:rsid w:val="00CC0A5A"/>
    <w:rsid w:val="00CC162F"/>
    <w:rsid w:val="00CC4E81"/>
    <w:rsid w:val="00CD1800"/>
    <w:rsid w:val="00CD3B25"/>
    <w:rsid w:val="00CD728A"/>
    <w:rsid w:val="00D11513"/>
    <w:rsid w:val="00D1705A"/>
    <w:rsid w:val="00D44E92"/>
    <w:rsid w:val="00D45252"/>
    <w:rsid w:val="00D50FFC"/>
    <w:rsid w:val="00D629A8"/>
    <w:rsid w:val="00D6405C"/>
    <w:rsid w:val="00D71B4D"/>
    <w:rsid w:val="00D71E80"/>
    <w:rsid w:val="00D721E6"/>
    <w:rsid w:val="00D762E1"/>
    <w:rsid w:val="00D91B6D"/>
    <w:rsid w:val="00D93D55"/>
    <w:rsid w:val="00D967DA"/>
    <w:rsid w:val="00DC46BA"/>
    <w:rsid w:val="00DC76D0"/>
    <w:rsid w:val="00DD4024"/>
    <w:rsid w:val="00DD64A4"/>
    <w:rsid w:val="00DE5E89"/>
    <w:rsid w:val="00DE6A3B"/>
    <w:rsid w:val="00DE7BC8"/>
    <w:rsid w:val="00E00F56"/>
    <w:rsid w:val="00E16742"/>
    <w:rsid w:val="00E2611A"/>
    <w:rsid w:val="00E335FE"/>
    <w:rsid w:val="00E35FA5"/>
    <w:rsid w:val="00E40D96"/>
    <w:rsid w:val="00E543EE"/>
    <w:rsid w:val="00E65B9B"/>
    <w:rsid w:val="00E91D11"/>
    <w:rsid w:val="00EA016E"/>
    <w:rsid w:val="00EA1CEF"/>
    <w:rsid w:val="00EB0034"/>
    <w:rsid w:val="00EC4E49"/>
    <w:rsid w:val="00EC5340"/>
    <w:rsid w:val="00ED3330"/>
    <w:rsid w:val="00ED77FB"/>
    <w:rsid w:val="00EE45FA"/>
    <w:rsid w:val="00EE4D2D"/>
    <w:rsid w:val="00EF4BBD"/>
    <w:rsid w:val="00EF5F08"/>
    <w:rsid w:val="00F03A64"/>
    <w:rsid w:val="00F1492B"/>
    <w:rsid w:val="00F16585"/>
    <w:rsid w:val="00F22343"/>
    <w:rsid w:val="00F230F1"/>
    <w:rsid w:val="00F2335C"/>
    <w:rsid w:val="00F32FDB"/>
    <w:rsid w:val="00F33D45"/>
    <w:rsid w:val="00F3602C"/>
    <w:rsid w:val="00F47246"/>
    <w:rsid w:val="00F538D9"/>
    <w:rsid w:val="00F640E1"/>
    <w:rsid w:val="00F66152"/>
    <w:rsid w:val="00F76A1B"/>
    <w:rsid w:val="00F77A10"/>
    <w:rsid w:val="00F859B9"/>
    <w:rsid w:val="00F9034C"/>
    <w:rsid w:val="00F97667"/>
    <w:rsid w:val="00FA2FD0"/>
    <w:rsid w:val="00FB0A2C"/>
    <w:rsid w:val="00FB3F63"/>
    <w:rsid w:val="00FB511D"/>
    <w:rsid w:val="00FD4FAB"/>
    <w:rsid w:val="00FD576E"/>
    <w:rsid w:val="00FD6AA5"/>
    <w:rsid w:val="00FE1763"/>
    <w:rsid w:val="00FE33BA"/>
    <w:rsid w:val="00FE5F59"/>
    <w:rsid w:val="00FE61B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link w:val="Char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character" w:customStyle="1" w:styleId="Char0">
    <w:name w:val="尾注文本 Char"/>
    <w:link w:val="a7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ad">
    <w:name w:val="Balloon Text"/>
    <w:basedOn w:val="a0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a1"/>
    <w:uiPriority w:val="99"/>
    <w:rsid w:val="00FD576E"/>
  </w:style>
  <w:style w:type="character" w:styleId="ae">
    <w:name w:val="Hyperlink"/>
    <w:rsid w:val="00FD576E"/>
    <w:rPr>
      <w:color w:val="0000FF"/>
      <w:u w:val="single"/>
    </w:rPr>
  </w:style>
  <w:style w:type="character" w:styleId="af">
    <w:name w:val="FollowedHyperlink"/>
    <w:rsid w:val="00572C50"/>
    <w:rPr>
      <w:color w:val="606420"/>
      <w:u w:val="single"/>
    </w:rPr>
  </w:style>
  <w:style w:type="paragraph" w:customStyle="1" w:styleId="Char1">
    <w:name w:val="Char 字元 字元"/>
    <w:basedOn w:val="a0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0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正文文本 Char"/>
    <w:link w:val="a4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1-21">
    <w:name w:val="中等深浅网格 1 - 强调文字颜色 21"/>
    <w:basedOn w:val="a0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af1">
    <w:name w:val="List Paragraph"/>
    <w:basedOn w:val="a0"/>
    <w:uiPriority w:val="34"/>
    <w:qFormat/>
    <w:rsid w:val="002961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link w:val="Char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character" w:customStyle="1" w:styleId="Char0">
    <w:name w:val="尾注文本 Char"/>
    <w:link w:val="a7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ad">
    <w:name w:val="Balloon Text"/>
    <w:basedOn w:val="a0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a1"/>
    <w:uiPriority w:val="99"/>
    <w:rsid w:val="00FD576E"/>
  </w:style>
  <w:style w:type="character" w:styleId="ae">
    <w:name w:val="Hyperlink"/>
    <w:rsid w:val="00FD576E"/>
    <w:rPr>
      <w:color w:val="0000FF"/>
      <w:u w:val="single"/>
    </w:rPr>
  </w:style>
  <w:style w:type="character" w:styleId="af">
    <w:name w:val="FollowedHyperlink"/>
    <w:rsid w:val="00572C50"/>
    <w:rPr>
      <w:color w:val="606420"/>
      <w:u w:val="single"/>
    </w:rPr>
  </w:style>
  <w:style w:type="paragraph" w:customStyle="1" w:styleId="Char1">
    <w:name w:val="Char 字元 字元"/>
    <w:basedOn w:val="a0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0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正文文本 Char"/>
    <w:link w:val="a4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1-21">
    <w:name w:val="中等深浅网格 1 - 强调文字颜色 21"/>
    <w:basedOn w:val="a0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af1">
    <w:name w:val="List Paragraph"/>
    <w:basedOn w:val="a0"/>
    <w:uiPriority w:val="34"/>
    <w:qFormat/>
    <w:rsid w:val="002961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471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WIPO/GRTKF/IC/30/5</dc:title>
  <dc:subject>需要处理/解决的待办/未决问题指示性清单</dc:subject>
  <dc:creator/>
  <cp:lastModifiedBy>MA Weihai</cp:lastModifiedBy>
  <cp:revision>4</cp:revision>
  <cp:lastPrinted>2016-02-19T17:13:00Z</cp:lastPrinted>
  <dcterms:created xsi:type="dcterms:W3CDTF">2016-03-22T16:40:00Z</dcterms:created>
  <dcterms:modified xsi:type="dcterms:W3CDTF">2016-03-23T09:47:00Z</dcterms:modified>
</cp:coreProperties>
</file>